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Ex1.xml" ContentType="application/vnd.ms-office.chartex+xml"/>
  <Override PartName="/word/charts/style1.xml" ContentType="application/vnd.ms-office.chartstyle+xml"/>
  <Override PartName="/word/charts/colors1.xml" ContentType="application/vnd.ms-office.chartcolorstyle+xml"/>
  <Override PartName="/word/charts/chart1.xml" ContentType="application/vnd.openxmlformats-officedocument.drawingml.chart+xml"/>
  <Override PartName="/word/charts/style2.xml" ContentType="application/vnd.ms-office.chartstyle+xml"/>
  <Override PartName="/word/charts/colors2.xml" ContentType="application/vnd.ms-office.chartcolorstyle+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2B8553" w14:textId="77777777" w:rsidR="00C14CB6" w:rsidRDefault="00C14CB6" w:rsidP="00340DA0">
      <w:pPr>
        <w:widowControl w:val="0"/>
        <w:autoSpaceDE w:val="0"/>
        <w:autoSpaceDN w:val="0"/>
        <w:adjustRightInd w:val="0"/>
        <w:spacing w:line="360" w:lineRule="auto"/>
        <w:jc w:val="center"/>
        <w:rPr>
          <w:rFonts w:ascii="Arial" w:hAnsi="Arial" w:cs="Arial"/>
        </w:rPr>
      </w:pPr>
    </w:p>
    <w:p w14:paraId="36F6BB0F" w14:textId="77777777" w:rsidR="00C14CB6" w:rsidRDefault="00C14CB6" w:rsidP="00340DA0">
      <w:pPr>
        <w:widowControl w:val="0"/>
        <w:autoSpaceDE w:val="0"/>
        <w:autoSpaceDN w:val="0"/>
        <w:adjustRightInd w:val="0"/>
        <w:spacing w:line="360" w:lineRule="auto"/>
        <w:jc w:val="center"/>
        <w:rPr>
          <w:rFonts w:ascii="Arial" w:hAnsi="Arial" w:cs="Arial"/>
        </w:rPr>
      </w:pPr>
    </w:p>
    <w:p w14:paraId="0179776A" w14:textId="77777777" w:rsidR="00C14CB6" w:rsidRDefault="00C14CB6" w:rsidP="00340DA0">
      <w:pPr>
        <w:widowControl w:val="0"/>
        <w:autoSpaceDE w:val="0"/>
        <w:autoSpaceDN w:val="0"/>
        <w:adjustRightInd w:val="0"/>
        <w:spacing w:line="360" w:lineRule="auto"/>
        <w:jc w:val="center"/>
        <w:rPr>
          <w:rFonts w:ascii="Arial" w:hAnsi="Arial" w:cs="Arial"/>
        </w:rPr>
      </w:pPr>
    </w:p>
    <w:p w14:paraId="4F179A4D" w14:textId="77777777" w:rsidR="00C14CB6" w:rsidRDefault="00C14CB6" w:rsidP="00340DA0">
      <w:pPr>
        <w:widowControl w:val="0"/>
        <w:autoSpaceDE w:val="0"/>
        <w:autoSpaceDN w:val="0"/>
        <w:adjustRightInd w:val="0"/>
        <w:spacing w:line="360" w:lineRule="auto"/>
        <w:jc w:val="center"/>
        <w:rPr>
          <w:rFonts w:ascii="Arial" w:hAnsi="Arial" w:cs="Arial"/>
        </w:rPr>
      </w:pPr>
    </w:p>
    <w:p w14:paraId="7CCA5B94" w14:textId="77777777" w:rsidR="00C14CB6" w:rsidRDefault="00C14CB6" w:rsidP="00340DA0">
      <w:pPr>
        <w:widowControl w:val="0"/>
        <w:autoSpaceDE w:val="0"/>
        <w:autoSpaceDN w:val="0"/>
        <w:adjustRightInd w:val="0"/>
        <w:spacing w:line="360" w:lineRule="auto"/>
        <w:jc w:val="center"/>
        <w:rPr>
          <w:rFonts w:ascii="Arial" w:hAnsi="Arial" w:cs="Arial"/>
        </w:rPr>
      </w:pPr>
    </w:p>
    <w:p w14:paraId="74CEC6CE" w14:textId="77777777" w:rsidR="00C14CB6" w:rsidRDefault="00C14CB6" w:rsidP="00340DA0">
      <w:pPr>
        <w:widowControl w:val="0"/>
        <w:autoSpaceDE w:val="0"/>
        <w:autoSpaceDN w:val="0"/>
        <w:adjustRightInd w:val="0"/>
        <w:spacing w:line="360" w:lineRule="auto"/>
        <w:jc w:val="center"/>
        <w:rPr>
          <w:rFonts w:ascii="Arial" w:hAnsi="Arial" w:cs="Arial"/>
        </w:rPr>
      </w:pPr>
    </w:p>
    <w:p w14:paraId="11ABF7E8" w14:textId="77777777" w:rsidR="00C14CB6" w:rsidRDefault="00C14CB6" w:rsidP="00340DA0">
      <w:pPr>
        <w:widowControl w:val="0"/>
        <w:autoSpaceDE w:val="0"/>
        <w:autoSpaceDN w:val="0"/>
        <w:adjustRightInd w:val="0"/>
        <w:spacing w:line="360" w:lineRule="auto"/>
        <w:jc w:val="center"/>
        <w:rPr>
          <w:rFonts w:ascii="Arial" w:hAnsi="Arial" w:cs="Arial"/>
        </w:rPr>
      </w:pPr>
    </w:p>
    <w:p w14:paraId="25582F50" w14:textId="77777777" w:rsidR="00C14CB6" w:rsidRDefault="00C14CB6" w:rsidP="00340DA0">
      <w:pPr>
        <w:widowControl w:val="0"/>
        <w:autoSpaceDE w:val="0"/>
        <w:autoSpaceDN w:val="0"/>
        <w:adjustRightInd w:val="0"/>
        <w:spacing w:line="360" w:lineRule="auto"/>
        <w:jc w:val="center"/>
        <w:rPr>
          <w:rFonts w:ascii="Arial" w:hAnsi="Arial" w:cs="Arial"/>
        </w:rPr>
      </w:pPr>
    </w:p>
    <w:p w14:paraId="20A6F791" w14:textId="77777777" w:rsidR="00C14CB6" w:rsidRDefault="00C14CB6" w:rsidP="00340DA0">
      <w:pPr>
        <w:widowControl w:val="0"/>
        <w:autoSpaceDE w:val="0"/>
        <w:autoSpaceDN w:val="0"/>
        <w:adjustRightInd w:val="0"/>
        <w:spacing w:line="360" w:lineRule="auto"/>
        <w:jc w:val="center"/>
        <w:rPr>
          <w:rFonts w:ascii="Arial" w:hAnsi="Arial" w:cs="Arial"/>
        </w:rPr>
      </w:pPr>
    </w:p>
    <w:p w14:paraId="45FF1073" w14:textId="77777777" w:rsidR="00C14CB6" w:rsidRDefault="00C14CB6" w:rsidP="00340DA0">
      <w:pPr>
        <w:widowControl w:val="0"/>
        <w:autoSpaceDE w:val="0"/>
        <w:autoSpaceDN w:val="0"/>
        <w:adjustRightInd w:val="0"/>
        <w:spacing w:line="360" w:lineRule="auto"/>
        <w:jc w:val="center"/>
        <w:rPr>
          <w:rFonts w:ascii="Arial" w:hAnsi="Arial" w:cs="Arial"/>
        </w:rPr>
      </w:pPr>
    </w:p>
    <w:p w14:paraId="1ECB2104" w14:textId="77777777" w:rsidR="00C14CB6" w:rsidRDefault="00C14CB6" w:rsidP="00340DA0">
      <w:pPr>
        <w:widowControl w:val="0"/>
        <w:autoSpaceDE w:val="0"/>
        <w:autoSpaceDN w:val="0"/>
        <w:adjustRightInd w:val="0"/>
        <w:spacing w:line="360" w:lineRule="auto"/>
        <w:jc w:val="center"/>
        <w:rPr>
          <w:rFonts w:ascii="Arial" w:hAnsi="Arial" w:cs="Arial"/>
        </w:rPr>
      </w:pPr>
    </w:p>
    <w:p w14:paraId="2C801D20" w14:textId="77777777" w:rsidR="00C14CB6" w:rsidRDefault="00C14CB6" w:rsidP="00340DA0">
      <w:pPr>
        <w:widowControl w:val="0"/>
        <w:autoSpaceDE w:val="0"/>
        <w:autoSpaceDN w:val="0"/>
        <w:adjustRightInd w:val="0"/>
        <w:spacing w:line="360" w:lineRule="auto"/>
        <w:jc w:val="center"/>
        <w:rPr>
          <w:rFonts w:ascii="Arial" w:hAnsi="Arial" w:cs="Arial"/>
        </w:rPr>
      </w:pPr>
    </w:p>
    <w:p w14:paraId="36113368" w14:textId="77777777" w:rsidR="00C14CB6" w:rsidRDefault="00C14CB6" w:rsidP="00340DA0">
      <w:pPr>
        <w:widowControl w:val="0"/>
        <w:autoSpaceDE w:val="0"/>
        <w:autoSpaceDN w:val="0"/>
        <w:adjustRightInd w:val="0"/>
        <w:spacing w:line="360" w:lineRule="auto"/>
        <w:jc w:val="center"/>
        <w:rPr>
          <w:rFonts w:ascii="Arial" w:hAnsi="Arial" w:cs="Arial"/>
        </w:rPr>
      </w:pPr>
    </w:p>
    <w:p w14:paraId="5E4398A4" w14:textId="77777777" w:rsidR="00C14CB6" w:rsidRDefault="00C14CB6" w:rsidP="00340DA0">
      <w:pPr>
        <w:widowControl w:val="0"/>
        <w:autoSpaceDE w:val="0"/>
        <w:autoSpaceDN w:val="0"/>
        <w:adjustRightInd w:val="0"/>
        <w:spacing w:line="360" w:lineRule="auto"/>
        <w:jc w:val="center"/>
        <w:rPr>
          <w:rFonts w:ascii="Arial" w:hAnsi="Arial" w:cs="Arial"/>
        </w:rPr>
      </w:pPr>
    </w:p>
    <w:p w14:paraId="5BA8E373" w14:textId="77777777" w:rsidR="00C14CB6" w:rsidRDefault="00C14CB6" w:rsidP="00340DA0">
      <w:pPr>
        <w:widowControl w:val="0"/>
        <w:autoSpaceDE w:val="0"/>
        <w:autoSpaceDN w:val="0"/>
        <w:adjustRightInd w:val="0"/>
        <w:spacing w:line="360" w:lineRule="auto"/>
        <w:jc w:val="center"/>
        <w:rPr>
          <w:rFonts w:ascii="Arial" w:hAnsi="Arial" w:cs="Arial"/>
        </w:rPr>
      </w:pPr>
    </w:p>
    <w:p w14:paraId="3B09E255" w14:textId="6243BCA5" w:rsidR="00340DA0" w:rsidRDefault="00340DA0" w:rsidP="00340DA0">
      <w:pPr>
        <w:widowControl w:val="0"/>
        <w:autoSpaceDE w:val="0"/>
        <w:autoSpaceDN w:val="0"/>
        <w:adjustRightInd w:val="0"/>
        <w:spacing w:line="360" w:lineRule="auto"/>
        <w:jc w:val="center"/>
        <w:rPr>
          <w:rFonts w:ascii="Arial" w:hAnsi="Arial" w:cs="Arial"/>
        </w:rPr>
      </w:pPr>
      <w:r w:rsidRPr="00F534BF">
        <w:rPr>
          <w:rFonts w:ascii="Arial" w:hAnsi="Arial" w:cs="Arial"/>
        </w:rPr>
        <w:t>Baking Soda and Vinegar Reaction Time at Varying Vinegar Concentrations</w:t>
      </w:r>
    </w:p>
    <w:p w14:paraId="0099FF75" w14:textId="03C8FDE0" w:rsidR="00340DA0" w:rsidRDefault="00340DA0" w:rsidP="00340DA0">
      <w:pPr>
        <w:widowControl w:val="0"/>
        <w:autoSpaceDE w:val="0"/>
        <w:autoSpaceDN w:val="0"/>
        <w:adjustRightInd w:val="0"/>
        <w:spacing w:line="360" w:lineRule="auto"/>
        <w:jc w:val="center"/>
        <w:rPr>
          <w:rFonts w:ascii="Arial" w:hAnsi="Arial" w:cs="Arial"/>
        </w:rPr>
      </w:pPr>
      <w:r>
        <w:rPr>
          <w:rFonts w:ascii="Arial" w:hAnsi="Arial" w:cs="Arial"/>
        </w:rPr>
        <w:t>Student Name</w:t>
      </w:r>
    </w:p>
    <w:p w14:paraId="790D65F5" w14:textId="5BD6A4C2" w:rsidR="00340DA0" w:rsidRPr="00F534BF" w:rsidRDefault="00340DA0" w:rsidP="00340DA0">
      <w:pPr>
        <w:widowControl w:val="0"/>
        <w:autoSpaceDE w:val="0"/>
        <w:autoSpaceDN w:val="0"/>
        <w:adjustRightInd w:val="0"/>
        <w:spacing w:line="360" w:lineRule="auto"/>
        <w:jc w:val="center"/>
        <w:rPr>
          <w:rFonts w:ascii="Arial" w:hAnsi="Arial" w:cs="Arial"/>
        </w:rPr>
      </w:pPr>
      <w:r>
        <w:rPr>
          <w:rFonts w:ascii="Arial" w:hAnsi="Arial" w:cs="Arial"/>
        </w:rPr>
        <w:t>Name of Institution</w:t>
      </w:r>
    </w:p>
    <w:p w14:paraId="765F248B" w14:textId="77777777" w:rsidR="00340DA0" w:rsidRDefault="00340DA0">
      <w:pPr>
        <w:spacing w:after="160" w:line="259" w:lineRule="auto"/>
        <w:rPr>
          <w:rFonts w:ascii="Arial" w:hAnsi="Arial" w:cs="Arial"/>
        </w:rPr>
      </w:pPr>
      <w:r>
        <w:rPr>
          <w:rFonts w:ascii="Arial" w:hAnsi="Arial" w:cs="Arial"/>
        </w:rPr>
        <w:br w:type="page"/>
      </w:r>
    </w:p>
    <w:p w14:paraId="09DBBE07" w14:textId="144356A1" w:rsidR="00F534BF" w:rsidRPr="00F534BF" w:rsidRDefault="00F534BF" w:rsidP="00F534BF">
      <w:pPr>
        <w:widowControl w:val="0"/>
        <w:autoSpaceDE w:val="0"/>
        <w:autoSpaceDN w:val="0"/>
        <w:adjustRightInd w:val="0"/>
        <w:spacing w:line="360" w:lineRule="auto"/>
        <w:jc w:val="center"/>
        <w:rPr>
          <w:rFonts w:ascii="Arial" w:hAnsi="Arial" w:cs="Arial"/>
        </w:rPr>
      </w:pPr>
      <w:r w:rsidRPr="00F534BF">
        <w:rPr>
          <w:rFonts w:ascii="Arial" w:hAnsi="Arial" w:cs="Arial"/>
        </w:rPr>
        <w:lastRenderedPageBreak/>
        <w:t>Baking Soda and Vinegar Reaction Time at Varying Vinegar Concentrations</w:t>
      </w:r>
    </w:p>
    <w:p w14:paraId="325AD25B" w14:textId="3612C9FD" w:rsidR="008B0031" w:rsidRPr="00F534BF" w:rsidRDefault="008B0031" w:rsidP="00F534BF">
      <w:pPr>
        <w:widowControl w:val="0"/>
        <w:autoSpaceDE w:val="0"/>
        <w:autoSpaceDN w:val="0"/>
        <w:adjustRightInd w:val="0"/>
        <w:spacing w:line="360" w:lineRule="auto"/>
        <w:rPr>
          <w:rFonts w:ascii="Arial" w:hAnsi="Arial" w:cs="Arial"/>
          <w:b/>
          <w:bCs/>
        </w:rPr>
      </w:pPr>
      <w:r w:rsidRPr="00F534BF">
        <w:rPr>
          <w:rFonts w:ascii="Arial" w:hAnsi="Arial" w:cs="Arial"/>
          <w:b/>
          <w:bCs/>
        </w:rPr>
        <w:t>Introduction and Literature Review</w:t>
      </w:r>
    </w:p>
    <w:p w14:paraId="10709EC1" w14:textId="7EA699A3" w:rsidR="00597B8A" w:rsidRPr="00F534BF" w:rsidRDefault="007A2738"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Acid-base reactions are </w:t>
      </w:r>
      <w:r w:rsidR="009D629A" w:rsidRPr="00F534BF">
        <w:rPr>
          <w:rFonts w:ascii="Arial" w:hAnsi="Arial" w:cs="Arial"/>
          <w:kern w:val="0"/>
        </w:rPr>
        <w:t>at the</w:t>
      </w:r>
      <w:r w:rsidRPr="00F534BF">
        <w:rPr>
          <w:rFonts w:ascii="Arial" w:hAnsi="Arial" w:cs="Arial"/>
          <w:kern w:val="0"/>
        </w:rPr>
        <w:t xml:space="preserve"> center of the </w:t>
      </w:r>
      <w:r w:rsidR="00B60900" w:rsidRPr="00F534BF">
        <w:rPr>
          <w:rFonts w:ascii="Arial" w:hAnsi="Arial" w:cs="Arial"/>
          <w:kern w:val="0"/>
        </w:rPr>
        <w:t xml:space="preserve">pharmacological interventions designed to correct for acid-base imbalances in the </w:t>
      </w:r>
      <w:r w:rsidR="009F5A5A" w:rsidRPr="00F534BF">
        <w:rPr>
          <w:rFonts w:ascii="Arial" w:hAnsi="Arial" w:cs="Arial"/>
          <w:kern w:val="0"/>
        </w:rPr>
        <w:t xml:space="preserve">human </w:t>
      </w:r>
      <w:r w:rsidR="00B60900" w:rsidRPr="00F534BF">
        <w:rPr>
          <w:rFonts w:ascii="Arial" w:hAnsi="Arial" w:cs="Arial"/>
          <w:kern w:val="0"/>
        </w:rPr>
        <w:t xml:space="preserve">body. </w:t>
      </w:r>
      <w:r w:rsidR="009D629A" w:rsidRPr="00F534BF">
        <w:rPr>
          <w:rFonts w:ascii="Arial" w:hAnsi="Arial" w:cs="Arial"/>
          <w:kern w:val="0"/>
        </w:rPr>
        <w:t>An understanding of these neutralizing reactions is</w:t>
      </w:r>
      <w:r w:rsidR="008B0031" w:rsidRPr="00F534BF">
        <w:rPr>
          <w:rFonts w:ascii="Arial" w:hAnsi="Arial" w:cs="Arial"/>
          <w:kern w:val="0"/>
        </w:rPr>
        <w:t xml:space="preserve"> foundational to the</w:t>
      </w:r>
      <w:r w:rsidR="00DD6ED6" w:rsidRPr="00F534BF">
        <w:rPr>
          <w:rFonts w:ascii="Arial" w:hAnsi="Arial" w:cs="Arial"/>
          <w:kern w:val="0"/>
        </w:rPr>
        <w:t xml:space="preserve"> safe use of simple</w:t>
      </w:r>
      <w:r w:rsidR="007D54CB" w:rsidRPr="00F534BF">
        <w:rPr>
          <w:rFonts w:ascii="Arial" w:hAnsi="Arial" w:cs="Arial"/>
          <w:kern w:val="0"/>
        </w:rPr>
        <w:t xml:space="preserve"> and low-cost</w:t>
      </w:r>
      <w:r w:rsidR="00DD6ED6" w:rsidRPr="00F534BF">
        <w:rPr>
          <w:rFonts w:ascii="Arial" w:hAnsi="Arial" w:cs="Arial"/>
          <w:kern w:val="0"/>
        </w:rPr>
        <w:t xml:space="preserve"> interventions such as baking soda and apple cider vinegar</w:t>
      </w:r>
      <w:r w:rsidR="007C4B73" w:rsidRPr="00F534BF">
        <w:rPr>
          <w:rFonts w:ascii="Arial" w:hAnsi="Arial" w:cs="Arial"/>
          <w:kern w:val="0"/>
        </w:rPr>
        <w:t xml:space="preserve">, two commonly used home remedies, </w:t>
      </w:r>
      <w:r w:rsidR="009F5A5A" w:rsidRPr="00F534BF">
        <w:rPr>
          <w:rFonts w:ascii="Arial" w:hAnsi="Arial" w:cs="Arial"/>
          <w:kern w:val="0"/>
        </w:rPr>
        <w:t>to attain</w:t>
      </w:r>
      <w:r w:rsidR="007C4B73" w:rsidRPr="00F534BF">
        <w:rPr>
          <w:rFonts w:ascii="Arial" w:hAnsi="Arial" w:cs="Arial"/>
          <w:kern w:val="0"/>
        </w:rPr>
        <w:t xml:space="preserve"> acid-base homeostasis</w:t>
      </w:r>
      <w:r w:rsidR="008B0031" w:rsidRPr="00F534BF">
        <w:rPr>
          <w:rFonts w:ascii="Arial" w:hAnsi="Arial" w:cs="Arial"/>
          <w:kern w:val="0"/>
        </w:rPr>
        <w:t xml:space="preserve"> (Quade, 2021)</w:t>
      </w:r>
      <w:r w:rsidR="00DD6ED6" w:rsidRPr="00F534BF">
        <w:rPr>
          <w:rFonts w:ascii="Arial" w:hAnsi="Arial" w:cs="Arial"/>
          <w:kern w:val="0"/>
        </w:rPr>
        <w:t>.</w:t>
      </w:r>
      <w:r w:rsidR="00E24C81" w:rsidRPr="00F534BF">
        <w:rPr>
          <w:rFonts w:ascii="Arial" w:hAnsi="Arial" w:cs="Arial"/>
          <w:kern w:val="0"/>
        </w:rPr>
        <w:t xml:space="preserve"> </w:t>
      </w:r>
      <w:r w:rsidR="000B2133" w:rsidRPr="00F534BF">
        <w:rPr>
          <w:rFonts w:ascii="Arial" w:hAnsi="Arial" w:cs="Arial"/>
          <w:kern w:val="0"/>
        </w:rPr>
        <w:t xml:space="preserve">The neutralizing acid-base reaction informs the use of baking soda </w:t>
      </w:r>
      <w:r w:rsidR="00A62201" w:rsidRPr="00F534BF">
        <w:rPr>
          <w:rFonts w:ascii="Arial" w:hAnsi="Arial" w:cs="Arial"/>
          <w:kern w:val="0"/>
        </w:rPr>
        <w:t xml:space="preserve">as an active agent in treatments for heartburn and acid indigestion as it neutralizes excess stomach acid (Quade, 2021). </w:t>
      </w:r>
      <w:r w:rsidR="00DD6ED6" w:rsidRPr="00F534BF">
        <w:rPr>
          <w:rFonts w:ascii="Arial" w:hAnsi="Arial" w:cs="Arial"/>
          <w:kern w:val="0"/>
        </w:rPr>
        <w:t xml:space="preserve"> </w:t>
      </w:r>
      <w:r w:rsidR="000B2133" w:rsidRPr="00F534BF">
        <w:rPr>
          <w:rFonts w:ascii="Arial" w:hAnsi="Arial" w:cs="Arial"/>
          <w:kern w:val="0"/>
        </w:rPr>
        <w:t xml:space="preserve">In dermatology, baking soda has </w:t>
      </w:r>
      <w:r w:rsidR="00DD6ED6" w:rsidRPr="00F534BF">
        <w:rPr>
          <w:rFonts w:ascii="Arial" w:hAnsi="Arial" w:cs="Arial"/>
          <w:kern w:val="0"/>
        </w:rPr>
        <w:t>been shown to be effective in alleviating psoriasis symptoms and treating microbial infections (</w:t>
      </w:r>
      <w:proofErr w:type="spellStart"/>
      <w:r w:rsidR="007D54CB" w:rsidRPr="00F534BF">
        <w:rPr>
          <w:rFonts w:ascii="Arial" w:hAnsi="Arial" w:cs="Arial"/>
          <w:kern w:val="0"/>
        </w:rPr>
        <w:t>Baiyasi</w:t>
      </w:r>
      <w:proofErr w:type="spellEnd"/>
      <w:r w:rsidR="007D54CB" w:rsidRPr="00F534BF">
        <w:rPr>
          <w:rFonts w:ascii="Arial" w:hAnsi="Arial" w:cs="Arial"/>
          <w:kern w:val="0"/>
        </w:rPr>
        <w:t xml:space="preserve"> et al., 2024). </w:t>
      </w:r>
      <w:r w:rsidR="00CE764F" w:rsidRPr="00F534BF">
        <w:rPr>
          <w:rFonts w:ascii="Arial" w:hAnsi="Arial" w:cs="Arial"/>
          <w:kern w:val="0"/>
        </w:rPr>
        <w:t xml:space="preserve">The alleviation of the symptoms of psoriasis and other dermatologic conditions that cause skin irritation in patients who received sodium bicarbonate baths was attributed to the </w:t>
      </w:r>
      <w:r w:rsidR="004C6DED" w:rsidRPr="00F534BF">
        <w:rPr>
          <w:rFonts w:ascii="Arial" w:hAnsi="Arial" w:cs="Arial"/>
          <w:kern w:val="0"/>
        </w:rPr>
        <w:t>alkaline</w:t>
      </w:r>
      <w:r w:rsidR="00CE764F" w:rsidRPr="00F534BF">
        <w:rPr>
          <w:rFonts w:ascii="Arial" w:hAnsi="Arial" w:cs="Arial"/>
          <w:kern w:val="0"/>
        </w:rPr>
        <w:t xml:space="preserve"> pr</w:t>
      </w:r>
      <w:r w:rsidR="00F92FE5" w:rsidRPr="00F534BF">
        <w:rPr>
          <w:rFonts w:ascii="Arial" w:hAnsi="Arial" w:cs="Arial"/>
          <w:kern w:val="0"/>
        </w:rPr>
        <w:t>operties of sodium bicarbonate which neutralized keratinocyte proliferation from these conditions (</w:t>
      </w:r>
      <w:proofErr w:type="spellStart"/>
      <w:r w:rsidR="00F92FE5" w:rsidRPr="00F534BF">
        <w:rPr>
          <w:rFonts w:ascii="Arial" w:hAnsi="Arial" w:cs="Arial"/>
          <w:kern w:val="0"/>
        </w:rPr>
        <w:t>Baiyasi</w:t>
      </w:r>
      <w:proofErr w:type="spellEnd"/>
      <w:r w:rsidR="00F92FE5" w:rsidRPr="00F534BF">
        <w:rPr>
          <w:rFonts w:ascii="Arial" w:hAnsi="Arial" w:cs="Arial"/>
          <w:kern w:val="0"/>
        </w:rPr>
        <w:t xml:space="preserve"> et al., 2024). However, some studies have indicated </w:t>
      </w:r>
      <w:r w:rsidR="00DC7AE5" w:rsidRPr="00F534BF">
        <w:rPr>
          <w:rFonts w:ascii="Arial" w:hAnsi="Arial" w:cs="Arial"/>
          <w:kern w:val="0"/>
        </w:rPr>
        <w:t xml:space="preserve">adverse effects from the use of baking soda for home remedies, with users reporting skin irritation and metabolic alkalosis. </w:t>
      </w:r>
      <w:r w:rsidR="00A62201" w:rsidRPr="00F534BF">
        <w:rPr>
          <w:rFonts w:ascii="Arial" w:hAnsi="Arial" w:cs="Arial"/>
          <w:kern w:val="0"/>
        </w:rPr>
        <w:t>As such, an</w:t>
      </w:r>
      <w:r w:rsidR="00DC7AE5" w:rsidRPr="00F534BF">
        <w:rPr>
          <w:rFonts w:ascii="Arial" w:hAnsi="Arial" w:cs="Arial"/>
          <w:kern w:val="0"/>
        </w:rPr>
        <w:t xml:space="preserve"> </w:t>
      </w:r>
      <w:r w:rsidR="00D14F3C" w:rsidRPr="00F534BF">
        <w:rPr>
          <w:rFonts w:ascii="Arial" w:hAnsi="Arial" w:cs="Arial"/>
          <w:kern w:val="0"/>
        </w:rPr>
        <w:t xml:space="preserve">in-depth </w:t>
      </w:r>
      <w:r w:rsidR="00DC7AE5" w:rsidRPr="00F534BF">
        <w:rPr>
          <w:rFonts w:ascii="Arial" w:hAnsi="Arial" w:cs="Arial"/>
          <w:kern w:val="0"/>
        </w:rPr>
        <w:t xml:space="preserve">understanding </w:t>
      </w:r>
      <w:r w:rsidR="00A62201" w:rsidRPr="00F534BF">
        <w:rPr>
          <w:rFonts w:ascii="Arial" w:hAnsi="Arial" w:cs="Arial"/>
          <w:kern w:val="0"/>
        </w:rPr>
        <w:t xml:space="preserve">of </w:t>
      </w:r>
      <w:r w:rsidR="00D14F3C" w:rsidRPr="00F534BF">
        <w:rPr>
          <w:rFonts w:ascii="Arial" w:hAnsi="Arial" w:cs="Arial"/>
          <w:kern w:val="0"/>
        </w:rPr>
        <w:t>acid-base reactions is useful for the development of safe medication</w:t>
      </w:r>
      <w:r w:rsidR="004C6DED" w:rsidRPr="00F534BF">
        <w:rPr>
          <w:rFonts w:ascii="Arial" w:hAnsi="Arial" w:cs="Arial"/>
          <w:kern w:val="0"/>
        </w:rPr>
        <w:t>, the determination of correct dosages for the desired action times, and</w:t>
      </w:r>
      <w:r w:rsidR="00D14F3C" w:rsidRPr="00F534BF">
        <w:rPr>
          <w:rFonts w:ascii="Arial" w:hAnsi="Arial" w:cs="Arial"/>
          <w:kern w:val="0"/>
        </w:rPr>
        <w:t xml:space="preserve"> the prediction of possible side effects depending on an individual’s body chemistry. </w:t>
      </w:r>
      <w:r w:rsidR="00154ECA" w:rsidRPr="00F534BF">
        <w:rPr>
          <w:rFonts w:ascii="Arial" w:hAnsi="Arial" w:cs="Arial"/>
          <w:kern w:val="0"/>
        </w:rPr>
        <w:t xml:space="preserve">The current study </w:t>
      </w:r>
      <w:r w:rsidR="0032190C" w:rsidRPr="00F534BF">
        <w:rPr>
          <w:rFonts w:ascii="Arial" w:hAnsi="Arial" w:cs="Arial"/>
          <w:kern w:val="0"/>
        </w:rPr>
        <w:t xml:space="preserve">contributes to this effort by </w:t>
      </w:r>
      <w:r w:rsidR="004C6DED" w:rsidRPr="00F534BF">
        <w:rPr>
          <w:rFonts w:ascii="Arial" w:hAnsi="Arial" w:cs="Arial"/>
          <w:kern w:val="0"/>
        </w:rPr>
        <w:t>examin</w:t>
      </w:r>
      <w:r w:rsidR="0032190C" w:rsidRPr="00F534BF">
        <w:rPr>
          <w:rFonts w:ascii="Arial" w:hAnsi="Arial" w:cs="Arial"/>
          <w:kern w:val="0"/>
        </w:rPr>
        <w:t>ing</w:t>
      </w:r>
      <w:r w:rsidR="004C6DED" w:rsidRPr="00F534BF">
        <w:rPr>
          <w:rFonts w:ascii="Arial" w:hAnsi="Arial" w:cs="Arial"/>
          <w:kern w:val="0"/>
        </w:rPr>
        <w:t xml:space="preserve"> the</w:t>
      </w:r>
      <w:r w:rsidR="0032190C" w:rsidRPr="00F534BF">
        <w:rPr>
          <w:rFonts w:ascii="Arial" w:hAnsi="Arial" w:cs="Arial"/>
          <w:kern w:val="0"/>
        </w:rPr>
        <w:t xml:space="preserve"> effect of varying vinegar concentration on the</w:t>
      </w:r>
      <w:r w:rsidR="004C6DED" w:rsidRPr="00F534BF">
        <w:rPr>
          <w:rFonts w:ascii="Arial" w:hAnsi="Arial" w:cs="Arial"/>
          <w:kern w:val="0"/>
        </w:rPr>
        <w:t xml:space="preserve"> speed of reaction between baking soda </w:t>
      </w:r>
      <w:r w:rsidR="0032190C" w:rsidRPr="00F534BF">
        <w:rPr>
          <w:rFonts w:ascii="Arial" w:hAnsi="Arial" w:cs="Arial"/>
          <w:kern w:val="0"/>
        </w:rPr>
        <w:t>and vinegar.</w:t>
      </w:r>
    </w:p>
    <w:p w14:paraId="3EB65C70" w14:textId="6EE10FF0" w:rsidR="00B60900" w:rsidRPr="00F534BF" w:rsidRDefault="00B60900" w:rsidP="00F534BF">
      <w:pPr>
        <w:widowControl w:val="0"/>
        <w:autoSpaceDE w:val="0"/>
        <w:autoSpaceDN w:val="0"/>
        <w:adjustRightInd w:val="0"/>
        <w:spacing w:line="360" w:lineRule="auto"/>
        <w:rPr>
          <w:rFonts w:ascii="Arial" w:hAnsi="Arial" w:cs="Arial"/>
          <w:b/>
          <w:bCs/>
          <w:kern w:val="0"/>
        </w:rPr>
      </w:pPr>
      <w:r w:rsidRPr="00F534BF">
        <w:rPr>
          <w:rFonts w:ascii="Arial" w:hAnsi="Arial" w:cs="Arial"/>
          <w:b/>
          <w:bCs/>
          <w:kern w:val="0"/>
        </w:rPr>
        <w:t>Hypothesis</w:t>
      </w:r>
    </w:p>
    <w:p w14:paraId="2413E376" w14:textId="218A536A" w:rsidR="004924C4" w:rsidRPr="00F534BF" w:rsidRDefault="00B60900"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I hypothesized that the </w:t>
      </w:r>
      <w:r w:rsidR="003C2FA7" w:rsidRPr="00F534BF">
        <w:rPr>
          <w:rFonts w:ascii="Arial" w:hAnsi="Arial" w:cs="Arial"/>
          <w:kern w:val="0"/>
        </w:rPr>
        <w:t>vinegar and baking soda reaction time will be slowe</w:t>
      </w:r>
      <w:r w:rsidR="00753D31" w:rsidRPr="00F534BF">
        <w:rPr>
          <w:rFonts w:ascii="Arial" w:hAnsi="Arial" w:cs="Arial"/>
          <w:kern w:val="0"/>
        </w:rPr>
        <w:t xml:space="preserve">r when using diluted vinegar </w:t>
      </w:r>
      <w:r w:rsidR="0013776A" w:rsidRPr="00F534BF">
        <w:rPr>
          <w:rFonts w:ascii="Arial" w:hAnsi="Arial" w:cs="Arial"/>
          <w:kern w:val="0"/>
        </w:rPr>
        <w:t>as compared to concentrated vinegar</w:t>
      </w:r>
      <w:r w:rsidR="00EB3BE0" w:rsidRPr="00F534BF">
        <w:rPr>
          <w:rFonts w:ascii="Arial" w:hAnsi="Arial" w:cs="Arial"/>
          <w:kern w:val="0"/>
        </w:rPr>
        <w:t xml:space="preserve">. </w:t>
      </w:r>
      <w:r w:rsidR="00753D31" w:rsidRPr="00F534BF">
        <w:rPr>
          <w:rFonts w:ascii="Arial" w:hAnsi="Arial" w:cs="Arial"/>
          <w:kern w:val="0"/>
        </w:rPr>
        <w:t>The same</w:t>
      </w:r>
      <w:r w:rsidR="0013776A" w:rsidRPr="00F534BF">
        <w:rPr>
          <w:rFonts w:ascii="Arial" w:hAnsi="Arial" w:cs="Arial"/>
          <w:kern w:val="0"/>
        </w:rPr>
        <w:t xml:space="preserve"> mass</w:t>
      </w:r>
      <w:r w:rsidR="00753D31" w:rsidRPr="00F534BF">
        <w:rPr>
          <w:rFonts w:ascii="Arial" w:hAnsi="Arial" w:cs="Arial"/>
          <w:kern w:val="0"/>
        </w:rPr>
        <w:t xml:space="preserve"> (250g) of vinegar was used in both instances</w:t>
      </w:r>
      <w:r w:rsidR="000E2A8B" w:rsidRPr="00F534BF">
        <w:rPr>
          <w:rFonts w:ascii="Arial" w:hAnsi="Arial" w:cs="Arial"/>
          <w:kern w:val="0"/>
        </w:rPr>
        <w:t xml:space="preserve">; however, the lower </w:t>
      </w:r>
      <w:r w:rsidR="00177A77" w:rsidRPr="00F534BF">
        <w:rPr>
          <w:rFonts w:ascii="Arial" w:hAnsi="Arial" w:cs="Arial"/>
          <w:kern w:val="0"/>
        </w:rPr>
        <w:t>mo</w:t>
      </w:r>
      <w:r w:rsidR="000E2A8B" w:rsidRPr="00F534BF">
        <w:rPr>
          <w:rFonts w:ascii="Arial" w:hAnsi="Arial" w:cs="Arial"/>
          <w:kern w:val="0"/>
        </w:rPr>
        <w:t>larity of acetic acid</w:t>
      </w:r>
      <w:r w:rsidR="00177A77" w:rsidRPr="00F534BF">
        <w:rPr>
          <w:rFonts w:ascii="Arial" w:hAnsi="Arial" w:cs="Arial"/>
          <w:kern w:val="0"/>
        </w:rPr>
        <w:t xml:space="preserve"> </w:t>
      </w:r>
      <w:r w:rsidR="004924C4" w:rsidRPr="00F534BF">
        <w:rPr>
          <w:rFonts w:ascii="Arial" w:hAnsi="Arial" w:cs="Arial"/>
          <w:kern w:val="0"/>
        </w:rPr>
        <w:t>(</w:t>
      </w:r>
      <w:r w:rsidR="00177A77" w:rsidRPr="00F534BF">
        <w:rPr>
          <w:rFonts w:ascii="Arial" w:hAnsi="Arial" w:cs="Arial"/>
          <w:kern w:val="0"/>
        </w:rPr>
        <w:t>CH</w:t>
      </w:r>
      <w:r w:rsidR="00177A77" w:rsidRPr="00F534BF">
        <w:rPr>
          <w:rFonts w:ascii="Arial" w:hAnsi="Arial" w:cs="Arial"/>
          <w:kern w:val="0"/>
          <w:vertAlign w:val="subscript"/>
        </w:rPr>
        <w:t>3</w:t>
      </w:r>
      <w:r w:rsidR="00177A77" w:rsidRPr="00F534BF">
        <w:rPr>
          <w:rFonts w:ascii="Arial" w:hAnsi="Arial" w:cs="Arial"/>
          <w:kern w:val="0"/>
        </w:rPr>
        <w:t>COOH</w:t>
      </w:r>
      <w:r w:rsidR="004924C4" w:rsidRPr="00F534BF">
        <w:rPr>
          <w:rFonts w:ascii="Arial" w:hAnsi="Arial" w:cs="Arial"/>
          <w:kern w:val="0"/>
        </w:rPr>
        <w:t>) is expected to reduce the vigor of the reaction between acetic acid and sodium bicarbonate hence the slower reaction time</w:t>
      </w:r>
    </w:p>
    <w:p w14:paraId="00A44B63" w14:textId="5E026C28" w:rsidR="002155E8" w:rsidRPr="00F534BF" w:rsidRDefault="004924C4"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The expectation of a slower reaction time </w:t>
      </w:r>
      <w:r w:rsidR="00D7744E" w:rsidRPr="00F534BF">
        <w:rPr>
          <w:rFonts w:ascii="Arial" w:hAnsi="Arial" w:cs="Arial"/>
          <w:kern w:val="0"/>
        </w:rPr>
        <w:t xml:space="preserve">for dilute vinegar is </w:t>
      </w:r>
      <w:r w:rsidR="00A339FC" w:rsidRPr="00F534BF">
        <w:rPr>
          <w:rFonts w:ascii="Arial" w:hAnsi="Arial" w:cs="Arial"/>
          <w:kern w:val="0"/>
        </w:rPr>
        <w:t>informed by the collision theory of reactivity (</w:t>
      </w:r>
      <w:r w:rsidR="00B80C01" w:rsidRPr="00F534BF">
        <w:rPr>
          <w:rFonts w:ascii="Arial" w:hAnsi="Arial" w:cs="Arial"/>
          <w:kern w:val="0"/>
        </w:rPr>
        <w:t>Jessie</w:t>
      </w:r>
      <w:r w:rsidR="00A339FC" w:rsidRPr="00F534BF">
        <w:rPr>
          <w:rFonts w:ascii="Arial" w:hAnsi="Arial" w:cs="Arial"/>
          <w:kern w:val="0"/>
        </w:rPr>
        <w:t xml:space="preserve">, </w:t>
      </w:r>
      <w:r w:rsidR="00B80C01" w:rsidRPr="00F534BF">
        <w:rPr>
          <w:rFonts w:ascii="Arial" w:hAnsi="Arial" w:cs="Arial"/>
          <w:kern w:val="0"/>
        </w:rPr>
        <w:t>2014</w:t>
      </w:r>
      <w:r w:rsidR="00A339FC" w:rsidRPr="00F534BF">
        <w:rPr>
          <w:rFonts w:ascii="Arial" w:hAnsi="Arial" w:cs="Arial"/>
          <w:kern w:val="0"/>
        </w:rPr>
        <w:t>)</w:t>
      </w:r>
      <w:r w:rsidRPr="00F534BF">
        <w:rPr>
          <w:rFonts w:ascii="Arial" w:hAnsi="Arial" w:cs="Arial"/>
          <w:kern w:val="0"/>
        </w:rPr>
        <w:t xml:space="preserve">. </w:t>
      </w:r>
      <w:r w:rsidR="00A339FC" w:rsidRPr="00F534BF">
        <w:rPr>
          <w:rFonts w:ascii="Arial" w:hAnsi="Arial" w:cs="Arial"/>
          <w:kern w:val="0"/>
        </w:rPr>
        <w:t xml:space="preserve">According to this theory, an effective collision must occur between reactant molecules for a reaction to occur with the </w:t>
      </w:r>
      <w:r w:rsidR="00A339FC" w:rsidRPr="00F534BF">
        <w:rPr>
          <w:rFonts w:ascii="Arial" w:hAnsi="Arial" w:cs="Arial"/>
          <w:kern w:val="0"/>
        </w:rPr>
        <w:lastRenderedPageBreak/>
        <w:t>speed of reaction increasing with an increase in the number of effective collisions (</w:t>
      </w:r>
      <w:r w:rsidR="00B80C01" w:rsidRPr="00F534BF">
        <w:rPr>
          <w:rFonts w:ascii="Arial" w:hAnsi="Arial" w:cs="Arial"/>
          <w:kern w:val="0"/>
        </w:rPr>
        <w:t>Jessie</w:t>
      </w:r>
      <w:r w:rsidR="00A339FC" w:rsidRPr="00F534BF">
        <w:rPr>
          <w:rFonts w:ascii="Arial" w:hAnsi="Arial" w:cs="Arial"/>
          <w:kern w:val="0"/>
        </w:rPr>
        <w:t xml:space="preserve">, </w:t>
      </w:r>
      <w:r w:rsidR="00B80C01" w:rsidRPr="00F534BF">
        <w:rPr>
          <w:rFonts w:ascii="Arial" w:hAnsi="Arial" w:cs="Arial"/>
          <w:kern w:val="0"/>
        </w:rPr>
        <w:t>2014</w:t>
      </w:r>
      <w:r w:rsidR="00A339FC" w:rsidRPr="00F534BF">
        <w:rPr>
          <w:rFonts w:ascii="Arial" w:hAnsi="Arial" w:cs="Arial"/>
          <w:kern w:val="0"/>
        </w:rPr>
        <w:t xml:space="preserve">). The presence of more reactant moles, as in the case of a concentrated reactant, and faster movement </w:t>
      </w:r>
      <w:r w:rsidR="002155E8" w:rsidRPr="00F534BF">
        <w:rPr>
          <w:rFonts w:ascii="Arial" w:hAnsi="Arial" w:cs="Arial"/>
          <w:kern w:val="0"/>
        </w:rPr>
        <w:t>of molecules, as in the case of a heated solution, will increase the number of effective collisions and consequently, the speed of the reaction (</w:t>
      </w:r>
      <w:r w:rsidR="00B80C01" w:rsidRPr="00F534BF">
        <w:rPr>
          <w:rFonts w:ascii="Arial" w:hAnsi="Arial" w:cs="Arial"/>
          <w:kern w:val="0"/>
        </w:rPr>
        <w:t>Jessie</w:t>
      </w:r>
      <w:r w:rsidR="002155E8" w:rsidRPr="00F534BF">
        <w:rPr>
          <w:rFonts w:ascii="Arial" w:hAnsi="Arial" w:cs="Arial"/>
          <w:kern w:val="0"/>
        </w:rPr>
        <w:t xml:space="preserve">, </w:t>
      </w:r>
      <w:r w:rsidR="00B80C01" w:rsidRPr="00F534BF">
        <w:rPr>
          <w:rFonts w:ascii="Arial" w:hAnsi="Arial" w:cs="Arial"/>
          <w:kern w:val="0"/>
        </w:rPr>
        <w:t>2014</w:t>
      </w:r>
      <w:r w:rsidR="002155E8" w:rsidRPr="00F534BF">
        <w:rPr>
          <w:rFonts w:ascii="Arial" w:hAnsi="Arial" w:cs="Arial"/>
          <w:kern w:val="0"/>
        </w:rPr>
        <w:t xml:space="preserve">). </w:t>
      </w:r>
    </w:p>
    <w:p w14:paraId="05F81E02" w14:textId="0185AF1B" w:rsidR="00C36E9C" w:rsidRPr="00F534BF" w:rsidRDefault="00C36E9C" w:rsidP="00F534BF">
      <w:pPr>
        <w:widowControl w:val="0"/>
        <w:autoSpaceDE w:val="0"/>
        <w:autoSpaceDN w:val="0"/>
        <w:adjustRightInd w:val="0"/>
        <w:spacing w:line="360" w:lineRule="auto"/>
        <w:rPr>
          <w:rFonts w:ascii="Arial" w:hAnsi="Arial" w:cs="Arial"/>
          <w:b/>
          <w:bCs/>
          <w:kern w:val="0"/>
        </w:rPr>
      </w:pPr>
      <w:r w:rsidRPr="00F534BF">
        <w:rPr>
          <w:rFonts w:ascii="Arial" w:hAnsi="Arial" w:cs="Arial"/>
          <w:b/>
          <w:bCs/>
          <w:kern w:val="0"/>
        </w:rPr>
        <w:t>Methods</w:t>
      </w:r>
    </w:p>
    <w:p w14:paraId="54EAAE74" w14:textId="6661460A" w:rsidR="00605CBD" w:rsidRPr="00F534BF" w:rsidRDefault="00C36E9C"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The independent variable</w:t>
      </w:r>
      <w:r w:rsidR="00FC1425" w:rsidRPr="00F534BF">
        <w:rPr>
          <w:rFonts w:ascii="Arial" w:hAnsi="Arial" w:cs="Arial"/>
          <w:kern w:val="0"/>
        </w:rPr>
        <w:t xml:space="preserve"> (IV)</w:t>
      </w:r>
      <w:r w:rsidRPr="00F534BF">
        <w:rPr>
          <w:rFonts w:ascii="Arial" w:hAnsi="Arial" w:cs="Arial"/>
          <w:kern w:val="0"/>
        </w:rPr>
        <w:t xml:space="preserve"> is acetic acid concentration. </w:t>
      </w:r>
      <w:r w:rsidR="005152B3" w:rsidRPr="00F534BF">
        <w:rPr>
          <w:rFonts w:ascii="Arial" w:hAnsi="Arial" w:cs="Arial"/>
          <w:kern w:val="0"/>
        </w:rPr>
        <w:t>The variable was manipulated to create two categories by diluting</w:t>
      </w:r>
      <w:r w:rsidR="00FC1425" w:rsidRPr="00F534BF">
        <w:rPr>
          <w:rFonts w:ascii="Arial" w:hAnsi="Arial" w:cs="Arial"/>
          <w:kern w:val="0"/>
        </w:rPr>
        <w:t xml:space="preserve"> store-bought white</w:t>
      </w:r>
      <w:r w:rsidR="005152B3" w:rsidRPr="00F534BF">
        <w:rPr>
          <w:rFonts w:ascii="Arial" w:hAnsi="Arial" w:cs="Arial"/>
          <w:kern w:val="0"/>
        </w:rPr>
        <w:t xml:space="preserve"> vinegar. The first category</w:t>
      </w:r>
      <w:r w:rsidR="00FC1425" w:rsidRPr="00F534BF">
        <w:rPr>
          <w:rFonts w:ascii="Arial" w:hAnsi="Arial" w:cs="Arial"/>
          <w:kern w:val="0"/>
        </w:rPr>
        <w:t xml:space="preserve"> of the IV</w:t>
      </w:r>
      <w:r w:rsidR="005152B3" w:rsidRPr="00F534BF">
        <w:rPr>
          <w:rFonts w:ascii="Arial" w:hAnsi="Arial" w:cs="Arial"/>
          <w:kern w:val="0"/>
        </w:rPr>
        <w:t xml:space="preserve"> is the undiluted/concentrated</w:t>
      </w:r>
      <w:r w:rsidR="00FC1425" w:rsidRPr="00F534BF">
        <w:rPr>
          <w:rFonts w:ascii="Arial" w:hAnsi="Arial" w:cs="Arial"/>
          <w:kern w:val="0"/>
        </w:rPr>
        <w:t xml:space="preserve"> white </w:t>
      </w:r>
      <w:r w:rsidR="005152B3" w:rsidRPr="00F534BF">
        <w:rPr>
          <w:rFonts w:ascii="Arial" w:hAnsi="Arial" w:cs="Arial"/>
          <w:kern w:val="0"/>
        </w:rPr>
        <w:t xml:space="preserve">vinegar which contains 7% acetic acid as per the </w:t>
      </w:r>
      <w:r w:rsidR="00FC1425" w:rsidRPr="00F534BF">
        <w:rPr>
          <w:rFonts w:ascii="Arial" w:hAnsi="Arial" w:cs="Arial"/>
          <w:kern w:val="0"/>
        </w:rPr>
        <w:t>nutrition facts labels. The second category is diluted vinegar</w:t>
      </w:r>
      <w:r w:rsidR="00605CBD" w:rsidRPr="00F534BF">
        <w:rPr>
          <w:rFonts w:ascii="Arial" w:hAnsi="Arial" w:cs="Arial"/>
          <w:kern w:val="0"/>
        </w:rPr>
        <w:t xml:space="preserve"> with a 1:1 vinegar and water ratio. </w:t>
      </w:r>
    </w:p>
    <w:p w14:paraId="78C68AD4" w14:textId="77777777" w:rsidR="005F59B5" w:rsidRPr="00F534BF" w:rsidRDefault="00605CBD"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The</w:t>
      </w:r>
      <w:r w:rsidR="00C36E9C" w:rsidRPr="00F534BF">
        <w:rPr>
          <w:rFonts w:ascii="Arial" w:hAnsi="Arial" w:cs="Arial"/>
          <w:kern w:val="0"/>
        </w:rPr>
        <w:t xml:space="preserve"> dependent variable is reaction time. I measured </w:t>
      </w:r>
      <w:r w:rsidR="004F4932" w:rsidRPr="00F534BF">
        <w:rPr>
          <w:rFonts w:ascii="Arial" w:hAnsi="Arial" w:cs="Arial"/>
          <w:kern w:val="0"/>
        </w:rPr>
        <w:t xml:space="preserve">reaction time in seconds and it corresponds to the amount of time between the addition of </w:t>
      </w:r>
      <w:r w:rsidR="00A976CB" w:rsidRPr="00F534BF">
        <w:rPr>
          <w:rFonts w:ascii="Arial" w:hAnsi="Arial" w:cs="Arial"/>
          <w:kern w:val="0"/>
        </w:rPr>
        <w:t>baking soda to the vinegar solution and the end of the reaction (signaled by the end of fizzing).</w:t>
      </w:r>
    </w:p>
    <w:p w14:paraId="509FFD7A" w14:textId="6652E532" w:rsidR="00A976CB" w:rsidRPr="00F534BF" w:rsidRDefault="005F59B5"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The </w:t>
      </w:r>
      <w:r w:rsidR="00E41C1B" w:rsidRPr="00F534BF">
        <w:rPr>
          <w:rFonts w:ascii="Arial" w:hAnsi="Arial" w:cs="Arial"/>
          <w:kern w:val="0"/>
        </w:rPr>
        <w:t xml:space="preserve">current experiment could be confounded by the variation in other determinants of reaction time. The relevant confounding variables </w:t>
      </w:r>
      <w:r w:rsidRPr="00F534BF">
        <w:rPr>
          <w:rFonts w:ascii="Arial" w:hAnsi="Arial" w:cs="Arial"/>
          <w:kern w:val="0"/>
        </w:rPr>
        <w:t>include temperature</w:t>
      </w:r>
      <w:r w:rsidR="00E52E62" w:rsidRPr="00F534BF">
        <w:rPr>
          <w:rFonts w:ascii="Arial" w:hAnsi="Arial" w:cs="Arial"/>
          <w:kern w:val="0"/>
        </w:rPr>
        <w:t xml:space="preserve"> </w:t>
      </w:r>
      <w:r w:rsidR="0075264F" w:rsidRPr="00F534BF">
        <w:rPr>
          <w:rFonts w:ascii="Arial" w:hAnsi="Arial" w:cs="Arial"/>
          <w:kern w:val="0"/>
        </w:rPr>
        <w:t>and the order of reactant addition (baking soda added to vinegar or vinegar added to baking soda)</w:t>
      </w:r>
      <w:r w:rsidR="00E41C1B" w:rsidRPr="00F534BF">
        <w:rPr>
          <w:rFonts w:ascii="Arial" w:hAnsi="Arial" w:cs="Arial"/>
          <w:kern w:val="0"/>
        </w:rPr>
        <w:t xml:space="preserve">. An increase in temperature will increase the reaction rate by increasing the number of effective collisions. </w:t>
      </w:r>
      <w:r w:rsidR="00E52E62" w:rsidRPr="00F534BF">
        <w:rPr>
          <w:rFonts w:ascii="Arial" w:hAnsi="Arial" w:cs="Arial"/>
          <w:kern w:val="0"/>
        </w:rPr>
        <w:t xml:space="preserve">Adding baking soda to vinegar is also expected to result in faster reaction times when compared to adding vinegar to baking soda as in the former, the baking soda is dispersed over the vinegar at a faster rate increasing the effectiveness of the collisions. Thus, these two factors should be held constant </w:t>
      </w:r>
      <w:r w:rsidR="005A300E" w:rsidRPr="00F534BF">
        <w:rPr>
          <w:rFonts w:ascii="Arial" w:hAnsi="Arial" w:cs="Arial"/>
          <w:kern w:val="0"/>
        </w:rPr>
        <w:t>for the two independent variable levels to ensure that the difference in reaction times can be traced to the difference in vinegar concentration</w:t>
      </w:r>
      <w:r w:rsidR="00E52E62" w:rsidRPr="00F534BF">
        <w:rPr>
          <w:rFonts w:ascii="Arial" w:hAnsi="Arial" w:cs="Arial"/>
          <w:kern w:val="0"/>
        </w:rPr>
        <w:t>.</w:t>
      </w:r>
      <w:r w:rsidR="00CE5CC9" w:rsidRPr="00F534BF">
        <w:rPr>
          <w:rFonts w:ascii="Arial" w:hAnsi="Arial" w:cs="Arial"/>
          <w:kern w:val="0"/>
        </w:rPr>
        <w:t xml:space="preserve"> I added baking soda to the vinegar in all </w:t>
      </w:r>
      <w:r w:rsidR="00705F14" w:rsidRPr="00F534BF">
        <w:rPr>
          <w:rFonts w:ascii="Arial" w:hAnsi="Arial" w:cs="Arial"/>
          <w:kern w:val="0"/>
        </w:rPr>
        <w:t>eight</w:t>
      </w:r>
      <w:r w:rsidR="00CE5CC9" w:rsidRPr="00F534BF">
        <w:rPr>
          <w:rFonts w:ascii="Arial" w:hAnsi="Arial" w:cs="Arial"/>
          <w:kern w:val="0"/>
        </w:rPr>
        <w:t xml:space="preserve"> trials conducted (</w:t>
      </w:r>
      <w:r w:rsidR="00705F14" w:rsidRPr="00F534BF">
        <w:rPr>
          <w:rFonts w:ascii="Arial" w:hAnsi="Arial" w:cs="Arial"/>
          <w:kern w:val="0"/>
        </w:rPr>
        <w:t xml:space="preserve">four trials per IV category). I conducted all eight trials </w:t>
      </w:r>
      <w:r w:rsidR="0087568F" w:rsidRPr="00F534BF">
        <w:rPr>
          <w:rFonts w:ascii="Arial" w:hAnsi="Arial" w:cs="Arial"/>
          <w:kern w:val="0"/>
        </w:rPr>
        <w:t xml:space="preserve">within an hour </w:t>
      </w:r>
      <w:r w:rsidR="00705F14" w:rsidRPr="00F534BF">
        <w:rPr>
          <w:rFonts w:ascii="Arial" w:hAnsi="Arial" w:cs="Arial"/>
          <w:kern w:val="0"/>
        </w:rPr>
        <w:t>in the same in-door location with stable temperature. I a</w:t>
      </w:r>
      <w:r w:rsidR="0087568F" w:rsidRPr="00F534BF">
        <w:rPr>
          <w:rFonts w:ascii="Arial" w:hAnsi="Arial" w:cs="Arial"/>
          <w:kern w:val="0"/>
        </w:rPr>
        <w:t xml:space="preserve">lso </w:t>
      </w:r>
      <w:r w:rsidR="00705F14" w:rsidRPr="00F534BF">
        <w:rPr>
          <w:rFonts w:ascii="Arial" w:hAnsi="Arial" w:cs="Arial"/>
          <w:kern w:val="0"/>
        </w:rPr>
        <w:t>washed and dried the container</w:t>
      </w:r>
      <w:r w:rsidR="00FD7568" w:rsidRPr="00F534BF">
        <w:rPr>
          <w:rFonts w:ascii="Arial" w:hAnsi="Arial" w:cs="Arial"/>
          <w:kern w:val="0"/>
        </w:rPr>
        <w:t xml:space="preserve"> using tap water</w:t>
      </w:r>
      <w:r w:rsidR="00705F14" w:rsidRPr="00F534BF">
        <w:rPr>
          <w:rFonts w:ascii="Arial" w:hAnsi="Arial" w:cs="Arial"/>
          <w:kern w:val="0"/>
        </w:rPr>
        <w:t xml:space="preserve"> before proceeding to the next trial </w:t>
      </w:r>
      <w:r w:rsidR="00801220" w:rsidRPr="00F534BF">
        <w:rPr>
          <w:rFonts w:ascii="Arial" w:hAnsi="Arial" w:cs="Arial"/>
          <w:kern w:val="0"/>
        </w:rPr>
        <w:t xml:space="preserve">as the reaction is endothermic and the </w:t>
      </w:r>
      <w:r w:rsidR="00FD7568" w:rsidRPr="00F534BF">
        <w:rPr>
          <w:rFonts w:ascii="Arial" w:hAnsi="Arial" w:cs="Arial"/>
          <w:kern w:val="0"/>
        </w:rPr>
        <w:t xml:space="preserve">temperature change could reduce the speed of subsequent trials. </w:t>
      </w:r>
    </w:p>
    <w:p w14:paraId="009D8485" w14:textId="112D92D8" w:rsidR="00B9090C" w:rsidRPr="00F534BF" w:rsidRDefault="00B9090C"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The materials used in the experiment include</w:t>
      </w:r>
      <w:r w:rsidR="006512FD" w:rsidRPr="00F534BF">
        <w:rPr>
          <w:rFonts w:ascii="Arial" w:hAnsi="Arial" w:cs="Arial"/>
          <w:kern w:val="0"/>
        </w:rPr>
        <w:t>:</w:t>
      </w:r>
    </w:p>
    <w:p w14:paraId="2A2D5572" w14:textId="06EE02E8"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lastRenderedPageBreak/>
        <w:t xml:space="preserve">7% acetic acid </w:t>
      </w:r>
      <w:r w:rsidR="009F5A5A" w:rsidRPr="00F534BF">
        <w:rPr>
          <w:rFonts w:ascii="Arial" w:hAnsi="Arial" w:cs="Arial"/>
          <w:kern w:val="0"/>
        </w:rPr>
        <w:t>vinegar</w:t>
      </w:r>
    </w:p>
    <w:p w14:paraId="2833C5B1" w14:textId="77777777"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Baking soda</w:t>
      </w:r>
    </w:p>
    <w:p w14:paraId="6533D185" w14:textId="688D561D"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1-liter</w:t>
      </w:r>
      <w:r w:rsidR="006512FD" w:rsidRPr="00F534BF">
        <w:rPr>
          <w:rFonts w:ascii="Arial" w:hAnsi="Arial" w:cs="Arial"/>
          <w:kern w:val="0"/>
        </w:rPr>
        <w:t xml:space="preserve"> glass</w:t>
      </w:r>
      <w:r w:rsidRPr="00F534BF">
        <w:rPr>
          <w:rFonts w:ascii="Arial" w:hAnsi="Arial" w:cs="Arial"/>
          <w:kern w:val="0"/>
        </w:rPr>
        <w:t xml:space="preserve"> jug</w:t>
      </w:r>
    </w:p>
    <w:p w14:paraId="0FF9BA54" w14:textId="77777777"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Stopwatch application</w:t>
      </w:r>
    </w:p>
    <w:p w14:paraId="7A6DE847" w14:textId="77777777"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Kitchen scale</w:t>
      </w:r>
    </w:p>
    <w:p w14:paraId="4F1EA386" w14:textId="33BF38D0" w:rsidR="00B9090C" w:rsidRPr="00F534BF" w:rsidRDefault="00B9090C" w:rsidP="00F534BF">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 xml:space="preserve">Tap water </w:t>
      </w:r>
    </w:p>
    <w:p w14:paraId="7E0CD3DA" w14:textId="6C04EEA0" w:rsidR="00B9090C" w:rsidRPr="00340DA0" w:rsidRDefault="00B9090C" w:rsidP="00340DA0">
      <w:pPr>
        <w:pStyle w:val="ListParagraph"/>
        <w:widowControl w:val="0"/>
        <w:numPr>
          <w:ilvl w:val="0"/>
          <w:numId w:val="2"/>
        </w:numPr>
        <w:autoSpaceDE w:val="0"/>
        <w:autoSpaceDN w:val="0"/>
        <w:adjustRightInd w:val="0"/>
        <w:spacing w:line="360" w:lineRule="auto"/>
        <w:rPr>
          <w:rFonts w:ascii="Arial" w:hAnsi="Arial" w:cs="Arial"/>
          <w:kern w:val="0"/>
        </w:rPr>
      </w:pPr>
      <w:r w:rsidRPr="00F534BF">
        <w:rPr>
          <w:rFonts w:ascii="Arial" w:hAnsi="Arial" w:cs="Arial"/>
          <w:kern w:val="0"/>
        </w:rPr>
        <w:t>Notebook to record reaction times</w:t>
      </w:r>
    </w:p>
    <w:p w14:paraId="7FFA7ABB" w14:textId="36CA568A" w:rsidR="00C36E9C" w:rsidRPr="00F534BF" w:rsidRDefault="00C36E9C"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One mole of </w:t>
      </w:r>
      <w:r w:rsidR="009F5A5A" w:rsidRPr="00F534BF">
        <w:rPr>
          <w:rFonts w:ascii="Arial" w:hAnsi="Arial" w:cs="Arial"/>
          <w:kern w:val="0"/>
        </w:rPr>
        <w:t>acetic acid (</w:t>
      </w:r>
      <w:r w:rsidRPr="00F534BF">
        <w:rPr>
          <w:rFonts w:ascii="Arial" w:hAnsi="Arial" w:cs="Arial"/>
          <w:kern w:val="0"/>
        </w:rPr>
        <w:t>CH</w:t>
      </w:r>
      <w:r w:rsidRPr="00F534BF">
        <w:rPr>
          <w:rFonts w:ascii="Cambria Math" w:hAnsi="Cambria Math" w:cs="Cambria Math"/>
          <w:kern w:val="0"/>
        </w:rPr>
        <w:t>₃</w:t>
      </w:r>
      <w:r w:rsidRPr="00F534BF">
        <w:rPr>
          <w:rFonts w:ascii="Arial" w:hAnsi="Arial" w:cs="Arial"/>
          <w:kern w:val="0"/>
        </w:rPr>
        <w:t>COOH</w:t>
      </w:r>
      <w:r w:rsidR="009F5A5A" w:rsidRPr="00F534BF">
        <w:rPr>
          <w:rFonts w:ascii="Arial" w:hAnsi="Arial" w:cs="Arial"/>
          <w:kern w:val="0"/>
        </w:rPr>
        <w:t>)</w:t>
      </w:r>
      <w:r w:rsidRPr="00F534BF">
        <w:rPr>
          <w:rFonts w:ascii="Arial" w:hAnsi="Arial" w:cs="Arial"/>
          <w:kern w:val="0"/>
        </w:rPr>
        <w:t xml:space="preserve"> (60g) reacts with a mole of </w:t>
      </w:r>
      <w:r w:rsidR="009F5A5A" w:rsidRPr="00F534BF">
        <w:rPr>
          <w:rFonts w:ascii="Arial" w:hAnsi="Arial" w:cs="Arial"/>
          <w:kern w:val="0"/>
        </w:rPr>
        <w:t>sodium bicarbonate (</w:t>
      </w:r>
      <w:proofErr w:type="spellStart"/>
      <w:r w:rsidRPr="00F534BF">
        <w:rPr>
          <w:rFonts w:ascii="Arial" w:hAnsi="Arial" w:cs="Arial"/>
          <w:kern w:val="0"/>
        </w:rPr>
        <w:t>NaHCO</w:t>
      </w:r>
      <w:proofErr w:type="spellEnd"/>
      <w:r w:rsidRPr="00F534BF">
        <w:rPr>
          <w:rFonts w:ascii="Cambria Math" w:hAnsi="Cambria Math" w:cs="Cambria Math"/>
          <w:kern w:val="0"/>
        </w:rPr>
        <w:t>₃</w:t>
      </w:r>
      <w:r w:rsidR="009F5A5A" w:rsidRPr="00F534BF">
        <w:rPr>
          <w:rFonts w:ascii="Arial" w:hAnsi="Arial" w:cs="Arial"/>
          <w:kern w:val="0"/>
        </w:rPr>
        <w:t>)</w:t>
      </w:r>
      <w:r w:rsidRPr="00F534BF">
        <w:rPr>
          <w:rFonts w:ascii="Arial" w:hAnsi="Arial" w:cs="Arial"/>
          <w:kern w:val="0"/>
        </w:rPr>
        <w:t xml:space="preserve"> (84g) to produce a mole of the three chemical products – </w:t>
      </w:r>
      <w:r w:rsidR="00BE2CFD" w:rsidRPr="00F534BF">
        <w:rPr>
          <w:rFonts w:ascii="Arial" w:hAnsi="Arial" w:cs="Arial"/>
          <w:kern w:val="0"/>
        </w:rPr>
        <w:t>sodium acetate (</w:t>
      </w:r>
      <w:proofErr w:type="spellStart"/>
      <w:r w:rsidRPr="00F534BF">
        <w:rPr>
          <w:rFonts w:ascii="Arial" w:hAnsi="Arial" w:cs="Arial"/>
          <w:kern w:val="0"/>
        </w:rPr>
        <w:t>CH</w:t>
      </w:r>
      <w:r w:rsidRPr="00F534BF">
        <w:rPr>
          <w:rFonts w:ascii="Cambria Math" w:hAnsi="Cambria Math" w:cs="Cambria Math"/>
          <w:kern w:val="0"/>
        </w:rPr>
        <w:t>₃</w:t>
      </w:r>
      <w:r w:rsidRPr="00F534BF">
        <w:rPr>
          <w:rFonts w:ascii="Arial" w:hAnsi="Arial" w:cs="Arial"/>
          <w:kern w:val="0"/>
        </w:rPr>
        <w:t>COONa</w:t>
      </w:r>
      <w:proofErr w:type="spellEnd"/>
      <w:r w:rsidR="00BE2CFD" w:rsidRPr="00F534BF">
        <w:rPr>
          <w:rFonts w:ascii="Arial" w:hAnsi="Arial" w:cs="Arial"/>
          <w:kern w:val="0"/>
        </w:rPr>
        <w:t>)</w:t>
      </w:r>
      <w:r w:rsidRPr="00F534BF">
        <w:rPr>
          <w:rFonts w:ascii="Arial" w:hAnsi="Arial" w:cs="Arial"/>
          <w:kern w:val="0"/>
        </w:rPr>
        <w:t xml:space="preserve">, </w:t>
      </w:r>
      <w:r w:rsidR="00BE2CFD" w:rsidRPr="00F534BF">
        <w:rPr>
          <w:rFonts w:ascii="Arial" w:hAnsi="Arial" w:cs="Arial"/>
          <w:kern w:val="0"/>
        </w:rPr>
        <w:t>water (</w:t>
      </w:r>
      <w:r w:rsidRPr="00F534BF">
        <w:rPr>
          <w:rFonts w:ascii="Arial" w:hAnsi="Arial" w:cs="Arial"/>
          <w:kern w:val="0"/>
        </w:rPr>
        <w:t>H</w:t>
      </w:r>
      <w:r w:rsidRPr="00F534BF">
        <w:rPr>
          <w:rFonts w:ascii="Cambria Math" w:hAnsi="Cambria Math" w:cs="Cambria Math"/>
          <w:kern w:val="0"/>
        </w:rPr>
        <w:t>₂</w:t>
      </w:r>
      <w:r w:rsidRPr="00F534BF">
        <w:rPr>
          <w:rFonts w:ascii="Arial" w:hAnsi="Arial" w:cs="Arial"/>
          <w:kern w:val="0"/>
        </w:rPr>
        <w:t>O</w:t>
      </w:r>
      <w:r w:rsidR="00BE2CFD" w:rsidRPr="00F534BF">
        <w:rPr>
          <w:rFonts w:ascii="Arial" w:hAnsi="Arial" w:cs="Arial"/>
          <w:kern w:val="0"/>
        </w:rPr>
        <w:t>)</w:t>
      </w:r>
      <w:r w:rsidRPr="00F534BF">
        <w:rPr>
          <w:rFonts w:ascii="Arial" w:hAnsi="Arial" w:cs="Arial"/>
          <w:kern w:val="0"/>
        </w:rPr>
        <w:t xml:space="preserve">, and </w:t>
      </w:r>
      <w:r w:rsidR="00BE2CFD" w:rsidRPr="00F534BF">
        <w:rPr>
          <w:rFonts w:ascii="Arial" w:hAnsi="Arial" w:cs="Arial"/>
          <w:kern w:val="0"/>
        </w:rPr>
        <w:t>carbon IV oxide (</w:t>
      </w:r>
      <w:r w:rsidRPr="00F534BF">
        <w:rPr>
          <w:rFonts w:ascii="Arial" w:hAnsi="Arial" w:cs="Arial"/>
          <w:kern w:val="0"/>
        </w:rPr>
        <w:t>CO</w:t>
      </w:r>
      <w:r w:rsidRPr="00F534BF">
        <w:rPr>
          <w:rFonts w:ascii="Cambria Math" w:hAnsi="Cambria Math" w:cs="Cambria Math"/>
          <w:kern w:val="0"/>
        </w:rPr>
        <w:t>₂</w:t>
      </w:r>
      <w:r w:rsidR="00BE2CFD" w:rsidRPr="00F534BF">
        <w:rPr>
          <w:rFonts w:ascii="Arial" w:hAnsi="Arial" w:cs="Arial"/>
          <w:kern w:val="0"/>
        </w:rPr>
        <w:t>)</w:t>
      </w:r>
      <w:r w:rsidR="00BF6560" w:rsidRPr="00F534BF">
        <w:rPr>
          <w:rFonts w:ascii="Arial" w:hAnsi="Arial" w:cs="Arial"/>
          <w:kern w:val="0"/>
        </w:rPr>
        <w:t xml:space="preserve"> (Purdue University, n.d.)</w:t>
      </w:r>
      <w:r w:rsidRPr="00F534BF">
        <w:rPr>
          <w:rFonts w:ascii="Arial" w:hAnsi="Arial" w:cs="Arial"/>
          <w:kern w:val="0"/>
        </w:rPr>
        <w:t xml:space="preserve">. To ensure that the sodium bicarbonate was fully decomposed in both the dilute and undiluted vinegar </w:t>
      </w:r>
      <w:r w:rsidR="00C22748" w:rsidRPr="00F534BF">
        <w:rPr>
          <w:rFonts w:ascii="Arial" w:hAnsi="Arial" w:cs="Arial"/>
          <w:kern w:val="0"/>
        </w:rPr>
        <w:t>and consequently the accuracy of the reaction time measurements</w:t>
      </w:r>
      <w:r w:rsidRPr="00F534BF">
        <w:rPr>
          <w:rFonts w:ascii="Arial" w:hAnsi="Arial" w:cs="Arial"/>
          <w:kern w:val="0"/>
        </w:rPr>
        <w:t>, I</w:t>
      </w:r>
      <w:r w:rsidR="00C22748" w:rsidRPr="00F534BF">
        <w:rPr>
          <w:rFonts w:ascii="Arial" w:hAnsi="Arial" w:cs="Arial"/>
          <w:kern w:val="0"/>
        </w:rPr>
        <w:t xml:space="preserve"> first</w:t>
      </w:r>
      <w:r w:rsidRPr="00F534BF">
        <w:rPr>
          <w:rFonts w:ascii="Arial" w:hAnsi="Arial" w:cs="Arial"/>
          <w:kern w:val="0"/>
        </w:rPr>
        <w:t xml:space="preserve"> calculated the</w:t>
      </w:r>
      <w:r w:rsidR="00093437" w:rsidRPr="00F534BF">
        <w:rPr>
          <w:rFonts w:ascii="Arial" w:hAnsi="Arial" w:cs="Arial"/>
          <w:kern w:val="0"/>
        </w:rPr>
        <w:t xml:space="preserve"> grams of vinegar I would require to fully decompose the </w:t>
      </w:r>
      <w:r w:rsidR="003D4D6D" w:rsidRPr="00F534BF">
        <w:rPr>
          <w:rFonts w:ascii="Arial" w:hAnsi="Arial" w:cs="Arial"/>
          <w:kern w:val="0"/>
        </w:rPr>
        <w:t>baking soda</w:t>
      </w:r>
      <w:r w:rsidR="00093437" w:rsidRPr="00F534BF">
        <w:rPr>
          <w:rFonts w:ascii="Arial" w:hAnsi="Arial" w:cs="Arial"/>
          <w:kern w:val="0"/>
        </w:rPr>
        <w:t>. I</w:t>
      </w:r>
      <w:r w:rsidRPr="00F534BF">
        <w:rPr>
          <w:rFonts w:ascii="Arial" w:hAnsi="Arial" w:cs="Arial"/>
          <w:kern w:val="0"/>
        </w:rPr>
        <w:t xml:space="preserve"> used 10 grams of sodium hydrogen carbonate </w:t>
      </w:r>
      <w:r w:rsidR="003D4D6D" w:rsidRPr="00F534BF">
        <w:rPr>
          <w:rFonts w:ascii="Arial" w:hAnsi="Arial" w:cs="Arial"/>
          <w:kern w:val="0"/>
        </w:rPr>
        <w:t>for each trial</w:t>
      </w:r>
      <w:r w:rsidRPr="00F534BF">
        <w:rPr>
          <w:rFonts w:ascii="Arial" w:hAnsi="Arial" w:cs="Arial"/>
          <w:kern w:val="0"/>
        </w:rPr>
        <w:t xml:space="preserve">. Sodium bicarbonate </w:t>
      </w:r>
      <w:r w:rsidR="003D4D6D" w:rsidRPr="00F534BF">
        <w:rPr>
          <w:rFonts w:ascii="Arial" w:hAnsi="Arial" w:cs="Arial"/>
          <w:kern w:val="0"/>
        </w:rPr>
        <w:t>was</w:t>
      </w:r>
      <w:r w:rsidRPr="00F534BF">
        <w:rPr>
          <w:rFonts w:ascii="Arial" w:hAnsi="Arial" w:cs="Arial"/>
          <w:kern w:val="0"/>
        </w:rPr>
        <w:t xml:space="preserve"> the only listed ingredient in the</w:t>
      </w:r>
      <w:r w:rsidR="003D4D6D" w:rsidRPr="00F534BF">
        <w:rPr>
          <w:rFonts w:ascii="Arial" w:hAnsi="Arial" w:cs="Arial"/>
          <w:kern w:val="0"/>
        </w:rPr>
        <w:t xml:space="preserve"> nutrition facts label of the</w:t>
      </w:r>
      <w:r w:rsidRPr="00F534BF">
        <w:rPr>
          <w:rFonts w:ascii="Arial" w:hAnsi="Arial" w:cs="Arial"/>
          <w:kern w:val="0"/>
        </w:rPr>
        <w:t xml:space="preserve"> baking soda brand used. Thus, the number of moles </w:t>
      </w:r>
      <w:r w:rsidR="003D4D6D" w:rsidRPr="00F534BF">
        <w:rPr>
          <w:rFonts w:ascii="Arial" w:hAnsi="Arial" w:cs="Arial"/>
          <w:kern w:val="0"/>
        </w:rPr>
        <w:t>of</w:t>
      </w:r>
      <w:r w:rsidRPr="00F534BF">
        <w:rPr>
          <w:rFonts w:ascii="Arial" w:hAnsi="Arial" w:cs="Arial"/>
          <w:kern w:val="0"/>
        </w:rPr>
        <w:t xml:space="preserve"> </w:t>
      </w:r>
      <w:proofErr w:type="spellStart"/>
      <w:r w:rsidRPr="00F534BF">
        <w:rPr>
          <w:rFonts w:ascii="Arial" w:hAnsi="Arial" w:cs="Arial"/>
          <w:kern w:val="0"/>
        </w:rPr>
        <w:t>NaHCO</w:t>
      </w:r>
      <w:proofErr w:type="spellEnd"/>
      <w:r w:rsidRPr="00F534BF">
        <w:rPr>
          <w:rFonts w:ascii="Cambria Math" w:hAnsi="Cambria Math" w:cs="Cambria Math"/>
          <w:kern w:val="0"/>
        </w:rPr>
        <w:t>₃</w:t>
      </w:r>
      <w:r w:rsidRPr="00F534BF">
        <w:rPr>
          <w:rFonts w:ascii="Arial" w:hAnsi="Arial" w:cs="Arial"/>
          <w:kern w:val="0"/>
        </w:rPr>
        <w:t xml:space="preserve"> </w:t>
      </w:r>
      <w:r w:rsidR="00220701" w:rsidRPr="00F534BF">
        <w:rPr>
          <w:rFonts w:ascii="Arial" w:hAnsi="Arial" w:cs="Arial"/>
          <w:kern w:val="0"/>
        </w:rPr>
        <w:t xml:space="preserve">for each trial </w:t>
      </w:r>
      <w:r w:rsidRPr="00F534BF">
        <w:rPr>
          <w:rFonts w:ascii="Arial" w:hAnsi="Arial" w:cs="Arial"/>
          <w:kern w:val="0"/>
        </w:rPr>
        <w:t xml:space="preserve">were estimated at (84/16) 0.119 moles. I </w:t>
      </w:r>
      <w:r w:rsidR="00220701" w:rsidRPr="00F534BF">
        <w:rPr>
          <w:rFonts w:ascii="Arial" w:hAnsi="Arial" w:cs="Arial"/>
          <w:kern w:val="0"/>
        </w:rPr>
        <w:t xml:space="preserve">determined the acetic acid molarity of 100g of vinegar and </w:t>
      </w:r>
      <w:r w:rsidR="00EE11E2" w:rsidRPr="00F534BF">
        <w:rPr>
          <w:rFonts w:ascii="Arial" w:hAnsi="Arial" w:cs="Arial"/>
          <w:kern w:val="0"/>
        </w:rPr>
        <w:t xml:space="preserve">added the mass in 50g increments until the acetic acid moles in the diluted vinegar exceeded 0.119. </w:t>
      </w:r>
      <w:r w:rsidRPr="00F534BF">
        <w:rPr>
          <w:rFonts w:ascii="Arial" w:hAnsi="Arial" w:cs="Arial"/>
          <w:kern w:val="0"/>
        </w:rPr>
        <w:t xml:space="preserve"> The mass of CH</w:t>
      </w:r>
      <w:r w:rsidRPr="00F534BF">
        <w:rPr>
          <w:rFonts w:ascii="Cambria Math" w:hAnsi="Cambria Math" w:cs="Cambria Math"/>
          <w:kern w:val="0"/>
        </w:rPr>
        <w:t>₃</w:t>
      </w:r>
      <w:r w:rsidRPr="00F534BF">
        <w:rPr>
          <w:rFonts w:ascii="Arial" w:hAnsi="Arial" w:cs="Arial"/>
          <w:kern w:val="0"/>
        </w:rPr>
        <w:t>COOH in 100g of 7% acetic acid vinegar is 7g (7/100 * 100), which translates to 0.117 moles of acetic acid (7g divided by 60g/mol). The moles of acetic acid in the 1:1 vinegar and water solution will be half the moles in the undiluted vinegar</w:t>
      </w:r>
      <w:r w:rsidR="00495CD4" w:rsidRPr="00F534BF">
        <w:rPr>
          <w:rFonts w:ascii="Arial" w:hAnsi="Arial" w:cs="Arial"/>
          <w:kern w:val="0"/>
        </w:rPr>
        <w:t>, falling short of the required moles to fully decompose the sodium bicarbonate</w:t>
      </w:r>
      <w:r w:rsidRPr="00F534BF">
        <w:rPr>
          <w:rFonts w:ascii="Arial" w:hAnsi="Arial" w:cs="Arial"/>
          <w:kern w:val="0"/>
        </w:rPr>
        <w:t xml:space="preserve">. The 1:1 ratio was exceeded at 250g of vinegar with 0.292 and 0.145 moles of acetic acid in the undiluted and diluted vinegar solutions, respectively. </w:t>
      </w:r>
    </w:p>
    <w:p w14:paraId="30D6902D" w14:textId="4E0B3F79" w:rsidR="00986641" w:rsidRPr="00F534BF" w:rsidRDefault="002E2E46" w:rsidP="00F534BF">
      <w:pPr>
        <w:widowControl w:val="0"/>
        <w:autoSpaceDE w:val="0"/>
        <w:autoSpaceDN w:val="0"/>
        <w:adjustRightInd w:val="0"/>
        <w:spacing w:line="360" w:lineRule="auto"/>
        <w:ind w:left="360"/>
        <w:rPr>
          <w:rFonts w:ascii="Arial" w:hAnsi="Arial" w:cs="Arial"/>
          <w:kern w:val="0"/>
        </w:rPr>
      </w:pPr>
      <w:r w:rsidRPr="00F534BF">
        <w:rPr>
          <w:rFonts w:ascii="Arial" w:hAnsi="Arial" w:cs="Arial"/>
          <w:kern w:val="0"/>
        </w:rPr>
        <w:t xml:space="preserve">I </w:t>
      </w:r>
      <w:r w:rsidR="005F4CF8" w:rsidRPr="00F534BF">
        <w:rPr>
          <w:rFonts w:ascii="Arial" w:hAnsi="Arial" w:cs="Arial"/>
          <w:kern w:val="0"/>
        </w:rPr>
        <w:t>placed the glass jug on a kitchen scale</w:t>
      </w:r>
      <w:r w:rsidR="00986641" w:rsidRPr="00F534BF">
        <w:rPr>
          <w:rFonts w:ascii="Arial" w:hAnsi="Arial" w:cs="Arial"/>
          <w:kern w:val="0"/>
        </w:rPr>
        <w:t>,</w:t>
      </w:r>
      <w:r w:rsidR="005F4CF8" w:rsidRPr="00F534BF">
        <w:rPr>
          <w:rFonts w:ascii="Arial" w:hAnsi="Arial" w:cs="Arial"/>
          <w:kern w:val="0"/>
        </w:rPr>
        <w:t xml:space="preserve"> added 250g of vinegar</w:t>
      </w:r>
      <w:r w:rsidR="00986641" w:rsidRPr="00F534BF">
        <w:rPr>
          <w:rFonts w:ascii="Arial" w:hAnsi="Arial" w:cs="Arial"/>
          <w:kern w:val="0"/>
        </w:rPr>
        <w:t>,</w:t>
      </w:r>
      <w:r w:rsidR="005F4CF8" w:rsidRPr="00F534BF">
        <w:rPr>
          <w:rFonts w:ascii="Arial" w:hAnsi="Arial" w:cs="Arial"/>
          <w:kern w:val="0"/>
        </w:rPr>
        <w:t xml:space="preserve"> and placed it aside. I then placed a spoon on the scale and measured out 10g of baking soda. I added the </w:t>
      </w:r>
      <w:r w:rsidR="004A5B8E" w:rsidRPr="00F534BF">
        <w:rPr>
          <w:rFonts w:ascii="Arial" w:hAnsi="Arial" w:cs="Arial"/>
          <w:kern w:val="0"/>
        </w:rPr>
        <w:t xml:space="preserve">baking soda to the scale while simultaneously starting the stopwatch on my phone. I closely observed the reaction until fizzing stopped at which point I stopped the stopwatch and recorded the reaction time. I washed and dried the jug and repeated the process three times. </w:t>
      </w:r>
    </w:p>
    <w:p w14:paraId="66AB57B9" w14:textId="2FAF5525" w:rsidR="00495CD4" w:rsidRPr="00F534BF" w:rsidRDefault="00986641" w:rsidP="00F534BF">
      <w:pPr>
        <w:widowControl w:val="0"/>
        <w:autoSpaceDE w:val="0"/>
        <w:autoSpaceDN w:val="0"/>
        <w:adjustRightInd w:val="0"/>
        <w:spacing w:line="360" w:lineRule="auto"/>
        <w:ind w:left="360"/>
        <w:rPr>
          <w:rFonts w:ascii="Arial" w:hAnsi="Arial" w:cs="Arial"/>
          <w:kern w:val="0"/>
        </w:rPr>
      </w:pPr>
      <w:r w:rsidRPr="00F534BF">
        <w:rPr>
          <w:rFonts w:ascii="Arial" w:hAnsi="Arial" w:cs="Arial"/>
          <w:kern w:val="0"/>
        </w:rPr>
        <w:lastRenderedPageBreak/>
        <w:t xml:space="preserve">For the diluted vinegar, I placed the glass jug on the scale and added 125g of vinegar. I placed the jug aside and </w:t>
      </w:r>
      <w:r w:rsidR="00490E87" w:rsidRPr="00F534BF">
        <w:rPr>
          <w:rFonts w:ascii="Arial" w:hAnsi="Arial" w:cs="Arial"/>
          <w:kern w:val="0"/>
        </w:rPr>
        <w:t xml:space="preserve">placed another container on the scale and measured out 125g of water. I added the water to the vinegar jug and confirmed that the mixture weighed 250g. I then measured out 10g of baking soda and added it to the mixture. I timed the </w:t>
      </w:r>
      <w:r w:rsidR="002E69BC" w:rsidRPr="00F534BF">
        <w:rPr>
          <w:rFonts w:ascii="Arial" w:hAnsi="Arial" w:cs="Arial"/>
          <w:kern w:val="0"/>
        </w:rPr>
        <w:t>reaction, washed and dried the jug between trials, and recorded the reaction time as in previous trials.</w:t>
      </w:r>
      <w:r w:rsidR="004A5B8E" w:rsidRPr="00F534BF">
        <w:rPr>
          <w:rFonts w:ascii="Arial" w:hAnsi="Arial" w:cs="Arial"/>
          <w:kern w:val="0"/>
        </w:rPr>
        <w:t xml:space="preserve"> </w:t>
      </w:r>
    </w:p>
    <w:p w14:paraId="09A43A5E" w14:textId="65D14D71" w:rsidR="00137F9D" w:rsidRPr="00F534BF" w:rsidRDefault="00137F9D" w:rsidP="00F534BF">
      <w:pPr>
        <w:widowControl w:val="0"/>
        <w:autoSpaceDE w:val="0"/>
        <w:autoSpaceDN w:val="0"/>
        <w:adjustRightInd w:val="0"/>
        <w:spacing w:line="360" w:lineRule="auto"/>
        <w:ind w:left="360"/>
        <w:rPr>
          <w:rFonts w:ascii="Arial" w:hAnsi="Arial" w:cs="Arial"/>
          <w:b/>
          <w:bCs/>
          <w:kern w:val="0"/>
        </w:rPr>
      </w:pPr>
      <w:r w:rsidRPr="00F534BF">
        <w:rPr>
          <w:rFonts w:ascii="Arial" w:hAnsi="Arial" w:cs="Arial"/>
          <w:b/>
          <w:bCs/>
          <w:kern w:val="0"/>
        </w:rPr>
        <w:t>Results</w:t>
      </w:r>
    </w:p>
    <w:p w14:paraId="7CDEF502" w14:textId="7C10E16B" w:rsidR="00C36E9C" w:rsidRPr="00F534BF" w:rsidRDefault="00B77CB2"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The reaction times of the four trials of each experimental manipulation are summarized in the table below. </w:t>
      </w:r>
      <w:r w:rsidR="005419EC" w:rsidRPr="00F534BF">
        <w:rPr>
          <w:rFonts w:ascii="Arial" w:hAnsi="Arial" w:cs="Arial"/>
          <w:kern w:val="0"/>
        </w:rPr>
        <w:t xml:space="preserve">The </w:t>
      </w:r>
      <w:r w:rsidR="0015373D" w:rsidRPr="00F534BF">
        <w:rPr>
          <w:rFonts w:ascii="Arial" w:hAnsi="Arial" w:cs="Arial"/>
          <w:kern w:val="0"/>
        </w:rPr>
        <w:t>reaction time for undiluted vinegar ranged between 4.09 and 4.15 while the reaction time for diluted vinegar ranged between 4.89 and 5.03. Of note is the lack of overlap in the two ranges</w:t>
      </w:r>
      <w:r w:rsidR="00137F9D" w:rsidRPr="00F534BF">
        <w:rPr>
          <w:rFonts w:ascii="Arial" w:hAnsi="Arial" w:cs="Arial"/>
          <w:kern w:val="0"/>
        </w:rPr>
        <w:t>, the trial with the slowest reaction speed (4.15 seconds)</w:t>
      </w:r>
      <w:r w:rsidR="00D32E60" w:rsidRPr="00F534BF">
        <w:rPr>
          <w:rFonts w:ascii="Arial" w:hAnsi="Arial" w:cs="Arial"/>
          <w:kern w:val="0"/>
        </w:rPr>
        <w:t xml:space="preserve"> for concentrated vinegar</w:t>
      </w:r>
      <w:r w:rsidR="00137F9D" w:rsidRPr="00F534BF">
        <w:rPr>
          <w:rFonts w:ascii="Arial" w:hAnsi="Arial" w:cs="Arial"/>
          <w:kern w:val="0"/>
        </w:rPr>
        <w:t xml:space="preserve"> was </w:t>
      </w:r>
      <w:r w:rsidR="00D32E60" w:rsidRPr="00F534BF">
        <w:rPr>
          <w:rFonts w:ascii="Arial" w:hAnsi="Arial" w:cs="Arial"/>
          <w:kern w:val="0"/>
        </w:rPr>
        <w:t xml:space="preserve">still faster than the trial with the quickest reaction time for diluted vinegar (4.93 seconds). There was also more variation in reaction times for diluted vinegar (range of </w:t>
      </w:r>
      <w:r w:rsidR="00F97B77" w:rsidRPr="00F534BF">
        <w:rPr>
          <w:rFonts w:ascii="Arial" w:hAnsi="Arial" w:cs="Arial"/>
          <w:kern w:val="0"/>
        </w:rPr>
        <w:t>0.14 seconds) when compared to concentrated vinegar (0.06 seconds)</w:t>
      </w:r>
    </w:p>
    <w:tbl>
      <w:tblPr>
        <w:tblStyle w:val="TableGrid"/>
        <w:tblW w:w="0" w:type="auto"/>
        <w:jc w:val="center"/>
        <w:tblLook w:val="04A0" w:firstRow="1" w:lastRow="0" w:firstColumn="1" w:lastColumn="0" w:noHBand="0" w:noVBand="1"/>
      </w:tblPr>
      <w:tblGrid>
        <w:gridCol w:w="1070"/>
        <w:gridCol w:w="2124"/>
        <w:gridCol w:w="1857"/>
      </w:tblGrid>
      <w:tr w:rsidR="005419EC" w:rsidRPr="00F534BF" w14:paraId="2711204C" w14:textId="77777777" w:rsidTr="00F534BF">
        <w:trPr>
          <w:trHeight w:val="290"/>
          <w:jc w:val="center"/>
        </w:trPr>
        <w:tc>
          <w:tcPr>
            <w:tcW w:w="0" w:type="auto"/>
            <w:noWrap/>
            <w:hideMark/>
          </w:tcPr>
          <w:p w14:paraId="031E494A" w14:textId="77777777" w:rsidR="005419EC" w:rsidRPr="00F534BF" w:rsidRDefault="005419EC" w:rsidP="00F534BF">
            <w:pPr>
              <w:widowControl w:val="0"/>
              <w:autoSpaceDE w:val="0"/>
              <w:autoSpaceDN w:val="0"/>
              <w:adjustRightInd w:val="0"/>
              <w:spacing w:line="360" w:lineRule="auto"/>
              <w:rPr>
                <w:rFonts w:ascii="Arial" w:hAnsi="Arial" w:cs="Arial"/>
                <w:kern w:val="0"/>
              </w:rPr>
            </w:pPr>
            <w:r w:rsidRPr="00F534BF">
              <w:rPr>
                <w:rFonts w:ascii="Arial" w:hAnsi="Arial" w:cs="Arial"/>
                <w:kern w:val="0"/>
              </w:rPr>
              <w:t>Trial #</w:t>
            </w:r>
          </w:p>
        </w:tc>
        <w:tc>
          <w:tcPr>
            <w:tcW w:w="0" w:type="auto"/>
            <w:noWrap/>
            <w:hideMark/>
          </w:tcPr>
          <w:p w14:paraId="3BEE4911" w14:textId="77777777" w:rsidR="005419EC" w:rsidRPr="00F534BF" w:rsidRDefault="005419EC" w:rsidP="00F534BF">
            <w:pPr>
              <w:widowControl w:val="0"/>
              <w:autoSpaceDE w:val="0"/>
              <w:autoSpaceDN w:val="0"/>
              <w:adjustRightInd w:val="0"/>
              <w:spacing w:line="360" w:lineRule="auto"/>
              <w:rPr>
                <w:rFonts w:ascii="Arial" w:hAnsi="Arial" w:cs="Arial"/>
                <w:kern w:val="0"/>
              </w:rPr>
            </w:pPr>
            <w:r w:rsidRPr="00F534BF">
              <w:rPr>
                <w:rFonts w:ascii="Arial" w:hAnsi="Arial" w:cs="Arial"/>
                <w:kern w:val="0"/>
              </w:rPr>
              <w:t>Undiluted Vinegar</w:t>
            </w:r>
          </w:p>
        </w:tc>
        <w:tc>
          <w:tcPr>
            <w:tcW w:w="0" w:type="auto"/>
            <w:noWrap/>
            <w:hideMark/>
          </w:tcPr>
          <w:p w14:paraId="3F75D8F6" w14:textId="77777777" w:rsidR="005419EC" w:rsidRPr="00F534BF" w:rsidRDefault="005419EC" w:rsidP="00F534BF">
            <w:pPr>
              <w:widowControl w:val="0"/>
              <w:autoSpaceDE w:val="0"/>
              <w:autoSpaceDN w:val="0"/>
              <w:adjustRightInd w:val="0"/>
              <w:spacing w:line="360" w:lineRule="auto"/>
              <w:rPr>
                <w:rFonts w:ascii="Arial" w:hAnsi="Arial" w:cs="Arial"/>
                <w:kern w:val="0"/>
              </w:rPr>
            </w:pPr>
            <w:r w:rsidRPr="00F534BF">
              <w:rPr>
                <w:rFonts w:ascii="Arial" w:hAnsi="Arial" w:cs="Arial"/>
                <w:kern w:val="0"/>
              </w:rPr>
              <w:t>Diluted Vinegar</w:t>
            </w:r>
          </w:p>
        </w:tc>
      </w:tr>
      <w:tr w:rsidR="005419EC" w:rsidRPr="00F534BF" w14:paraId="4172C18A" w14:textId="77777777" w:rsidTr="00F534BF">
        <w:trPr>
          <w:trHeight w:val="290"/>
          <w:jc w:val="center"/>
        </w:trPr>
        <w:tc>
          <w:tcPr>
            <w:tcW w:w="0" w:type="auto"/>
            <w:noWrap/>
            <w:hideMark/>
          </w:tcPr>
          <w:p w14:paraId="5710CFA9"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1</w:t>
            </w:r>
          </w:p>
        </w:tc>
        <w:tc>
          <w:tcPr>
            <w:tcW w:w="0" w:type="auto"/>
            <w:noWrap/>
            <w:hideMark/>
          </w:tcPr>
          <w:p w14:paraId="3AFB6E3F"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4.12</w:t>
            </w:r>
          </w:p>
        </w:tc>
        <w:tc>
          <w:tcPr>
            <w:tcW w:w="0" w:type="auto"/>
            <w:noWrap/>
            <w:hideMark/>
          </w:tcPr>
          <w:p w14:paraId="5AC13749"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4.93</w:t>
            </w:r>
          </w:p>
        </w:tc>
      </w:tr>
      <w:tr w:rsidR="005419EC" w:rsidRPr="00F534BF" w14:paraId="63E48AFD" w14:textId="77777777" w:rsidTr="00F534BF">
        <w:trPr>
          <w:trHeight w:val="290"/>
          <w:jc w:val="center"/>
        </w:trPr>
        <w:tc>
          <w:tcPr>
            <w:tcW w:w="0" w:type="auto"/>
            <w:noWrap/>
            <w:hideMark/>
          </w:tcPr>
          <w:p w14:paraId="6A7792B0"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2</w:t>
            </w:r>
          </w:p>
        </w:tc>
        <w:tc>
          <w:tcPr>
            <w:tcW w:w="0" w:type="auto"/>
            <w:noWrap/>
            <w:hideMark/>
          </w:tcPr>
          <w:p w14:paraId="084355B0"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4.15</w:t>
            </w:r>
          </w:p>
        </w:tc>
        <w:tc>
          <w:tcPr>
            <w:tcW w:w="0" w:type="auto"/>
            <w:noWrap/>
            <w:hideMark/>
          </w:tcPr>
          <w:p w14:paraId="1A3AFC0F"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5.02</w:t>
            </w:r>
          </w:p>
        </w:tc>
      </w:tr>
      <w:tr w:rsidR="005419EC" w:rsidRPr="00F534BF" w14:paraId="5438BB98" w14:textId="77777777" w:rsidTr="00F534BF">
        <w:trPr>
          <w:trHeight w:val="290"/>
          <w:jc w:val="center"/>
        </w:trPr>
        <w:tc>
          <w:tcPr>
            <w:tcW w:w="0" w:type="auto"/>
            <w:noWrap/>
            <w:hideMark/>
          </w:tcPr>
          <w:p w14:paraId="51B4E6F3"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3</w:t>
            </w:r>
          </w:p>
        </w:tc>
        <w:tc>
          <w:tcPr>
            <w:tcW w:w="0" w:type="auto"/>
            <w:noWrap/>
            <w:hideMark/>
          </w:tcPr>
          <w:p w14:paraId="240CC65B"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4.09</w:t>
            </w:r>
          </w:p>
        </w:tc>
        <w:tc>
          <w:tcPr>
            <w:tcW w:w="0" w:type="auto"/>
            <w:noWrap/>
            <w:hideMark/>
          </w:tcPr>
          <w:p w14:paraId="19224EE1"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5.03</w:t>
            </w:r>
          </w:p>
        </w:tc>
      </w:tr>
      <w:tr w:rsidR="005419EC" w:rsidRPr="00F534BF" w14:paraId="31A814ED" w14:textId="77777777" w:rsidTr="00F534BF">
        <w:trPr>
          <w:trHeight w:val="290"/>
          <w:jc w:val="center"/>
        </w:trPr>
        <w:tc>
          <w:tcPr>
            <w:tcW w:w="0" w:type="auto"/>
            <w:noWrap/>
            <w:hideMark/>
          </w:tcPr>
          <w:p w14:paraId="1F81965B"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w:t>
            </w:r>
          </w:p>
        </w:tc>
        <w:tc>
          <w:tcPr>
            <w:tcW w:w="0" w:type="auto"/>
            <w:noWrap/>
            <w:hideMark/>
          </w:tcPr>
          <w:p w14:paraId="4971D642"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4.11</w:t>
            </w:r>
          </w:p>
        </w:tc>
        <w:tc>
          <w:tcPr>
            <w:tcW w:w="0" w:type="auto"/>
            <w:noWrap/>
            <w:hideMark/>
          </w:tcPr>
          <w:p w14:paraId="2F357A78"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r w:rsidRPr="00F534BF">
              <w:rPr>
                <w:rFonts w:ascii="Arial" w:hAnsi="Arial" w:cs="Arial"/>
                <w:kern w:val="0"/>
              </w:rPr>
              <w:t>4.89</w:t>
            </w:r>
          </w:p>
        </w:tc>
      </w:tr>
    </w:tbl>
    <w:p w14:paraId="7C3246E1" w14:textId="77777777" w:rsidR="005419EC" w:rsidRPr="00F534BF" w:rsidRDefault="005419EC" w:rsidP="00F534BF">
      <w:pPr>
        <w:pStyle w:val="ListParagraph"/>
        <w:widowControl w:val="0"/>
        <w:autoSpaceDE w:val="0"/>
        <w:autoSpaceDN w:val="0"/>
        <w:adjustRightInd w:val="0"/>
        <w:spacing w:line="360" w:lineRule="auto"/>
        <w:rPr>
          <w:rFonts w:ascii="Arial" w:hAnsi="Arial" w:cs="Arial"/>
          <w:kern w:val="0"/>
        </w:rPr>
      </w:pPr>
    </w:p>
    <w:p w14:paraId="16381F47" w14:textId="627C63AB" w:rsidR="00C36E9C" w:rsidRPr="00F534BF" w:rsidRDefault="00C36E9C" w:rsidP="00F534BF">
      <w:pPr>
        <w:pStyle w:val="ListParagraph"/>
        <w:widowControl w:val="0"/>
        <w:autoSpaceDE w:val="0"/>
        <w:autoSpaceDN w:val="0"/>
        <w:adjustRightInd w:val="0"/>
        <w:spacing w:line="360" w:lineRule="auto"/>
        <w:rPr>
          <w:rFonts w:ascii="Arial" w:hAnsi="Arial" w:cs="Arial"/>
          <w:kern w:val="0"/>
        </w:rPr>
      </w:pPr>
    </w:p>
    <w:p w14:paraId="750DB877" w14:textId="77777777" w:rsidR="00830C3F" w:rsidRDefault="00625248"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The </w:t>
      </w:r>
      <w:r w:rsidR="007D18B0" w:rsidRPr="00F534BF">
        <w:rPr>
          <w:rFonts w:ascii="Arial" w:hAnsi="Arial" w:cs="Arial"/>
          <w:kern w:val="0"/>
        </w:rPr>
        <w:t>reaction times for the two experimental conditions are compared using box plots and a bar chart</w:t>
      </w:r>
      <w:r w:rsidR="00995DA3" w:rsidRPr="00F534BF">
        <w:rPr>
          <w:rFonts w:ascii="Arial" w:hAnsi="Arial" w:cs="Arial"/>
          <w:kern w:val="0"/>
        </w:rPr>
        <w:t xml:space="preserve">. Even though the </w:t>
      </w:r>
      <w:r w:rsidR="003A5296" w:rsidRPr="00F534BF">
        <w:rPr>
          <w:rFonts w:ascii="Arial" w:hAnsi="Arial" w:cs="Arial"/>
          <w:kern w:val="0"/>
        </w:rPr>
        <w:t xml:space="preserve">difference in the </w:t>
      </w:r>
      <w:r w:rsidR="00995DA3" w:rsidRPr="00F534BF">
        <w:rPr>
          <w:rFonts w:ascii="Arial" w:hAnsi="Arial" w:cs="Arial"/>
          <w:kern w:val="0"/>
        </w:rPr>
        <w:t>average reaction time for concentrated vinegar (4.12</w:t>
      </w:r>
      <w:r w:rsidR="003A5296" w:rsidRPr="00F534BF">
        <w:rPr>
          <w:rFonts w:ascii="Arial" w:hAnsi="Arial" w:cs="Arial"/>
          <w:kern w:val="0"/>
        </w:rPr>
        <w:t xml:space="preserve"> seconds</w:t>
      </w:r>
      <w:r w:rsidR="00995DA3" w:rsidRPr="00F534BF">
        <w:rPr>
          <w:rFonts w:ascii="Arial" w:hAnsi="Arial" w:cs="Arial"/>
          <w:kern w:val="0"/>
        </w:rPr>
        <w:t>)</w:t>
      </w:r>
      <w:r w:rsidR="003A5296" w:rsidRPr="00F534BF">
        <w:rPr>
          <w:rFonts w:ascii="Arial" w:hAnsi="Arial" w:cs="Arial"/>
          <w:kern w:val="0"/>
        </w:rPr>
        <w:t xml:space="preserve"> and diluted vinegar (4.96 seconds)</w:t>
      </w:r>
      <w:r w:rsidR="00995DA3" w:rsidRPr="00F534BF">
        <w:rPr>
          <w:rFonts w:ascii="Arial" w:hAnsi="Arial" w:cs="Arial"/>
          <w:kern w:val="0"/>
        </w:rPr>
        <w:t xml:space="preserve"> </w:t>
      </w:r>
      <w:r w:rsidR="003A5296" w:rsidRPr="00F534BF">
        <w:rPr>
          <w:rFonts w:ascii="Arial" w:hAnsi="Arial" w:cs="Arial"/>
          <w:kern w:val="0"/>
        </w:rPr>
        <w:t xml:space="preserve">appears small in the bar chart, the faster reaction time of the former is clearer in the boxplot. Concentrated vinegar reacted faster than diluted vinegar in all trials </w:t>
      </w:r>
      <w:r w:rsidR="00830C3F" w:rsidRPr="00F534BF">
        <w:rPr>
          <w:rFonts w:ascii="Arial" w:hAnsi="Arial" w:cs="Arial"/>
          <w:kern w:val="0"/>
        </w:rPr>
        <w:t xml:space="preserve">lending support to my hypothesis. </w:t>
      </w:r>
    </w:p>
    <w:p w14:paraId="7CABA01C" w14:textId="768A4F84" w:rsidR="002947F8" w:rsidRDefault="002947F8" w:rsidP="002947F8">
      <w:pPr>
        <w:widowControl w:val="0"/>
        <w:autoSpaceDE w:val="0"/>
        <w:autoSpaceDN w:val="0"/>
        <w:adjustRightInd w:val="0"/>
        <w:spacing w:line="360" w:lineRule="auto"/>
        <w:ind w:left="360"/>
        <w:rPr>
          <w:rFonts w:ascii="Arial" w:hAnsi="Arial" w:cs="Arial"/>
          <w:kern w:val="0"/>
        </w:rPr>
      </w:pPr>
      <w:r w:rsidRPr="00F534BF">
        <w:rPr>
          <w:rFonts w:ascii="Arial" w:hAnsi="Arial" w:cs="Arial"/>
          <w:noProof/>
          <w14:ligatures w14:val="standardContextual"/>
        </w:rPr>
        <w:lastRenderedPageBreak/>
        <mc:AlternateContent>
          <mc:Choice Requires="cx1">
            <w:drawing>
              <wp:inline distT="0" distB="0" distL="0" distR="0" wp14:anchorId="33197277" wp14:editId="72490E47">
                <wp:extent cx="5130800" cy="2717800"/>
                <wp:effectExtent l="0" t="0" r="12700" b="6350"/>
                <wp:docPr id="1" name="Chart 1">
                  <a:extLst xmlns:a="http://schemas.openxmlformats.org/drawingml/2006/main">
                    <a:ext uri="{FF2B5EF4-FFF2-40B4-BE49-F238E27FC236}">
                      <a16:creationId xmlns:a16="http://schemas.microsoft.com/office/drawing/2014/main" id="{52CC47BC-8C34-9AC1-456C-A25D8DBDB9DF}"/>
                    </a:ext>
                  </a:extLst>
                </wp:docPr>
                <wp:cNvGraphicFramePr/>
                <a:graphic xmlns:a="http://schemas.openxmlformats.org/drawingml/2006/main">
                  <a:graphicData uri="http://schemas.microsoft.com/office/drawing/2014/chartex">
                    <cx:chart xmlns:cx="http://schemas.microsoft.com/office/drawing/2014/chartex" xmlns:r="http://schemas.openxmlformats.org/officeDocument/2006/relationships" r:id="rId7"/>
                  </a:graphicData>
                </a:graphic>
              </wp:inline>
            </w:drawing>
          </mc:Choice>
          <mc:Fallback>
            <w:drawing>
              <wp:inline distT="0" distB="0" distL="0" distR="0" wp14:anchorId="33197277" wp14:editId="72490E47">
                <wp:extent cx="5130800" cy="2717800"/>
                <wp:effectExtent l="0" t="0" r="12700" b="6350"/>
                <wp:docPr id="1" name="Chart 1">
                  <a:extLst xmlns:a="http://schemas.openxmlformats.org/drawingml/2006/main">
                    <a:ext uri="{FF2B5EF4-FFF2-40B4-BE49-F238E27FC236}">
                      <a16:creationId xmlns:a16="http://schemas.microsoft.com/office/drawing/2014/main" id="{52CC47BC-8C34-9AC1-456C-A25D8DBDB9DF}"/>
                    </a:ext>
                  </a:extLst>
                </wp:docPr>
                <wp:cNvGraphicFramePr>
                  <a:graphicFrameLocks xmlns:a="http://schemas.openxmlformats.org/drawingml/2006/main" noGrp="1" noDrilldown="1" noSelect="1" noChangeAspect="1" noMove="1" noResize="1"/>
                </wp:cNvGraphicFramePr>
                <a:graphic xmlns:a="http://schemas.openxmlformats.org/drawingml/2006/main">
                  <a:graphicData uri="http://schemas.openxmlformats.org/drawingml/2006/picture">
                    <pic:pic xmlns:pic="http://schemas.openxmlformats.org/drawingml/2006/picture">
                      <pic:nvPicPr>
                        <pic:cNvPr id="1" name="Chart 1">
                          <a:extLst>
                            <a:ext uri="{FF2B5EF4-FFF2-40B4-BE49-F238E27FC236}">
                              <a16:creationId xmlns:a16="http://schemas.microsoft.com/office/drawing/2014/main" id="{52CC47BC-8C34-9AC1-456C-A25D8DBDB9DF}"/>
                            </a:ext>
                          </a:extLst>
                        </pic:cNvPr>
                        <pic:cNvPicPr>
                          <a:picLocks noGrp="1" noRot="1" noChangeAspect="1" noMove="1" noResize="1" noEditPoints="1" noAdjustHandles="1" noChangeArrowheads="1" noChangeShapeType="1"/>
                        </pic:cNvPicPr>
                      </pic:nvPicPr>
                      <pic:blipFill>
                        <a:blip r:embed="rId8"/>
                        <a:stretch>
                          <a:fillRect/>
                        </a:stretch>
                      </pic:blipFill>
                      <pic:spPr>
                        <a:xfrm>
                          <a:off x="0" y="0"/>
                          <a:ext cx="5130800" cy="2717800"/>
                        </a:xfrm>
                        <a:prstGeom prst="rect">
                          <a:avLst/>
                        </a:prstGeom>
                      </pic:spPr>
                    </pic:pic>
                  </a:graphicData>
                </a:graphic>
              </wp:inline>
            </w:drawing>
          </mc:Fallback>
        </mc:AlternateContent>
      </w:r>
    </w:p>
    <w:p w14:paraId="30AC4A22" w14:textId="5CA4C0DC" w:rsidR="002947F8" w:rsidRPr="002947F8" w:rsidRDefault="002947F8" w:rsidP="002947F8">
      <w:pPr>
        <w:widowControl w:val="0"/>
        <w:autoSpaceDE w:val="0"/>
        <w:autoSpaceDN w:val="0"/>
        <w:adjustRightInd w:val="0"/>
        <w:spacing w:line="360" w:lineRule="auto"/>
        <w:ind w:left="360"/>
        <w:rPr>
          <w:rFonts w:ascii="Arial" w:hAnsi="Arial" w:cs="Arial"/>
          <w:kern w:val="0"/>
        </w:rPr>
      </w:pPr>
      <w:r w:rsidRPr="00F534BF">
        <w:rPr>
          <w:rFonts w:ascii="Arial" w:hAnsi="Arial" w:cs="Arial"/>
          <w:noProof/>
          <w14:ligatures w14:val="standardContextual"/>
        </w:rPr>
        <w:drawing>
          <wp:inline distT="0" distB="0" distL="0" distR="0" wp14:anchorId="37878ED7" wp14:editId="667F9C8E">
            <wp:extent cx="5365750" cy="2527300"/>
            <wp:effectExtent l="0" t="0" r="6350" b="6350"/>
            <wp:docPr id="2" name="Chart 2">
              <a:extLst xmlns:a="http://schemas.openxmlformats.org/drawingml/2006/main">
                <a:ext uri="{FF2B5EF4-FFF2-40B4-BE49-F238E27FC236}">
                  <a16:creationId xmlns:a16="http://schemas.microsoft.com/office/drawing/2014/main" id="{32E81835-7457-ECA9-D2FE-7CB75B090CF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50C0F183" w14:textId="1680B908" w:rsidR="007B47F9" w:rsidRPr="00F534BF" w:rsidRDefault="007B47F9" w:rsidP="00F534BF">
      <w:pPr>
        <w:widowControl w:val="0"/>
        <w:autoSpaceDE w:val="0"/>
        <w:autoSpaceDN w:val="0"/>
        <w:adjustRightInd w:val="0"/>
        <w:spacing w:line="360" w:lineRule="auto"/>
        <w:ind w:left="360"/>
        <w:rPr>
          <w:rFonts w:ascii="Arial" w:hAnsi="Arial" w:cs="Arial"/>
          <w:b/>
          <w:bCs/>
          <w:kern w:val="0"/>
        </w:rPr>
      </w:pPr>
      <w:r w:rsidRPr="00F534BF">
        <w:rPr>
          <w:rFonts w:ascii="Arial" w:hAnsi="Arial" w:cs="Arial"/>
          <w:b/>
          <w:bCs/>
          <w:kern w:val="0"/>
        </w:rPr>
        <w:t>Conclusions</w:t>
      </w:r>
    </w:p>
    <w:p w14:paraId="217EDFCF" w14:textId="77777777" w:rsidR="00E41920" w:rsidRPr="00F534BF" w:rsidRDefault="00830C3F" w:rsidP="00F534BF">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My hypothesis that concentrated vinegar r</w:t>
      </w:r>
      <w:r w:rsidR="004341D5" w:rsidRPr="00F534BF">
        <w:rPr>
          <w:rFonts w:ascii="Arial" w:hAnsi="Arial" w:cs="Arial"/>
          <w:kern w:val="0"/>
        </w:rPr>
        <w:t xml:space="preserve">eacts faster with baking soda than unconcentrated vinegar for equal mass of baking soda and equal mass of the undiluted vs diluted solution is supported by the data. </w:t>
      </w:r>
      <w:r w:rsidR="003A3B6B" w:rsidRPr="00F534BF">
        <w:rPr>
          <w:rFonts w:ascii="Arial" w:hAnsi="Arial" w:cs="Arial"/>
          <w:kern w:val="0"/>
        </w:rPr>
        <w:t xml:space="preserve">The reaction time for all concentrated vinegar trials was quicker than the reaction time for all unconcentrated vinegar trials. </w:t>
      </w:r>
      <w:r w:rsidR="00141C6D" w:rsidRPr="00F534BF">
        <w:rPr>
          <w:rFonts w:ascii="Arial" w:hAnsi="Arial" w:cs="Arial"/>
          <w:kern w:val="0"/>
        </w:rPr>
        <w:t xml:space="preserve">From the sample means, the reaction time for 7% acetic acid vinegar was 0.85 seconds faster than the reaction time for </w:t>
      </w:r>
      <w:r w:rsidR="00E41920" w:rsidRPr="00F534BF">
        <w:rPr>
          <w:rFonts w:ascii="Arial" w:hAnsi="Arial" w:cs="Arial"/>
          <w:kern w:val="0"/>
        </w:rPr>
        <w:t xml:space="preserve">3.5% acetic acid vinegar when using 250g of the liquid and 10g of sodium bicarbonate. </w:t>
      </w:r>
    </w:p>
    <w:p w14:paraId="6178ACBC" w14:textId="580C1CF6" w:rsidR="007D18B0" w:rsidRPr="00AD04D4" w:rsidRDefault="00E41920" w:rsidP="002947F8">
      <w:pPr>
        <w:pStyle w:val="ListParagraph"/>
        <w:widowControl w:val="0"/>
        <w:numPr>
          <w:ilvl w:val="0"/>
          <w:numId w:val="1"/>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Even though </w:t>
      </w:r>
      <w:r w:rsidR="00B10949" w:rsidRPr="00F534BF">
        <w:rPr>
          <w:rFonts w:ascii="Arial" w:hAnsi="Arial" w:cs="Arial"/>
          <w:kern w:val="0"/>
        </w:rPr>
        <w:t xml:space="preserve">my experiment was designed to control for potential confounders, it is possible that temperature differences caused a bias in the </w:t>
      </w:r>
      <w:r w:rsidR="00B10949" w:rsidRPr="00F534BF">
        <w:rPr>
          <w:rFonts w:ascii="Arial" w:hAnsi="Arial" w:cs="Arial"/>
          <w:kern w:val="0"/>
        </w:rPr>
        <w:lastRenderedPageBreak/>
        <w:t xml:space="preserve">experiment. This is especially true considering that I performed all </w:t>
      </w:r>
      <w:r w:rsidR="003003CB" w:rsidRPr="00F534BF">
        <w:rPr>
          <w:rFonts w:ascii="Arial" w:hAnsi="Arial" w:cs="Arial"/>
          <w:kern w:val="0"/>
        </w:rPr>
        <w:t xml:space="preserve">trials for the unconcentrated conditions after the concentrated condition trials. I could have alternated between the two conditions to increase control over the </w:t>
      </w:r>
      <w:r w:rsidR="00803766" w:rsidRPr="00F534BF">
        <w:rPr>
          <w:rFonts w:ascii="Arial" w:hAnsi="Arial" w:cs="Arial"/>
          <w:kern w:val="0"/>
        </w:rPr>
        <w:t>confounding variable, temperature. Alternating between the two conditions would also have controlled the potential confounding effect of reduced observer alertness. It is possible that</w:t>
      </w:r>
      <w:r w:rsidR="005E23D7" w:rsidRPr="00F534BF">
        <w:rPr>
          <w:rFonts w:ascii="Arial" w:hAnsi="Arial" w:cs="Arial"/>
          <w:kern w:val="0"/>
        </w:rPr>
        <w:t xml:space="preserve"> my alertness reduced over time and was less </w:t>
      </w:r>
      <w:r w:rsidR="00E37F10" w:rsidRPr="00F534BF">
        <w:rPr>
          <w:rFonts w:ascii="Arial" w:hAnsi="Arial" w:cs="Arial"/>
          <w:kern w:val="0"/>
        </w:rPr>
        <w:t>quick</w:t>
      </w:r>
      <w:r w:rsidR="005E23D7" w:rsidRPr="00F534BF">
        <w:rPr>
          <w:rFonts w:ascii="Arial" w:hAnsi="Arial" w:cs="Arial"/>
          <w:kern w:val="0"/>
        </w:rPr>
        <w:t xml:space="preserve"> in stopping the timer in later </w:t>
      </w:r>
      <w:r w:rsidR="00E37F10" w:rsidRPr="00F534BF">
        <w:rPr>
          <w:rFonts w:ascii="Arial" w:hAnsi="Arial" w:cs="Arial"/>
          <w:kern w:val="0"/>
        </w:rPr>
        <w:t xml:space="preserve">trials reducing the accuracy of reaction time observations. </w:t>
      </w:r>
    </w:p>
    <w:p w14:paraId="348572A9" w14:textId="77777777" w:rsidR="00510FAB" w:rsidRPr="00F534BF" w:rsidRDefault="00614A0B" w:rsidP="00F534BF">
      <w:pPr>
        <w:pStyle w:val="ListParagraph"/>
        <w:widowControl w:val="0"/>
        <w:numPr>
          <w:ilvl w:val="0"/>
          <w:numId w:val="4"/>
        </w:numPr>
        <w:autoSpaceDE w:val="0"/>
        <w:autoSpaceDN w:val="0"/>
        <w:adjustRightInd w:val="0"/>
        <w:spacing w:line="360" w:lineRule="auto"/>
        <w:ind w:left="360" w:firstLine="360"/>
        <w:rPr>
          <w:rFonts w:ascii="Arial" w:hAnsi="Arial" w:cs="Arial"/>
          <w:kern w:val="0"/>
        </w:rPr>
      </w:pPr>
      <w:r w:rsidRPr="00F534BF">
        <w:rPr>
          <w:rFonts w:ascii="Arial" w:hAnsi="Arial" w:cs="Arial"/>
          <w:kern w:val="0"/>
        </w:rPr>
        <w:t xml:space="preserve">The findings of the present study provide some insight into the determination of dosages for acid reflux medication, of which sodium bicarbonate is a key ingredient. </w:t>
      </w:r>
      <w:r w:rsidR="002B2F10" w:rsidRPr="00F534BF">
        <w:rPr>
          <w:rFonts w:ascii="Arial" w:hAnsi="Arial" w:cs="Arial"/>
          <w:kern w:val="0"/>
        </w:rPr>
        <w:t xml:space="preserve">The </w:t>
      </w:r>
      <w:r w:rsidR="00040B36" w:rsidRPr="00F534BF">
        <w:rPr>
          <w:rFonts w:ascii="Arial" w:hAnsi="Arial" w:cs="Arial"/>
          <w:kern w:val="0"/>
        </w:rPr>
        <w:t xml:space="preserve">amount of sodium bicarbonate in the medication should be sufficient to neutralize the typical amount of acid produced by a person experiencing heartburn. </w:t>
      </w:r>
      <w:r w:rsidR="006D6266" w:rsidRPr="00F534BF">
        <w:rPr>
          <w:rFonts w:ascii="Arial" w:hAnsi="Arial" w:cs="Arial"/>
          <w:kern w:val="0"/>
        </w:rPr>
        <w:t xml:space="preserve">The effectiveness of the medication will vary depending on the severity of the heartburn as a single dosage might not be sufficient to neutralize acid reflux in excess of that assumed in the drug manufacture. </w:t>
      </w:r>
    </w:p>
    <w:p w14:paraId="6230BFD7" w14:textId="77777777" w:rsidR="00510FAB" w:rsidRPr="00AD04D4" w:rsidRDefault="00510FAB" w:rsidP="00AD04D4">
      <w:pPr>
        <w:widowControl w:val="0"/>
        <w:autoSpaceDE w:val="0"/>
        <w:autoSpaceDN w:val="0"/>
        <w:adjustRightInd w:val="0"/>
        <w:spacing w:line="360" w:lineRule="auto"/>
        <w:ind w:left="360"/>
        <w:rPr>
          <w:rFonts w:ascii="Arial" w:hAnsi="Arial" w:cs="Arial"/>
          <w:b/>
          <w:bCs/>
          <w:kern w:val="0"/>
        </w:rPr>
      </w:pPr>
      <w:r w:rsidRPr="00AD04D4">
        <w:rPr>
          <w:rFonts w:ascii="Arial" w:hAnsi="Arial" w:cs="Arial"/>
          <w:b/>
          <w:bCs/>
          <w:kern w:val="0"/>
        </w:rPr>
        <w:t>Sources</w:t>
      </w:r>
    </w:p>
    <w:p w14:paraId="25415EDA" w14:textId="77777777" w:rsidR="00510FAB" w:rsidRPr="00F534BF" w:rsidRDefault="008B0031" w:rsidP="00F534BF">
      <w:pPr>
        <w:widowControl w:val="0"/>
        <w:autoSpaceDE w:val="0"/>
        <w:autoSpaceDN w:val="0"/>
        <w:adjustRightInd w:val="0"/>
        <w:spacing w:line="360" w:lineRule="auto"/>
        <w:ind w:left="360"/>
        <w:rPr>
          <w:rFonts w:ascii="Arial" w:hAnsi="Arial" w:cs="Arial"/>
          <w:kern w:val="0"/>
        </w:rPr>
      </w:pPr>
      <w:proofErr w:type="spellStart"/>
      <w:r w:rsidRPr="00F534BF">
        <w:rPr>
          <w:rFonts w:ascii="Arial" w:hAnsi="Arial" w:cs="Arial"/>
          <w:kern w:val="0"/>
        </w:rPr>
        <w:t>Dugué</w:t>
      </w:r>
      <w:proofErr w:type="spellEnd"/>
      <w:r w:rsidRPr="00F534BF">
        <w:rPr>
          <w:rFonts w:ascii="Arial" w:hAnsi="Arial" w:cs="Arial"/>
          <w:kern w:val="0"/>
        </w:rPr>
        <w:t xml:space="preserve">, C., </w:t>
      </w:r>
      <w:proofErr w:type="spellStart"/>
      <w:r w:rsidRPr="00F534BF">
        <w:rPr>
          <w:rFonts w:ascii="Arial" w:hAnsi="Arial" w:cs="Arial"/>
          <w:kern w:val="0"/>
        </w:rPr>
        <w:t>Baiyasi</w:t>
      </w:r>
      <w:proofErr w:type="spellEnd"/>
      <w:r w:rsidRPr="00F534BF">
        <w:rPr>
          <w:rFonts w:ascii="Arial" w:hAnsi="Arial" w:cs="Arial"/>
          <w:kern w:val="0"/>
        </w:rPr>
        <w:t xml:space="preserve">, M., Jackson, S., Tolliver, S., &amp; </w:t>
      </w:r>
      <w:proofErr w:type="spellStart"/>
      <w:r w:rsidRPr="00F534BF">
        <w:rPr>
          <w:rFonts w:ascii="Arial" w:hAnsi="Arial" w:cs="Arial"/>
          <w:kern w:val="0"/>
        </w:rPr>
        <w:t>Daveluy</w:t>
      </w:r>
      <w:proofErr w:type="spellEnd"/>
      <w:r w:rsidRPr="00F534BF">
        <w:rPr>
          <w:rFonts w:ascii="Arial" w:hAnsi="Arial" w:cs="Arial"/>
          <w:kern w:val="0"/>
        </w:rPr>
        <w:t xml:space="preserve">, S. (2024). Baking Soda and the </w:t>
      </w:r>
    </w:p>
    <w:p w14:paraId="262BC58F" w14:textId="77777777" w:rsidR="007B47F9" w:rsidRPr="00F534BF" w:rsidRDefault="008B0031" w:rsidP="00F534BF">
      <w:pPr>
        <w:widowControl w:val="0"/>
        <w:autoSpaceDE w:val="0"/>
        <w:autoSpaceDN w:val="0"/>
        <w:adjustRightInd w:val="0"/>
        <w:spacing w:line="360" w:lineRule="auto"/>
        <w:ind w:left="1080"/>
        <w:rPr>
          <w:rFonts w:ascii="Arial" w:hAnsi="Arial" w:cs="Arial"/>
          <w:kern w:val="0"/>
        </w:rPr>
      </w:pPr>
      <w:r w:rsidRPr="00F534BF">
        <w:rPr>
          <w:rFonts w:ascii="Arial" w:hAnsi="Arial" w:cs="Arial"/>
          <w:kern w:val="0"/>
        </w:rPr>
        <w:t xml:space="preserve">Skin: A Review of Baking Soda in Dermatology. </w:t>
      </w:r>
      <w:r w:rsidRPr="00F534BF">
        <w:rPr>
          <w:rFonts w:ascii="Arial" w:hAnsi="Arial" w:cs="Arial"/>
          <w:i/>
          <w:iCs/>
          <w:kern w:val="0"/>
        </w:rPr>
        <w:t>Journal of Integrative Dermatology</w:t>
      </w:r>
      <w:r w:rsidRPr="00F534BF">
        <w:rPr>
          <w:rFonts w:ascii="Arial" w:hAnsi="Arial" w:cs="Arial"/>
          <w:kern w:val="0"/>
        </w:rPr>
        <w:t>.</w:t>
      </w:r>
    </w:p>
    <w:p w14:paraId="3BCCA4B5" w14:textId="078C231D" w:rsidR="00FA294F" w:rsidRPr="00F534BF" w:rsidRDefault="002F6AA8" w:rsidP="00F534BF">
      <w:pPr>
        <w:widowControl w:val="0"/>
        <w:autoSpaceDE w:val="0"/>
        <w:autoSpaceDN w:val="0"/>
        <w:adjustRightInd w:val="0"/>
        <w:spacing w:line="360" w:lineRule="auto"/>
        <w:ind w:left="360"/>
        <w:rPr>
          <w:rFonts w:ascii="Arial" w:hAnsi="Arial" w:cs="Arial"/>
          <w:kern w:val="0"/>
        </w:rPr>
      </w:pPr>
      <w:r w:rsidRPr="00F534BF">
        <w:rPr>
          <w:rFonts w:ascii="Arial" w:hAnsi="Arial" w:cs="Arial"/>
          <w:kern w:val="0"/>
        </w:rPr>
        <w:t>Jessie, A. (2014)</w:t>
      </w:r>
      <w:r w:rsidR="00886E9D" w:rsidRPr="00F534BF">
        <w:rPr>
          <w:rFonts w:ascii="Arial" w:hAnsi="Arial" w:cs="Arial"/>
          <w:kern w:val="0"/>
        </w:rPr>
        <w:t xml:space="preserve">. Factors that Affect the Rate of Reactions. Retrieved from: </w:t>
      </w:r>
    </w:p>
    <w:p w14:paraId="0836F7CD" w14:textId="6ECFFA92" w:rsidR="002F6AA8" w:rsidRPr="00F534BF" w:rsidRDefault="00886E9D" w:rsidP="00F534BF">
      <w:pPr>
        <w:widowControl w:val="0"/>
        <w:autoSpaceDE w:val="0"/>
        <w:autoSpaceDN w:val="0"/>
        <w:adjustRightInd w:val="0"/>
        <w:spacing w:line="360" w:lineRule="auto"/>
        <w:ind w:left="1080"/>
        <w:rPr>
          <w:rFonts w:ascii="Arial" w:hAnsi="Arial" w:cs="Arial"/>
          <w:kern w:val="0"/>
        </w:rPr>
      </w:pPr>
      <w:r w:rsidRPr="00F534BF">
        <w:rPr>
          <w:rFonts w:ascii="Arial" w:hAnsi="Arial" w:cs="Arial"/>
          <w:kern w:val="0"/>
        </w:rPr>
        <w:t>https://opentextbc.ca/introductorychemistry/chapter/factors-that-affect-the-rate-of-reactions/</w:t>
      </w:r>
    </w:p>
    <w:p w14:paraId="4BE6B45D" w14:textId="7A9383DF" w:rsidR="00510FAB" w:rsidRPr="00F534BF" w:rsidRDefault="000C443D" w:rsidP="00F534BF">
      <w:pPr>
        <w:widowControl w:val="0"/>
        <w:autoSpaceDE w:val="0"/>
        <w:autoSpaceDN w:val="0"/>
        <w:adjustRightInd w:val="0"/>
        <w:spacing w:line="360" w:lineRule="auto"/>
        <w:ind w:left="360"/>
        <w:rPr>
          <w:rFonts w:ascii="Arial" w:hAnsi="Arial" w:cs="Arial"/>
          <w:kern w:val="0"/>
        </w:rPr>
      </w:pPr>
      <w:r w:rsidRPr="00F534BF">
        <w:rPr>
          <w:rFonts w:ascii="Arial" w:hAnsi="Arial" w:cs="Arial"/>
          <w:kern w:val="0"/>
        </w:rPr>
        <w:t xml:space="preserve">Purdue University (n.d.). The classic baking soda experiment. Retrieved from: </w:t>
      </w:r>
    </w:p>
    <w:p w14:paraId="5F65FEAD" w14:textId="7B24C000" w:rsidR="000C443D" w:rsidRPr="00F534BF" w:rsidRDefault="00C22748" w:rsidP="00F534BF">
      <w:pPr>
        <w:widowControl w:val="0"/>
        <w:autoSpaceDE w:val="0"/>
        <w:autoSpaceDN w:val="0"/>
        <w:adjustRightInd w:val="0"/>
        <w:spacing w:line="360" w:lineRule="auto"/>
        <w:ind w:left="1080"/>
        <w:rPr>
          <w:rFonts w:ascii="Arial" w:hAnsi="Arial" w:cs="Arial"/>
          <w:kern w:val="0"/>
        </w:rPr>
      </w:pPr>
      <w:r w:rsidRPr="00F534BF">
        <w:rPr>
          <w:rFonts w:ascii="Arial" w:hAnsi="Arial" w:cs="Arial"/>
          <w:kern w:val="0"/>
        </w:rPr>
        <w:t>https://extension.purdue.edu/4-H/get-involved/discovery_media/5thbakingsoda.pdf</w:t>
      </w:r>
    </w:p>
    <w:p w14:paraId="2139EE37" w14:textId="77777777" w:rsidR="00510FAB" w:rsidRPr="00F534BF" w:rsidRDefault="00510FAB" w:rsidP="00F534BF">
      <w:pPr>
        <w:widowControl w:val="0"/>
        <w:autoSpaceDE w:val="0"/>
        <w:autoSpaceDN w:val="0"/>
        <w:adjustRightInd w:val="0"/>
        <w:spacing w:line="360" w:lineRule="auto"/>
        <w:ind w:left="360"/>
        <w:rPr>
          <w:rFonts w:ascii="Arial" w:hAnsi="Arial" w:cs="Arial"/>
          <w:kern w:val="0"/>
        </w:rPr>
      </w:pPr>
      <w:r w:rsidRPr="00F534BF">
        <w:rPr>
          <w:rFonts w:ascii="Arial" w:hAnsi="Arial" w:cs="Arial"/>
          <w:kern w:val="0"/>
        </w:rPr>
        <w:t xml:space="preserve">Quade, B. N., Parker, M. D., &amp; </w:t>
      </w:r>
      <w:proofErr w:type="spellStart"/>
      <w:r w:rsidRPr="00F534BF">
        <w:rPr>
          <w:rFonts w:ascii="Arial" w:hAnsi="Arial" w:cs="Arial"/>
          <w:kern w:val="0"/>
        </w:rPr>
        <w:t>Occhipinti</w:t>
      </w:r>
      <w:proofErr w:type="spellEnd"/>
      <w:r w:rsidRPr="00F534BF">
        <w:rPr>
          <w:rFonts w:ascii="Arial" w:hAnsi="Arial" w:cs="Arial"/>
          <w:kern w:val="0"/>
        </w:rPr>
        <w:t>, R. (2021). The therapeutic importance of acid-</w:t>
      </w:r>
    </w:p>
    <w:p w14:paraId="46746A74" w14:textId="77777777" w:rsidR="00510FAB" w:rsidRPr="00F534BF" w:rsidRDefault="00510FAB" w:rsidP="00F534BF">
      <w:pPr>
        <w:widowControl w:val="0"/>
        <w:autoSpaceDE w:val="0"/>
        <w:autoSpaceDN w:val="0"/>
        <w:adjustRightInd w:val="0"/>
        <w:spacing w:line="360" w:lineRule="auto"/>
        <w:ind w:left="1080"/>
        <w:rPr>
          <w:rFonts w:ascii="Arial" w:hAnsi="Arial" w:cs="Arial"/>
          <w:kern w:val="0"/>
        </w:rPr>
      </w:pPr>
      <w:r w:rsidRPr="00F534BF">
        <w:rPr>
          <w:rFonts w:ascii="Arial" w:hAnsi="Arial" w:cs="Arial"/>
          <w:kern w:val="0"/>
        </w:rPr>
        <w:t xml:space="preserve">base balance. </w:t>
      </w:r>
      <w:r w:rsidRPr="00F534BF">
        <w:rPr>
          <w:rFonts w:ascii="Arial" w:hAnsi="Arial" w:cs="Arial"/>
          <w:i/>
          <w:iCs/>
          <w:kern w:val="0"/>
        </w:rPr>
        <w:t>Biochemical pharmacology</w:t>
      </w:r>
      <w:r w:rsidRPr="00F534BF">
        <w:rPr>
          <w:rFonts w:ascii="Arial" w:hAnsi="Arial" w:cs="Arial"/>
          <w:kern w:val="0"/>
        </w:rPr>
        <w:t xml:space="preserve">, </w:t>
      </w:r>
      <w:r w:rsidRPr="00F534BF">
        <w:rPr>
          <w:rFonts w:ascii="Arial" w:hAnsi="Arial" w:cs="Arial"/>
          <w:i/>
          <w:iCs/>
          <w:kern w:val="0"/>
        </w:rPr>
        <w:t>183</w:t>
      </w:r>
      <w:r w:rsidRPr="00F534BF">
        <w:rPr>
          <w:rFonts w:ascii="Arial" w:hAnsi="Arial" w:cs="Arial"/>
          <w:kern w:val="0"/>
        </w:rPr>
        <w:t>, 114278.</w:t>
      </w:r>
    </w:p>
    <w:p w14:paraId="7FA2BD02" w14:textId="77777777" w:rsidR="00510FAB" w:rsidRPr="00F534BF" w:rsidRDefault="00510FAB" w:rsidP="00F534BF">
      <w:pPr>
        <w:widowControl w:val="0"/>
        <w:autoSpaceDE w:val="0"/>
        <w:autoSpaceDN w:val="0"/>
        <w:adjustRightInd w:val="0"/>
        <w:spacing w:line="360" w:lineRule="auto"/>
        <w:rPr>
          <w:rFonts w:ascii="Arial" w:hAnsi="Arial" w:cs="Arial"/>
          <w:kern w:val="0"/>
        </w:rPr>
      </w:pPr>
    </w:p>
    <w:p w14:paraId="65DDED99" w14:textId="08E8E97C" w:rsidR="006D72BD" w:rsidRPr="00F534BF" w:rsidRDefault="006D72BD" w:rsidP="00F534BF">
      <w:pPr>
        <w:widowControl w:val="0"/>
        <w:autoSpaceDE w:val="0"/>
        <w:autoSpaceDN w:val="0"/>
        <w:adjustRightInd w:val="0"/>
        <w:spacing w:line="360" w:lineRule="auto"/>
        <w:rPr>
          <w:rFonts w:ascii="Arial" w:hAnsi="Arial" w:cs="Arial"/>
        </w:rPr>
      </w:pPr>
    </w:p>
    <w:p w14:paraId="3811F187" w14:textId="77777777" w:rsidR="00EF3879" w:rsidRPr="00F534BF" w:rsidRDefault="00EF3879" w:rsidP="00F534BF">
      <w:pPr>
        <w:spacing w:line="360" w:lineRule="auto"/>
        <w:rPr>
          <w:rFonts w:ascii="Arial" w:hAnsi="Arial" w:cs="Arial"/>
        </w:rPr>
      </w:pPr>
    </w:p>
    <w:sectPr w:rsidR="00EF3879" w:rsidRPr="00F534BF" w:rsidSect="006D72BD">
      <w:headerReference w:type="default" r:id="rId10"/>
      <w:pgSz w:w="12240" w:h="15840"/>
      <w:pgMar w:top="1440" w:right="1440" w:bottom="1440" w:left="1440"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065560" w14:textId="77777777" w:rsidR="004D6411" w:rsidRDefault="004D6411" w:rsidP="00F534BF">
      <w:r>
        <w:separator/>
      </w:r>
    </w:p>
  </w:endnote>
  <w:endnote w:type="continuationSeparator" w:id="0">
    <w:p w14:paraId="37F751F6" w14:textId="77777777" w:rsidR="004D6411" w:rsidRDefault="004D6411" w:rsidP="00F534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EF114" w14:textId="77777777" w:rsidR="004D6411" w:rsidRDefault="004D6411" w:rsidP="00F534BF">
      <w:r>
        <w:separator/>
      </w:r>
    </w:p>
  </w:footnote>
  <w:footnote w:type="continuationSeparator" w:id="0">
    <w:p w14:paraId="6BC29247" w14:textId="77777777" w:rsidR="004D6411" w:rsidRDefault="004D6411" w:rsidP="00F534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9567946"/>
      <w:docPartObj>
        <w:docPartGallery w:val="Page Numbers (Top of Page)"/>
        <w:docPartUnique/>
      </w:docPartObj>
    </w:sdtPr>
    <w:sdtEndPr>
      <w:rPr>
        <w:noProof/>
      </w:rPr>
    </w:sdtEndPr>
    <w:sdtContent>
      <w:p w14:paraId="192A8A90" w14:textId="4762797D" w:rsidR="00F534BF" w:rsidRDefault="00F534BF">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0EB9B36" w14:textId="77777777" w:rsidR="00F534BF" w:rsidRDefault="00F534B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02ABF"/>
    <w:multiLevelType w:val="hybridMultilevel"/>
    <w:tmpl w:val="031EE660"/>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35D2066B"/>
    <w:multiLevelType w:val="hybridMultilevel"/>
    <w:tmpl w:val="B2088AF6"/>
    <w:lvl w:ilvl="0" w:tplc="FFFFFFFF">
      <w:start w:val="1"/>
      <w:numFmt w:val="upp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D9C53E3"/>
    <w:multiLevelType w:val="hybridMultilevel"/>
    <w:tmpl w:val="CFD4B59C"/>
    <w:lvl w:ilvl="0" w:tplc="450063B6">
      <w:start w:val="13"/>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65C77BB"/>
    <w:multiLevelType w:val="hybridMultilevel"/>
    <w:tmpl w:val="B2088AF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68033730">
    <w:abstractNumId w:val="3"/>
  </w:num>
  <w:num w:numId="2" w16cid:durableId="80681865">
    <w:abstractNumId w:val="0"/>
  </w:num>
  <w:num w:numId="3" w16cid:durableId="1807119028">
    <w:abstractNumId w:val="1"/>
  </w:num>
  <w:num w:numId="4" w16cid:durableId="75151097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2BD"/>
    <w:rsid w:val="00037A4B"/>
    <w:rsid w:val="00040B36"/>
    <w:rsid w:val="00093437"/>
    <w:rsid w:val="00097AB4"/>
    <w:rsid w:val="000B2133"/>
    <w:rsid w:val="000B743F"/>
    <w:rsid w:val="000C443D"/>
    <w:rsid w:val="000E2A8B"/>
    <w:rsid w:val="000F0BFC"/>
    <w:rsid w:val="00125DC7"/>
    <w:rsid w:val="0013776A"/>
    <w:rsid w:val="00137F9D"/>
    <w:rsid w:val="00141C6D"/>
    <w:rsid w:val="0015373D"/>
    <w:rsid w:val="00154ECA"/>
    <w:rsid w:val="00177A77"/>
    <w:rsid w:val="0020776F"/>
    <w:rsid w:val="002103BA"/>
    <w:rsid w:val="0021145B"/>
    <w:rsid w:val="002155E8"/>
    <w:rsid w:val="00220701"/>
    <w:rsid w:val="00231888"/>
    <w:rsid w:val="00231D88"/>
    <w:rsid w:val="0026406E"/>
    <w:rsid w:val="002947F8"/>
    <w:rsid w:val="002B2F10"/>
    <w:rsid w:val="002E2E46"/>
    <w:rsid w:val="002E69BC"/>
    <w:rsid w:val="002F3B83"/>
    <w:rsid w:val="002F6AA8"/>
    <w:rsid w:val="003003CB"/>
    <w:rsid w:val="0032190C"/>
    <w:rsid w:val="0032679F"/>
    <w:rsid w:val="00333702"/>
    <w:rsid w:val="00340DA0"/>
    <w:rsid w:val="003A3B6B"/>
    <w:rsid w:val="003A5296"/>
    <w:rsid w:val="003A5B3C"/>
    <w:rsid w:val="003A6E7F"/>
    <w:rsid w:val="003C2FA7"/>
    <w:rsid w:val="003D4D6D"/>
    <w:rsid w:val="0041067B"/>
    <w:rsid w:val="004341D5"/>
    <w:rsid w:val="00441C77"/>
    <w:rsid w:val="00456044"/>
    <w:rsid w:val="00460683"/>
    <w:rsid w:val="00484FB3"/>
    <w:rsid w:val="00490E87"/>
    <w:rsid w:val="004924C4"/>
    <w:rsid w:val="00495CD4"/>
    <w:rsid w:val="004A4C2A"/>
    <w:rsid w:val="004A5B8E"/>
    <w:rsid w:val="004C6DED"/>
    <w:rsid w:val="004D6411"/>
    <w:rsid w:val="004F4932"/>
    <w:rsid w:val="00510FAB"/>
    <w:rsid w:val="005152B3"/>
    <w:rsid w:val="005419EC"/>
    <w:rsid w:val="0059295F"/>
    <w:rsid w:val="00597B8A"/>
    <w:rsid w:val="005A300E"/>
    <w:rsid w:val="005B4750"/>
    <w:rsid w:val="005D4864"/>
    <w:rsid w:val="005E23D7"/>
    <w:rsid w:val="005F4CF8"/>
    <w:rsid w:val="005F59B5"/>
    <w:rsid w:val="00605CBD"/>
    <w:rsid w:val="00614A0B"/>
    <w:rsid w:val="00625248"/>
    <w:rsid w:val="006261D0"/>
    <w:rsid w:val="006512FD"/>
    <w:rsid w:val="00657344"/>
    <w:rsid w:val="00660C6D"/>
    <w:rsid w:val="00685F8E"/>
    <w:rsid w:val="006D6266"/>
    <w:rsid w:val="006D72BD"/>
    <w:rsid w:val="00705F14"/>
    <w:rsid w:val="007435E4"/>
    <w:rsid w:val="0075264F"/>
    <w:rsid w:val="00753D31"/>
    <w:rsid w:val="007A2738"/>
    <w:rsid w:val="007B47F9"/>
    <w:rsid w:val="007C4B73"/>
    <w:rsid w:val="007D18B0"/>
    <w:rsid w:val="007D54CB"/>
    <w:rsid w:val="007F6EF9"/>
    <w:rsid w:val="00800EC4"/>
    <w:rsid w:val="00801220"/>
    <w:rsid w:val="00803766"/>
    <w:rsid w:val="00830C3F"/>
    <w:rsid w:val="008472B1"/>
    <w:rsid w:val="00867A65"/>
    <w:rsid w:val="0087568F"/>
    <w:rsid w:val="00886E9D"/>
    <w:rsid w:val="008930DA"/>
    <w:rsid w:val="008B0031"/>
    <w:rsid w:val="008C2233"/>
    <w:rsid w:val="008F3971"/>
    <w:rsid w:val="00910416"/>
    <w:rsid w:val="009738C4"/>
    <w:rsid w:val="00986641"/>
    <w:rsid w:val="00995DA3"/>
    <w:rsid w:val="009B5DA6"/>
    <w:rsid w:val="009D629A"/>
    <w:rsid w:val="009F5A5A"/>
    <w:rsid w:val="00A212CA"/>
    <w:rsid w:val="00A339FC"/>
    <w:rsid w:val="00A438EB"/>
    <w:rsid w:val="00A62201"/>
    <w:rsid w:val="00A976CB"/>
    <w:rsid w:val="00AC7DB1"/>
    <w:rsid w:val="00AD04D4"/>
    <w:rsid w:val="00AE52DD"/>
    <w:rsid w:val="00B10949"/>
    <w:rsid w:val="00B2471E"/>
    <w:rsid w:val="00B60900"/>
    <w:rsid w:val="00B77CB2"/>
    <w:rsid w:val="00B80C01"/>
    <w:rsid w:val="00B9090C"/>
    <w:rsid w:val="00BA0996"/>
    <w:rsid w:val="00BA3110"/>
    <w:rsid w:val="00BE1524"/>
    <w:rsid w:val="00BE2CFD"/>
    <w:rsid w:val="00BF6560"/>
    <w:rsid w:val="00C11B9E"/>
    <w:rsid w:val="00C14CB6"/>
    <w:rsid w:val="00C22748"/>
    <w:rsid w:val="00C36E9C"/>
    <w:rsid w:val="00C603E5"/>
    <w:rsid w:val="00C83E6C"/>
    <w:rsid w:val="00CC5EE0"/>
    <w:rsid w:val="00CD1353"/>
    <w:rsid w:val="00CE5CC9"/>
    <w:rsid w:val="00CE764F"/>
    <w:rsid w:val="00D14F3C"/>
    <w:rsid w:val="00D30234"/>
    <w:rsid w:val="00D32E60"/>
    <w:rsid w:val="00D44B90"/>
    <w:rsid w:val="00D74412"/>
    <w:rsid w:val="00D7744E"/>
    <w:rsid w:val="00DA58BF"/>
    <w:rsid w:val="00DB1184"/>
    <w:rsid w:val="00DC7AE5"/>
    <w:rsid w:val="00DD6ED6"/>
    <w:rsid w:val="00E24C81"/>
    <w:rsid w:val="00E37F10"/>
    <w:rsid w:val="00E41920"/>
    <w:rsid w:val="00E41C1B"/>
    <w:rsid w:val="00E52E62"/>
    <w:rsid w:val="00EB3BE0"/>
    <w:rsid w:val="00EE11E2"/>
    <w:rsid w:val="00EF3879"/>
    <w:rsid w:val="00F47783"/>
    <w:rsid w:val="00F534BF"/>
    <w:rsid w:val="00F92FE5"/>
    <w:rsid w:val="00F97B77"/>
    <w:rsid w:val="00FA294F"/>
    <w:rsid w:val="00FB642B"/>
    <w:rsid w:val="00FC1425"/>
    <w:rsid w:val="00FD7568"/>
  </w:rsids>
  <m:mathPr>
    <m:mathFont m:val="Cambria Math"/>
    <m:brkBin m:val="before"/>
    <m:brkBinSub m:val="--"/>
    <m:smallFrac m:val="0"/>
    <m:dispDef/>
    <m:lMargin m:val="0"/>
    <m:rMargin m:val="0"/>
    <m:defJc m:val="centerGroup"/>
    <m:wrapIndent m:val="1440"/>
    <m:intLim m:val="subSup"/>
    <m:naryLim m:val="undOvr"/>
  </m:mathPr>
  <w:themeFontLang w:val="en-K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2A7361"/>
  <w15:chartTrackingRefBased/>
  <w15:docId w15:val="{2DE4035F-747E-4230-A313-F8961A724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K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72BD"/>
    <w:pPr>
      <w:spacing w:after="0" w:line="240" w:lineRule="auto"/>
    </w:pPr>
    <w:rPr>
      <w:rFonts w:ascii="Calibri" w:eastAsia="Times New Roman" w:hAnsi="Calibri" w:cs="Times New Roman"/>
      <w:sz w:val="24"/>
      <w:szCs w:val="24"/>
      <w:lang w:val="en-US"/>
      <w14:ligatures w14:val="none"/>
    </w:rPr>
  </w:style>
  <w:style w:type="paragraph" w:styleId="Heading1">
    <w:name w:val="heading 1"/>
    <w:basedOn w:val="Normal"/>
    <w:next w:val="Normal"/>
    <w:link w:val="Heading1Char"/>
    <w:uiPriority w:val="9"/>
    <w:qFormat/>
    <w:rsid w:val="006D72B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D72B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D72B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D72B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D72B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D72B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D72B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D72B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D72B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D72B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D72B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D72B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D72B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D72B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D72B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D72B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D72B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D72BD"/>
    <w:rPr>
      <w:rFonts w:eastAsiaTheme="majorEastAsia" w:cstheme="majorBidi"/>
      <w:color w:val="272727" w:themeColor="text1" w:themeTint="D8"/>
    </w:rPr>
  </w:style>
  <w:style w:type="paragraph" w:styleId="Title">
    <w:name w:val="Title"/>
    <w:basedOn w:val="Normal"/>
    <w:next w:val="Normal"/>
    <w:link w:val="TitleChar"/>
    <w:uiPriority w:val="10"/>
    <w:qFormat/>
    <w:rsid w:val="006D72B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D72B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D72B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D72B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D72BD"/>
    <w:pPr>
      <w:spacing w:before="160"/>
      <w:jc w:val="center"/>
    </w:pPr>
    <w:rPr>
      <w:i/>
      <w:iCs/>
      <w:color w:val="404040" w:themeColor="text1" w:themeTint="BF"/>
    </w:rPr>
  </w:style>
  <w:style w:type="character" w:customStyle="1" w:styleId="QuoteChar">
    <w:name w:val="Quote Char"/>
    <w:basedOn w:val="DefaultParagraphFont"/>
    <w:link w:val="Quote"/>
    <w:uiPriority w:val="29"/>
    <w:rsid w:val="006D72BD"/>
    <w:rPr>
      <w:i/>
      <w:iCs/>
      <w:color w:val="404040" w:themeColor="text1" w:themeTint="BF"/>
    </w:rPr>
  </w:style>
  <w:style w:type="paragraph" w:styleId="ListParagraph">
    <w:name w:val="List Paragraph"/>
    <w:basedOn w:val="Normal"/>
    <w:uiPriority w:val="34"/>
    <w:qFormat/>
    <w:rsid w:val="006D72BD"/>
    <w:pPr>
      <w:ind w:left="720"/>
      <w:contextualSpacing/>
    </w:pPr>
  </w:style>
  <w:style w:type="character" w:styleId="IntenseEmphasis">
    <w:name w:val="Intense Emphasis"/>
    <w:basedOn w:val="DefaultParagraphFont"/>
    <w:uiPriority w:val="21"/>
    <w:qFormat/>
    <w:rsid w:val="006D72BD"/>
    <w:rPr>
      <w:i/>
      <w:iCs/>
      <w:color w:val="0F4761" w:themeColor="accent1" w:themeShade="BF"/>
    </w:rPr>
  </w:style>
  <w:style w:type="paragraph" w:styleId="IntenseQuote">
    <w:name w:val="Intense Quote"/>
    <w:basedOn w:val="Normal"/>
    <w:next w:val="Normal"/>
    <w:link w:val="IntenseQuoteChar"/>
    <w:uiPriority w:val="30"/>
    <w:qFormat/>
    <w:rsid w:val="006D72B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D72BD"/>
    <w:rPr>
      <w:i/>
      <w:iCs/>
      <w:color w:val="0F4761" w:themeColor="accent1" w:themeShade="BF"/>
    </w:rPr>
  </w:style>
  <w:style w:type="character" w:styleId="IntenseReference">
    <w:name w:val="Intense Reference"/>
    <w:basedOn w:val="DefaultParagraphFont"/>
    <w:uiPriority w:val="32"/>
    <w:qFormat/>
    <w:rsid w:val="006D72BD"/>
    <w:rPr>
      <w:b/>
      <w:bCs/>
      <w:smallCaps/>
      <w:color w:val="0F4761" w:themeColor="accent1" w:themeShade="BF"/>
      <w:spacing w:val="5"/>
    </w:rPr>
  </w:style>
  <w:style w:type="table" w:styleId="TableGrid">
    <w:name w:val="Table Grid"/>
    <w:basedOn w:val="TableNormal"/>
    <w:uiPriority w:val="39"/>
    <w:rsid w:val="005419E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534BF"/>
    <w:pPr>
      <w:tabs>
        <w:tab w:val="center" w:pos="4513"/>
        <w:tab w:val="right" w:pos="9026"/>
      </w:tabs>
    </w:pPr>
  </w:style>
  <w:style w:type="character" w:customStyle="1" w:styleId="HeaderChar">
    <w:name w:val="Header Char"/>
    <w:basedOn w:val="DefaultParagraphFont"/>
    <w:link w:val="Header"/>
    <w:uiPriority w:val="99"/>
    <w:rsid w:val="00F534BF"/>
    <w:rPr>
      <w:rFonts w:ascii="Calibri" w:eastAsia="Times New Roman" w:hAnsi="Calibri" w:cs="Times New Roman"/>
      <w:sz w:val="24"/>
      <w:szCs w:val="24"/>
      <w:lang w:val="en-US"/>
      <w14:ligatures w14:val="none"/>
    </w:rPr>
  </w:style>
  <w:style w:type="paragraph" w:styleId="Footer">
    <w:name w:val="footer"/>
    <w:basedOn w:val="Normal"/>
    <w:link w:val="FooterChar"/>
    <w:uiPriority w:val="99"/>
    <w:unhideWhenUsed/>
    <w:rsid w:val="00F534BF"/>
    <w:pPr>
      <w:tabs>
        <w:tab w:val="center" w:pos="4513"/>
        <w:tab w:val="right" w:pos="9026"/>
      </w:tabs>
    </w:pPr>
  </w:style>
  <w:style w:type="character" w:customStyle="1" w:styleId="FooterChar">
    <w:name w:val="Footer Char"/>
    <w:basedOn w:val="DefaultParagraphFont"/>
    <w:link w:val="Footer"/>
    <w:uiPriority w:val="99"/>
    <w:rsid w:val="00F534BF"/>
    <w:rPr>
      <w:rFonts w:ascii="Calibri" w:eastAsia="Times New Roman" w:hAnsi="Calibri" w:cs="Times New Roman"/>
      <w:sz w:val="24"/>
      <w:szCs w:val="24"/>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7647395">
      <w:bodyDiv w:val="1"/>
      <w:marLeft w:val="0"/>
      <w:marRight w:val="0"/>
      <w:marTop w:val="0"/>
      <w:marBottom w:val="0"/>
      <w:divBdr>
        <w:top w:val="none" w:sz="0" w:space="0" w:color="auto"/>
        <w:left w:val="none" w:sz="0" w:space="0" w:color="auto"/>
        <w:bottom w:val="none" w:sz="0" w:space="0" w:color="auto"/>
        <w:right w:val="none" w:sz="0" w:space="0" w:color="auto"/>
      </w:divBdr>
    </w:div>
    <w:div w:id="306522093">
      <w:bodyDiv w:val="1"/>
      <w:marLeft w:val="0"/>
      <w:marRight w:val="0"/>
      <w:marTop w:val="0"/>
      <w:marBottom w:val="0"/>
      <w:divBdr>
        <w:top w:val="none" w:sz="0" w:space="0" w:color="auto"/>
        <w:left w:val="none" w:sz="0" w:space="0" w:color="auto"/>
        <w:bottom w:val="none" w:sz="0" w:space="0" w:color="auto"/>
        <w:right w:val="none" w:sz="0" w:space="0" w:color="auto"/>
      </w:divBdr>
    </w:div>
    <w:div w:id="545415135">
      <w:bodyDiv w:val="1"/>
      <w:marLeft w:val="0"/>
      <w:marRight w:val="0"/>
      <w:marTop w:val="0"/>
      <w:marBottom w:val="0"/>
      <w:divBdr>
        <w:top w:val="none" w:sz="0" w:space="0" w:color="auto"/>
        <w:left w:val="none" w:sz="0" w:space="0" w:color="auto"/>
        <w:bottom w:val="none" w:sz="0" w:space="0" w:color="auto"/>
        <w:right w:val="none" w:sz="0" w:space="0" w:color="auto"/>
      </w:divBdr>
      <w:divsChild>
        <w:div w:id="1335184634">
          <w:marLeft w:val="0"/>
          <w:marRight w:val="0"/>
          <w:marTop w:val="0"/>
          <w:marBottom w:val="0"/>
          <w:divBdr>
            <w:top w:val="none" w:sz="0" w:space="0" w:color="auto"/>
            <w:left w:val="none" w:sz="0" w:space="0" w:color="auto"/>
            <w:bottom w:val="none" w:sz="0" w:space="0" w:color="auto"/>
            <w:right w:val="none" w:sz="0" w:space="0" w:color="auto"/>
          </w:divBdr>
        </w:div>
      </w:divsChild>
    </w:div>
    <w:div w:id="559441485">
      <w:bodyDiv w:val="1"/>
      <w:marLeft w:val="0"/>
      <w:marRight w:val="0"/>
      <w:marTop w:val="0"/>
      <w:marBottom w:val="0"/>
      <w:divBdr>
        <w:top w:val="none" w:sz="0" w:space="0" w:color="auto"/>
        <w:left w:val="none" w:sz="0" w:space="0" w:color="auto"/>
        <w:bottom w:val="none" w:sz="0" w:space="0" w:color="auto"/>
        <w:right w:val="none" w:sz="0" w:space="0" w:color="auto"/>
      </w:divBdr>
    </w:div>
    <w:div w:id="771441139">
      <w:bodyDiv w:val="1"/>
      <w:marLeft w:val="0"/>
      <w:marRight w:val="0"/>
      <w:marTop w:val="0"/>
      <w:marBottom w:val="0"/>
      <w:divBdr>
        <w:top w:val="none" w:sz="0" w:space="0" w:color="auto"/>
        <w:left w:val="none" w:sz="0" w:space="0" w:color="auto"/>
        <w:bottom w:val="none" w:sz="0" w:space="0" w:color="auto"/>
        <w:right w:val="none" w:sz="0" w:space="0" w:color="auto"/>
      </w:divBdr>
    </w:div>
    <w:div w:id="866018915">
      <w:bodyDiv w:val="1"/>
      <w:marLeft w:val="0"/>
      <w:marRight w:val="0"/>
      <w:marTop w:val="0"/>
      <w:marBottom w:val="0"/>
      <w:divBdr>
        <w:top w:val="none" w:sz="0" w:space="0" w:color="auto"/>
        <w:left w:val="none" w:sz="0" w:space="0" w:color="auto"/>
        <w:bottom w:val="none" w:sz="0" w:space="0" w:color="auto"/>
        <w:right w:val="none" w:sz="0" w:space="0" w:color="auto"/>
      </w:divBdr>
    </w:div>
    <w:div w:id="986515934">
      <w:bodyDiv w:val="1"/>
      <w:marLeft w:val="0"/>
      <w:marRight w:val="0"/>
      <w:marTop w:val="0"/>
      <w:marBottom w:val="0"/>
      <w:divBdr>
        <w:top w:val="none" w:sz="0" w:space="0" w:color="auto"/>
        <w:left w:val="none" w:sz="0" w:space="0" w:color="auto"/>
        <w:bottom w:val="none" w:sz="0" w:space="0" w:color="auto"/>
        <w:right w:val="none" w:sz="0" w:space="0" w:color="auto"/>
      </w:divBdr>
    </w:div>
    <w:div w:id="1014841291">
      <w:bodyDiv w:val="1"/>
      <w:marLeft w:val="0"/>
      <w:marRight w:val="0"/>
      <w:marTop w:val="0"/>
      <w:marBottom w:val="0"/>
      <w:divBdr>
        <w:top w:val="none" w:sz="0" w:space="0" w:color="auto"/>
        <w:left w:val="none" w:sz="0" w:space="0" w:color="auto"/>
        <w:bottom w:val="none" w:sz="0" w:space="0" w:color="auto"/>
        <w:right w:val="none" w:sz="0" w:space="0" w:color="auto"/>
      </w:divBdr>
    </w:div>
    <w:div w:id="1052269016">
      <w:bodyDiv w:val="1"/>
      <w:marLeft w:val="0"/>
      <w:marRight w:val="0"/>
      <w:marTop w:val="0"/>
      <w:marBottom w:val="0"/>
      <w:divBdr>
        <w:top w:val="none" w:sz="0" w:space="0" w:color="auto"/>
        <w:left w:val="none" w:sz="0" w:space="0" w:color="auto"/>
        <w:bottom w:val="none" w:sz="0" w:space="0" w:color="auto"/>
        <w:right w:val="none" w:sz="0" w:space="0" w:color="auto"/>
      </w:divBdr>
      <w:divsChild>
        <w:div w:id="953100879">
          <w:marLeft w:val="0"/>
          <w:marRight w:val="0"/>
          <w:marTop w:val="0"/>
          <w:marBottom w:val="0"/>
          <w:divBdr>
            <w:top w:val="none" w:sz="0" w:space="0" w:color="auto"/>
            <w:left w:val="none" w:sz="0" w:space="0" w:color="auto"/>
            <w:bottom w:val="none" w:sz="0" w:space="0" w:color="auto"/>
            <w:right w:val="none" w:sz="0" w:space="0" w:color="auto"/>
          </w:divBdr>
        </w:div>
      </w:divsChild>
    </w:div>
    <w:div w:id="1226834824">
      <w:bodyDiv w:val="1"/>
      <w:marLeft w:val="0"/>
      <w:marRight w:val="0"/>
      <w:marTop w:val="0"/>
      <w:marBottom w:val="0"/>
      <w:divBdr>
        <w:top w:val="none" w:sz="0" w:space="0" w:color="auto"/>
        <w:left w:val="none" w:sz="0" w:space="0" w:color="auto"/>
        <w:bottom w:val="none" w:sz="0" w:space="0" w:color="auto"/>
        <w:right w:val="none" w:sz="0" w:space="0" w:color="auto"/>
      </w:divBdr>
      <w:divsChild>
        <w:div w:id="344481961">
          <w:marLeft w:val="0"/>
          <w:marRight w:val="0"/>
          <w:marTop w:val="0"/>
          <w:marBottom w:val="0"/>
          <w:divBdr>
            <w:top w:val="none" w:sz="0" w:space="0" w:color="auto"/>
            <w:left w:val="none" w:sz="0" w:space="0" w:color="auto"/>
            <w:bottom w:val="none" w:sz="0" w:space="0" w:color="auto"/>
            <w:right w:val="none" w:sz="0" w:space="0" w:color="auto"/>
          </w:divBdr>
        </w:div>
      </w:divsChild>
    </w:div>
    <w:div w:id="1362247173">
      <w:bodyDiv w:val="1"/>
      <w:marLeft w:val="0"/>
      <w:marRight w:val="0"/>
      <w:marTop w:val="0"/>
      <w:marBottom w:val="0"/>
      <w:divBdr>
        <w:top w:val="none" w:sz="0" w:space="0" w:color="auto"/>
        <w:left w:val="none" w:sz="0" w:space="0" w:color="auto"/>
        <w:bottom w:val="none" w:sz="0" w:space="0" w:color="auto"/>
        <w:right w:val="none" w:sz="0" w:space="0" w:color="auto"/>
      </w:divBdr>
    </w:div>
    <w:div w:id="1662418600">
      <w:bodyDiv w:val="1"/>
      <w:marLeft w:val="0"/>
      <w:marRight w:val="0"/>
      <w:marTop w:val="0"/>
      <w:marBottom w:val="0"/>
      <w:divBdr>
        <w:top w:val="none" w:sz="0" w:space="0" w:color="auto"/>
        <w:left w:val="none" w:sz="0" w:space="0" w:color="auto"/>
        <w:bottom w:val="none" w:sz="0" w:space="0" w:color="auto"/>
        <w:right w:val="none" w:sz="0" w:space="0" w:color="auto"/>
      </w:divBdr>
      <w:divsChild>
        <w:div w:id="860237663">
          <w:marLeft w:val="0"/>
          <w:marRight w:val="0"/>
          <w:marTop w:val="0"/>
          <w:marBottom w:val="0"/>
          <w:divBdr>
            <w:top w:val="none" w:sz="0" w:space="0" w:color="auto"/>
            <w:left w:val="none" w:sz="0" w:space="0" w:color="auto"/>
            <w:bottom w:val="none" w:sz="0" w:space="0" w:color="auto"/>
            <w:right w:val="none" w:sz="0" w:space="0" w:color="auto"/>
          </w:divBdr>
        </w:div>
      </w:divsChild>
    </w:div>
    <w:div w:id="1705212032">
      <w:bodyDiv w:val="1"/>
      <w:marLeft w:val="0"/>
      <w:marRight w:val="0"/>
      <w:marTop w:val="0"/>
      <w:marBottom w:val="0"/>
      <w:divBdr>
        <w:top w:val="none" w:sz="0" w:space="0" w:color="auto"/>
        <w:left w:val="none" w:sz="0" w:space="0" w:color="auto"/>
        <w:bottom w:val="none" w:sz="0" w:space="0" w:color="auto"/>
        <w:right w:val="none" w:sz="0" w:space="0" w:color="auto"/>
      </w:divBdr>
    </w:div>
    <w:div w:id="19237551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microsoft.com/office/2014/relationships/chartEx" Target="charts/chartEx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oleObject" Target="file:///D:\Book1.xlsx" TargetMode="External"/><Relationship Id="rId2" Type="http://schemas.microsoft.com/office/2011/relationships/chartColorStyle" Target="colors2.xml"/><Relationship Id="rId1" Type="http://schemas.microsoft.com/office/2011/relationships/chartStyle" Target="style2.xml"/></Relationships>
</file>

<file path=word/charts/_rels/chartEx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Book1"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Mean</a:t>
            </a:r>
            <a:r>
              <a:rPr lang="en-US" baseline="0"/>
              <a:t> Reaction Times by Vinegar Concentration</a:t>
            </a:r>
            <a:endParaRPr lang="en-US"/>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col"/>
        <c:grouping val="clustered"/>
        <c:varyColors val="0"/>
        <c:ser>
          <c:idx val="0"/>
          <c:order val="0"/>
          <c:spPr>
            <a:solidFill>
              <a:schemeClr val="accent1"/>
            </a:solidFill>
            <a:ln>
              <a:noFill/>
            </a:ln>
            <a:effectLst/>
          </c:spPr>
          <c:invertIfNegative val="0"/>
          <c:cat>
            <c:strRef>
              <c:f>Sheet1!$F$22:$F$23</c:f>
              <c:strCache>
                <c:ptCount val="2"/>
                <c:pt idx="0">
                  <c:v>Concentrated Vinegar</c:v>
                </c:pt>
                <c:pt idx="1">
                  <c:v>Diluted Vinegar</c:v>
                </c:pt>
              </c:strCache>
            </c:strRef>
          </c:cat>
          <c:val>
            <c:numRef>
              <c:f>Sheet1!$G$22:$G$23</c:f>
              <c:numCache>
                <c:formatCode>General</c:formatCode>
                <c:ptCount val="2"/>
                <c:pt idx="0">
                  <c:v>4.1174999999999997</c:v>
                </c:pt>
                <c:pt idx="1">
                  <c:v>4.9675000000000002</c:v>
                </c:pt>
              </c:numCache>
            </c:numRef>
          </c:val>
          <c:extLst>
            <c:ext xmlns:c16="http://schemas.microsoft.com/office/drawing/2014/chart" uri="{C3380CC4-5D6E-409C-BE32-E72D297353CC}">
              <c16:uniqueId val="{00000000-7176-4336-AA63-616D404ACE61}"/>
            </c:ext>
          </c:extLst>
        </c:ser>
        <c:dLbls>
          <c:showLegendKey val="0"/>
          <c:showVal val="0"/>
          <c:showCatName val="0"/>
          <c:showSerName val="0"/>
          <c:showPercent val="0"/>
          <c:showBubbleSize val="0"/>
        </c:dLbls>
        <c:gapWidth val="219"/>
        <c:overlap val="-27"/>
        <c:axId val="1691265104"/>
        <c:axId val="1691272784"/>
      </c:barChart>
      <c:catAx>
        <c:axId val="16912651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1272784"/>
        <c:crosses val="autoZero"/>
        <c:auto val="1"/>
        <c:lblAlgn val="ctr"/>
        <c:lblOffset val="100"/>
        <c:noMultiLvlLbl val="0"/>
      </c:catAx>
      <c:valAx>
        <c:axId val="1691272784"/>
        <c:scaling>
          <c:orientation val="minMax"/>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Mean reaction time (in seconds)</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91265104"/>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Ex1.xml><?xml version="1.0" encoding="utf-8"?>
<cx:chartSpace xmlns:a="http://schemas.openxmlformats.org/drawingml/2006/main" xmlns:r="http://schemas.openxmlformats.org/officeDocument/2006/relationships" xmlns:cx="http://schemas.microsoft.com/office/drawing/2014/chartex">
  <cx:chartData>
    <cx:externalData r:id="rId1" cx:autoUpdate="0"/>
    <cx:data id="0">
      <cx:numDim type="val">
        <cx:f>Sheet1!$G$17:$G$20</cx:f>
        <cx:lvl ptCount="4" formatCode="General">
          <cx:pt idx="0">4.1200000000000001</cx:pt>
          <cx:pt idx="1">4.1500000000000004</cx:pt>
          <cx:pt idx="2">4.0899999999999999</cx:pt>
          <cx:pt idx="3">4.1100000000000003</cx:pt>
        </cx:lvl>
      </cx:numDim>
    </cx:data>
    <cx:data id="1">
      <cx:numDim type="val">
        <cx:f>Sheet1!$H$17:$H$20</cx:f>
        <cx:lvl ptCount="4" formatCode="General">
          <cx:pt idx="0">4.9299999999999997</cx:pt>
          <cx:pt idx="1">5.0199999999999996</cx:pt>
          <cx:pt idx="2">5.0300000000000002</cx:pt>
          <cx:pt idx="3">4.8899999999999997</cx:pt>
        </cx:lvl>
      </cx:numDim>
    </cx:data>
  </cx:chartData>
  <cx:chart>
    <cx:title pos="t" align="ctr" overlay="0">
      <cx:tx>
        <cx:txData>
          <cx:v>Reaction Time by Vinegar Concentration</cx:v>
        </cx:txData>
      </cx:tx>
      <cx:txPr>
        <a:bodyPr spcFirstLastPara="1" vertOverflow="ellipsis" horzOverflow="overflow" wrap="square" lIns="0" tIns="0" rIns="0" bIns="0" anchor="ctr" anchorCtr="1"/>
        <a:lstStyle/>
        <a:p>
          <a:pPr algn="ctr" rtl="0">
            <a:defRPr/>
          </a:pPr>
          <a:r>
            <a:rPr lang="en-US" sz="1400" b="0" i="0" u="none" strike="noStrike" baseline="0">
              <a:solidFill>
                <a:sysClr val="windowText" lastClr="000000">
                  <a:lumMod val="65000"/>
                  <a:lumOff val="35000"/>
                </a:sysClr>
              </a:solidFill>
              <a:latin typeface="Aptos Narrow" panose="02110004020202020204"/>
            </a:rPr>
            <a:t>Reaction Time by Vinegar Concentration</a:t>
          </a:r>
        </a:p>
      </cx:txPr>
    </cx:title>
    <cx:plotArea>
      <cx:plotAreaRegion>
        <cx:series layoutId="boxWhisker" uniqueId="{59922921-7C8E-46FF-8CA7-7E8AEE00EFF4}">
          <cx:tx>
            <cx:txData>
              <cx:f>Sheet1!$G$16</cx:f>
              <cx:v>Concentrated Vinegar</cx:v>
            </cx:txData>
          </cx:tx>
          <cx:dataId val="0"/>
          <cx:layoutPr>
            <cx:visibility meanLine="0" meanMarker="1" nonoutliers="0" outliers="1"/>
            <cx:statistics quartileMethod="exclusive"/>
          </cx:layoutPr>
        </cx:series>
        <cx:series layoutId="boxWhisker" uniqueId="{2929FFA4-B48B-40CE-8A03-5A90A8D934C3}">
          <cx:tx>
            <cx:txData>
              <cx:f>Sheet1!$H$16</cx:f>
              <cx:v>Diluted Vinegar</cx:v>
            </cx:txData>
          </cx:tx>
          <cx:dataId val="1"/>
          <cx:layoutPr>
            <cx:visibility meanLine="0" meanMarker="1" nonoutliers="0" outliers="1"/>
            <cx:statistics quartileMethod="exclusive"/>
          </cx:layoutPr>
        </cx:series>
      </cx:plotAreaRegion>
      <cx:axis id="0" hidden="1">
        <cx:catScaling gapWidth="1"/>
        <cx:tickLabels/>
      </cx:axis>
      <cx:axis id="1">
        <cx:valScaling max="5.2000000000000002" min="4"/>
        <cx:title>
          <cx:tx>
            <cx:txData>
              <cx:v>Reaction time (in seconds)</cx:v>
            </cx:txData>
          </cx:tx>
          <cx:txPr>
            <a:bodyPr spcFirstLastPara="1" vertOverflow="ellipsis" horzOverflow="overflow" wrap="square" lIns="0" tIns="0" rIns="0" bIns="0" anchor="ctr" anchorCtr="1"/>
            <a:lstStyle/>
            <a:p>
              <a:pPr algn="ctr" rtl="0">
                <a:defRPr/>
              </a:pPr>
              <a:r>
                <a:rPr lang="en-US" sz="900" b="0" i="0" u="none" strike="noStrike" baseline="0">
                  <a:solidFill>
                    <a:sysClr val="windowText" lastClr="000000">
                      <a:lumMod val="65000"/>
                      <a:lumOff val="35000"/>
                    </a:sysClr>
                  </a:solidFill>
                  <a:latin typeface="Aptos Narrow" panose="02110004020202020204"/>
                </a:rPr>
                <a:t>Reaction time (in seconds)</a:t>
              </a:r>
            </a:p>
          </cx:txPr>
        </cx:title>
        <cx:majorGridlines/>
        <cx:tickLabels/>
      </cx:axis>
    </cx:plotArea>
    <cx:legend pos="b" align="ctr" overlay="0"/>
  </cx:chart>
</cx: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406">
  <cs:axisTitle>
    <cs:lnRef idx="0"/>
    <cs:fillRef idx="0"/>
    <cs:effectRef idx="0"/>
    <cs:fontRef idx="minor">
      <a:schemeClr val="tx1">
        <a:lumMod val="65000"/>
        <a:lumOff val="35000"/>
      </a:schemeClr>
    </cs:fontRef>
    <cs:defRPr sz="9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cs:chartArea>
  <cs:dataLabel>
    <cs:lnRef idx="0"/>
    <cs:fillRef idx="0"/>
    <cs:effectRef idx="0"/>
    <cs:fontRef idx="minor">
      <a:schemeClr val="tx1">
        <a:lumMod val="65000"/>
        <a:lumOff val="35000"/>
      </a:schemeClr>
    </cs:fontRef>
    <cs:defRPr sz="9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cs:bodyPr rot="0" spcFirstLastPara="1" vertOverflow="clip" horzOverflow="clip" vert="horz" wrap="square" lIns="36576" tIns="18288" rIns="36576" bIns="18288" anchor="ctr" anchorCtr="1">
      <a:spAutoFit/>
    </cs:bodyPr>
  </cs:dataLabelCallout>
  <cs:dataPoint>
    <cs:lnRef idx="0">
      <cs:styleClr val="auto"/>
    </cs:lnRef>
    <cs:fillRef idx="0">
      <cs:styleClr val="auto"/>
    </cs:fillRef>
    <cs:effectRef idx="0"/>
    <cs:fontRef idx="minor">
      <a:schemeClr val="tx1"/>
    </cs:fontRef>
    <cs:spPr>
      <a:solidFill>
        <a:schemeClr val="phClr"/>
      </a:solidFill>
      <a:ln>
        <a:solidFill>
          <a:schemeClr val="phClr"/>
        </a:solidFill>
      </a:ln>
    </cs:spPr>
  </cs:dataPoint>
  <cs:dataPoint3D>
    <cs:lnRef idx="0"/>
    <cs:fillRef idx="0">
      <cs:styleClr val="auto"/>
    </cs:fillRef>
    <cs:effectRef idx="0"/>
    <cs:fontRef idx="minor">
      <a:schemeClr val="tx1"/>
    </cs:fontRef>
    <cs:spPr>
      <a:solidFill>
        <a:schemeClr val="phClr"/>
      </a:solidFill>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fillRef idx="0">
      <cs:styleClr val="auto"/>
    </cs:fillRef>
    <cs:effectRef idx="0"/>
    <cs:fontRef idx="minor">
      <a:schemeClr val="tx1"/>
    </cs:fontRef>
    <cs:spPr>
      <a:solidFill>
        <a:schemeClr val="phClr"/>
      </a:solidFill>
      <a:ln w="9525">
        <a:solidFill>
          <a:schemeClr val="lt1"/>
        </a:solidFill>
      </a:ln>
    </cs:spPr>
  </cs:dataPointMarker>
  <cs:dataPointMarkerLayout symbol="circle" size="5"/>
  <cs:dataPointWireframe>
    <cs:lnRef idx="0">
      <cs:styleClr val="auto"/>
    </cs:lnRef>
    <cs:fillRef idx="0"/>
    <cs:effectRef idx="0"/>
    <cs:fontRef idx="minor">
      <a:schemeClr val="tx1"/>
    </cs:fontRef>
    <cs:spPr>
      <a:ln w="28575" cap="rnd">
        <a:solidFill>
          <a:schemeClr val="phClr"/>
        </a:solidFill>
        <a:round/>
      </a:ln>
    </cs:spPr>
  </cs:dataPointWireframe>
  <cs:dataTable>
    <cs:lnRef idx="0"/>
    <cs:fillRef idx="0"/>
    <cs:effectRef idx="0"/>
    <cs:fontRef idx="minor">
      <a:schemeClr val="tx1">
        <a:lumMod val="65000"/>
        <a:lumOff val="35000"/>
      </a:schemeClr>
    </cs:fontRef>
    <cs:spPr>
      <a:ln w="9525">
        <a:solidFill>
          <a:schemeClr val="tx1">
            <a:lumMod val="15000"/>
            <a:lumOff val="85000"/>
          </a:schemeClr>
        </a:solidFill>
      </a:ln>
    </cs:spPr>
    <cs:defRPr sz="9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15000"/>
            <a:lumOff val="8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cs:seriesAxis>
  <cs:seriesLine>
    <cs:lnRef idx="0"/>
    <cs:fillRef idx="0"/>
    <cs:effectRef idx="0"/>
    <cs:fontRef idx="minor">
      <a:schemeClr val="tx1"/>
    </cs:fontRef>
    <cs:spPr>
      <a:ln w="9525" cap="flat">
        <a:solidFill>
          <a:srgbClr val="D9D9D9"/>
        </a:solidFill>
        <a:round/>
      </a:ln>
    </cs:spPr>
  </cs:seriesLine>
  <cs:title>
    <cs:lnRef idx="0"/>
    <cs:fillRef idx="0"/>
    <cs:effectRef idx="0"/>
    <cs:fontRef idx="minor">
      <a:schemeClr val="tx1">
        <a:lumMod val="65000"/>
        <a:lumOff val="35000"/>
      </a:schemeClr>
    </cs:fontRef>
    <cs:defRPr sz="1400"/>
  </cs:title>
  <cs:trendline>
    <cs:lnRef idx="0">
      <cs:styleClr val="auto"/>
    </cs:lnRef>
    <cs:fillRef idx="0"/>
    <cs:effectRef idx="0"/>
    <cs:fontRef idx="minor">
      <a:schemeClr val="tx1"/>
    </cs:fontRef>
    <cs:spPr>
      <a:ln w="19050" cap="rnd">
        <a:solidFill>
          <a:schemeClr val="phClr"/>
        </a:solidFill>
        <a:prstDash val="sysDash"/>
      </a:ln>
    </cs:spPr>
  </cs:trendline>
  <cs:trendlineLabel>
    <cs:lnRef idx="0"/>
    <cs:fillRef idx="0"/>
    <cs:effectRef idx="0"/>
    <cs:fontRef idx="minor">
      <a:schemeClr val="tx1">
        <a:lumMod val="65000"/>
        <a:lumOff val="35000"/>
      </a:schemeClr>
    </cs:fontRef>
    <cs:defRPr sz="9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cs:valueAxis>
  <cs:wall>
    <cs:lnRef idx="0"/>
    <cs:fillRef idx="0"/>
    <cs:effectRef idx="0"/>
    <cs:fontRef idx="minor">
      <a:schemeClr val="tx1"/>
    </cs:fontRef>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128</TotalTime>
  <Pages>1</Pages>
  <Words>1607</Words>
  <Characters>9163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Rima Khouri</dc:creator>
  <cp:keywords/>
  <dc:description/>
  <cp:lastModifiedBy> Rima Khouri</cp:lastModifiedBy>
  <cp:revision>25</cp:revision>
  <dcterms:created xsi:type="dcterms:W3CDTF">2025-01-29T13:49:00Z</dcterms:created>
  <dcterms:modified xsi:type="dcterms:W3CDTF">2025-01-29T16:01:00Z</dcterms:modified>
</cp:coreProperties>
</file>