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60B" w:rsidRDefault="000E08B1">
      <w:pPr>
        <w:spacing w:after="59" w:line="259" w:lineRule="auto"/>
        <w:ind w:left="510" w:right="-869" w:firstLine="0"/>
      </w:pPr>
      <w:r>
        <w:rPr>
          <w:rFonts w:ascii="Arial" w:eastAsia="Arial" w:hAnsi="Arial" w:cs="Arial"/>
        </w:rPr>
        <w:t xml:space="preserve"> </w:t>
      </w:r>
    </w:p>
    <w:p w:rsidR="0084760B" w:rsidRDefault="0084760B">
      <w:pPr>
        <w:spacing w:after="252" w:line="259" w:lineRule="auto"/>
        <w:ind w:left="2104" w:firstLine="0"/>
      </w:pPr>
    </w:p>
    <w:p w:rsidR="0084760B" w:rsidRDefault="000E08B1">
      <w:pPr>
        <w:spacing w:after="252" w:line="259" w:lineRule="auto"/>
        <w:ind w:left="2104" w:firstLine="0"/>
      </w:pPr>
      <w:r>
        <w:t xml:space="preserve"> </w:t>
      </w:r>
    </w:p>
    <w:p w:rsidR="0084760B" w:rsidRDefault="000E08B1">
      <w:pPr>
        <w:pStyle w:val="Heading1"/>
      </w:pPr>
      <w:r>
        <w:t>Understanding Learner Characteristics</w:t>
      </w:r>
      <w:r>
        <w:rPr>
          <w:color w:val="000000"/>
        </w:rPr>
        <w:t xml:space="preserve"> </w:t>
      </w:r>
    </w:p>
    <w:p w:rsidR="0084760B" w:rsidRDefault="000E08B1" w:rsidP="00084847">
      <w:pPr>
        <w:spacing w:after="156" w:line="259" w:lineRule="auto"/>
        <w:ind w:left="1435" w:firstLine="0"/>
        <w:jc w:val="center"/>
      </w:pPr>
      <w:r>
        <w:rPr>
          <w:sz w:val="22"/>
        </w:rPr>
        <w:t xml:space="preserve"> </w:t>
      </w:r>
    </w:p>
    <w:p w:rsidR="0084760B" w:rsidRDefault="000E08B1">
      <w:pPr>
        <w:ind w:left="1369" w:right="6" w:firstLine="720"/>
      </w:pPr>
      <w:r>
        <w:t xml:space="preserve">When someone asks you a question </w:t>
      </w:r>
      <w:r>
        <w:t>or h</w:t>
      </w:r>
      <w:bookmarkStart w:id="0" w:name="_GoBack"/>
      <w:bookmarkEnd w:id="0"/>
      <w:r>
        <w:t xml:space="preserve">as a new problem to address, you use the knowledge you already have in your working memory to develop an answer or explanation. The more experience you have in that field, the more knowledge you will have on hand to explore the innovative question. By </w:t>
      </w:r>
      <w:r>
        <w:t>assisting our students in engaging their existing knowledge and connecting new information to their prior understanding, we raise the possibility that they will remember and apply what we teach (</w:t>
      </w:r>
      <w:proofErr w:type="spellStart"/>
      <w:r>
        <w:t>Wenk</w:t>
      </w:r>
      <w:proofErr w:type="spellEnd"/>
      <w:r>
        <w:t xml:space="preserve">, 2017). </w:t>
      </w:r>
    </w:p>
    <w:p w:rsidR="0084760B" w:rsidRDefault="000E08B1">
      <w:pPr>
        <w:ind w:left="1369" w:right="6" w:firstLine="720"/>
      </w:pPr>
      <w:r>
        <w:t xml:space="preserve">It may also happen that sometimes students may </w:t>
      </w:r>
      <w:r>
        <w:t>find it difficult to activate their prior knowledge independently or lack the necessary background information altogether. Teachers can utilize a variety of tactics to assist students in activating prior information or acquiring new skills. This paper will</w:t>
      </w:r>
      <w:r>
        <w:t xml:space="preserve"> examine two of such strategies, and they are K-W-L and </w:t>
      </w:r>
    </w:p>
    <w:p w:rsidR="0084760B" w:rsidRDefault="000E08B1">
      <w:pPr>
        <w:spacing w:after="252" w:line="259" w:lineRule="auto"/>
        <w:ind w:left="1379" w:right="6"/>
      </w:pPr>
      <w:r>
        <w:t xml:space="preserve">Answering Questions. </w:t>
      </w:r>
    </w:p>
    <w:p w:rsidR="0084760B" w:rsidRDefault="000E08B1">
      <w:pPr>
        <w:spacing w:after="252" w:line="259" w:lineRule="auto"/>
        <w:ind w:left="1379"/>
      </w:pPr>
      <w:r>
        <w:rPr>
          <w:b/>
        </w:rPr>
        <w:t xml:space="preserve">K-W-L:  </w:t>
      </w:r>
    </w:p>
    <w:p w:rsidR="0084760B" w:rsidRDefault="000E08B1">
      <w:pPr>
        <w:ind w:left="1369" w:right="6" w:firstLine="720"/>
      </w:pPr>
      <w:r>
        <w:t xml:space="preserve">The Know, Want, and Learn (K-W-L) technique consists of three key concepts: Know, Want, and Learn. Ogle initially proposed this method </w:t>
      </w:r>
      <w:r>
        <w:t>in 1986, based on the premise that language learners learn by generating meaning. Good learners, according to Ogle, connect previous knowledge to new material, restructure it, and construct its meaning (</w:t>
      </w:r>
      <w:proofErr w:type="spellStart"/>
      <w:r>
        <w:t>Asri</w:t>
      </w:r>
      <w:proofErr w:type="spellEnd"/>
      <w:r>
        <w:t>, 2014). The KWL method provides a learning frame</w:t>
      </w:r>
      <w:r>
        <w:t>work that may be used across curriculum areas to help students build sense. Furthermore, the method is intended to be employed collaboratively by a teacher and a group of pupils. It could eventually lead to a technique for pupils to conduct independent res</w:t>
      </w:r>
      <w:r>
        <w:t>earch. To use the method, the teacher first performs an oral discussion of each of the KWL components before allowing students to write down their ideas and questions on a personal worksheet (</w:t>
      </w:r>
      <w:proofErr w:type="spellStart"/>
      <w:r>
        <w:t>Asri</w:t>
      </w:r>
      <w:proofErr w:type="spellEnd"/>
      <w:r>
        <w:t xml:space="preserve">, 2014). Using this technique, students </w:t>
      </w:r>
      <w:r>
        <w:lastRenderedPageBreak/>
        <w:t>begin by recalling w</w:t>
      </w:r>
      <w:r>
        <w:t xml:space="preserve">hat they already know, then noting down what they want to know, and finally listing what they have learned and what they still need to learn. </w:t>
      </w:r>
    </w:p>
    <w:p w:rsidR="0084760B" w:rsidRDefault="000E08B1">
      <w:pPr>
        <w:ind w:left="1369" w:right="6" w:firstLine="720"/>
      </w:pPr>
      <w:r>
        <w:t>Reading is the act of recognizing, interpreting, and perceiving written or printed information. Furthermore, read</w:t>
      </w:r>
      <w:r>
        <w:t>ing comprehension is the process of making sense of a text. The method of comprehension entails deciphering the writer's words and then constructing an approximate grasp of the writer's meaning using prior information. As a result, a reader is judged succe</w:t>
      </w:r>
      <w:r>
        <w:t xml:space="preserve">ssful if they can use their schemata to deduce meanings from the text. Thus, the </w:t>
      </w:r>
    </w:p>
    <w:p w:rsidR="0084760B" w:rsidRDefault="000E08B1">
      <w:pPr>
        <w:spacing w:after="252" w:line="259" w:lineRule="auto"/>
        <w:ind w:left="1379" w:right="6"/>
      </w:pPr>
      <w:r>
        <w:t>K-W-L technique could be applied if those ideas are supported (</w:t>
      </w:r>
      <w:proofErr w:type="spellStart"/>
      <w:r>
        <w:t>Asri</w:t>
      </w:r>
      <w:proofErr w:type="spellEnd"/>
      <w:r>
        <w:t xml:space="preserve">, 2014). </w:t>
      </w:r>
    </w:p>
    <w:p w:rsidR="0084760B" w:rsidRDefault="000E08B1">
      <w:pPr>
        <w:ind w:left="1369" w:right="6" w:firstLine="720"/>
      </w:pPr>
      <w:r>
        <w:t xml:space="preserve">Before reading the material, the KWL approach asks readers to assess what they already know about the subject. Let us say they are in class and they are reading an Italian culinary book. They would write down the names of Italian cuisine they had heard of </w:t>
      </w:r>
      <w:r>
        <w:t>in the "Know" column, such as pizza, spaghetti, and lasagna (Logsdon, 2021). Students go on to the "Want" column after finishing the "Know" stage (sometimes called the "Wonder" column). They put down what they wish to learn about the topic from the passage</w:t>
      </w:r>
      <w:r>
        <w:t xml:space="preserve"> in this section. For example, given the subject of Italian cuisine, they could write that they want to learn how to create homemade pizza (Logsdon, 2021). Students then read the passage and then write a summary of what they learned. Perhaps instead of lea</w:t>
      </w:r>
      <w:r>
        <w:t xml:space="preserve">rning how to cook pizza from scratch, they learned how to make gelato in the column. They would record it in the "Learned" section of the spreadsheet (Logsdon, 2021). </w:t>
      </w:r>
    </w:p>
    <w:p w:rsidR="0084760B" w:rsidRDefault="000E08B1">
      <w:pPr>
        <w:ind w:left="1369" w:right="6" w:firstLine="720"/>
      </w:pPr>
      <w:r>
        <w:t>Students can fill out K-W-L charts independently, but teachers typically work in pairs o</w:t>
      </w:r>
      <w:r>
        <w:t xml:space="preserve">r small groups. The group </w:t>
      </w:r>
      <w:proofErr w:type="spellStart"/>
      <w:r>
        <w:t>notetaker</w:t>
      </w:r>
      <w:proofErr w:type="spellEnd"/>
      <w:r>
        <w:t xml:space="preserve"> can record what each student already knew, wished to know, and learned about the topic. Students can also fill out K-W-L sheets on their own and discuss each step with the group. </w:t>
      </w:r>
    </w:p>
    <w:p w:rsidR="0084760B" w:rsidRDefault="000E08B1">
      <w:pPr>
        <w:ind w:left="1369" w:right="6" w:firstLine="720"/>
      </w:pPr>
      <w:r>
        <w:t>There are few disadvantages of using the</w:t>
      </w:r>
      <w:r>
        <w:t xml:space="preserve"> K-W-L strategy. First, it is possible that asking questions will be discouraged. Second, if the learner has no prior knowledge of the topic, the "K" column can be challenging. Third, if students lack memory skills and cannot think beyond the text, they ma</w:t>
      </w:r>
      <w:r>
        <w:t xml:space="preserve">y struggle with this exercise. Finally, it is possible that students will become bored and refuse to finish the assignment. </w:t>
      </w:r>
    </w:p>
    <w:p w:rsidR="0084760B" w:rsidRDefault="000E08B1">
      <w:pPr>
        <w:pStyle w:val="Heading2"/>
        <w:ind w:left="1379"/>
      </w:pPr>
      <w:r>
        <w:lastRenderedPageBreak/>
        <w:t xml:space="preserve">Answering the Question </w:t>
      </w:r>
    </w:p>
    <w:p w:rsidR="0084760B" w:rsidRDefault="000E08B1">
      <w:pPr>
        <w:ind w:left="1369" w:right="6" w:firstLine="720"/>
      </w:pPr>
      <w:r>
        <w:t>Consider the following scenario: You are presenting a class on concave and convex mirrors when a hand appea</w:t>
      </w:r>
      <w:r>
        <w:t>rs out of nowhere. "Rohan, please wait until I complete the reading before asking questions," you exclaim, frustrated. Unfortunately, the hand returns to its original position and does not reappear. You are feeling down, but questions have a way of getting</w:t>
      </w:r>
      <w:r>
        <w:t xml:space="preserve"> in the form of your goal, which is to teach 40 Class 9 pupils about concave and convex mirrors right now. Unfortunately, questions have a poor reputation since they frustrate us when asked frequently, and they also put us in the position by forcing us to </w:t>
      </w:r>
      <w:r>
        <w:t xml:space="preserve">consider (Padma, 2014).  </w:t>
      </w:r>
    </w:p>
    <w:p w:rsidR="0084760B" w:rsidRDefault="000E08B1">
      <w:pPr>
        <w:ind w:left="1369" w:right="6" w:firstLine="720"/>
      </w:pPr>
      <w:r>
        <w:t>Posing their questions is an essential initial step for students in bridging knowledge gaps and addressing puzzlement. They can express their current grasp of a topic, develop connections with other ideas, and become aware of what</w:t>
      </w:r>
      <w:r>
        <w:t xml:space="preserve"> they know and do not know through the act of asking questions (Chin &amp; Osborne, 2008). Student-generated questions are an essential part of both self and peer assessment in this regard. In addition to issue solving and decision making, the ability to quest</w:t>
      </w:r>
      <w:r>
        <w:t>ion is necessary. It also can help pupils think more productively, increase creativity and higher-order thinking, and is a scientific habit of mind (Chin &amp; Osborne, 2008). Being able to come up with good questions is necessary for generating fascinating, p</w:t>
      </w:r>
      <w:r>
        <w:t xml:space="preserve">roductive thoughts and replies.  </w:t>
      </w:r>
    </w:p>
    <w:p w:rsidR="0084760B" w:rsidRDefault="000E08B1">
      <w:pPr>
        <w:ind w:left="1369" w:right="6" w:firstLine="720"/>
      </w:pPr>
      <w:r>
        <w:t xml:space="preserve">While students' questions are beneficial to students, they are also helpful to teachers since they promote thoughtful thoughts and student participation. The instructor is the focus of attention in a typical classroom and </w:t>
      </w:r>
      <w:r>
        <w:t>the owner of knowledge and information. Teachers frequently ask students questions to assess comprehension, but this is a passive paradigm that relies on pupils to absorb the material they must reproduce on assessments (Schwartz, 2012).</w:t>
      </w:r>
      <w:r>
        <w:rPr>
          <w:color w:val="333333"/>
        </w:rPr>
        <w:t xml:space="preserve">  </w:t>
      </w:r>
    </w:p>
    <w:p w:rsidR="0084760B" w:rsidRDefault="000E08B1">
      <w:pPr>
        <w:ind w:left="1369" w:right="6" w:firstLine="360"/>
      </w:pPr>
      <w:r>
        <w:t>Here are seven re</w:t>
      </w:r>
      <w:r>
        <w:t xml:space="preserve">asons why questions are beneficial in the classroom and why you should encourage them. </w:t>
      </w:r>
    </w:p>
    <w:p w:rsidR="0084760B" w:rsidRDefault="000E08B1">
      <w:pPr>
        <w:numPr>
          <w:ilvl w:val="0"/>
          <w:numId w:val="1"/>
        </w:numPr>
        <w:spacing w:after="229" w:line="259" w:lineRule="auto"/>
        <w:ind w:right="6" w:hanging="360"/>
      </w:pPr>
      <w:r>
        <w:t xml:space="preserve">The monotony of the lecture is broken up by questions </w:t>
      </w:r>
      <w:r>
        <w:rPr>
          <w:color w:val="333333"/>
        </w:rPr>
        <w:t>(Padma, 2014)</w:t>
      </w:r>
      <w:r>
        <w:t xml:space="preserve"> </w:t>
      </w:r>
    </w:p>
    <w:p w:rsidR="0084760B" w:rsidRDefault="000E08B1">
      <w:pPr>
        <w:numPr>
          <w:ilvl w:val="0"/>
          <w:numId w:val="1"/>
        </w:numPr>
        <w:spacing w:after="229" w:line="259" w:lineRule="auto"/>
        <w:ind w:right="6" w:hanging="360"/>
      </w:pPr>
      <w:r>
        <w:t xml:space="preserve">More questions arise from the answers to the previous ones </w:t>
      </w:r>
      <w:r>
        <w:rPr>
          <w:color w:val="333333"/>
        </w:rPr>
        <w:t>(Padma, 2014)</w:t>
      </w:r>
      <w:r>
        <w:t xml:space="preserve"> </w:t>
      </w:r>
    </w:p>
    <w:p w:rsidR="0084760B" w:rsidRDefault="000E08B1">
      <w:pPr>
        <w:numPr>
          <w:ilvl w:val="0"/>
          <w:numId w:val="1"/>
        </w:numPr>
        <w:spacing w:after="229" w:line="259" w:lineRule="auto"/>
        <w:ind w:right="6" w:hanging="360"/>
      </w:pPr>
      <w:r>
        <w:t>Children are forced to po</w:t>
      </w:r>
      <w:r>
        <w:t xml:space="preserve">nder when they are asked questions </w:t>
      </w:r>
      <w:r>
        <w:rPr>
          <w:color w:val="333333"/>
        </w:rPr>
        <w:t>(Padma, 2014)</w:t>
      </w:r>
      <w:r>
        <w:t xml:space="preserve"> </w:t>
      </w:r>
    </w:p>
    <w:p w:rsidR="0084760B" w:rsidRDefault="000E08B1">
      <w:pPr>
        <w:numPr>
          <w:ilvl w:val="0"/>
          <w:numId w:val="1"/>
        </w:numPr>
        <w:spacing w:after="232" w:line="259" w:lineRule="auto"/>
        <w:ind w:right="6" w:hanging="360"/>
      </w:pPr>
      <w:r>
        <w:lastRenderedPageBreak/>
        <w:t xml:space="preserve">Children learn by asking questions </w:t>
      </w:r>
      <w:r>
        <w:rPr>
          <w:color w:val="333333"/>
        </w:rPr>
        <w:t>(Padma, 2014)</w:t>
      </w:r>
      <w:r>
        <w:t xml:space="preserve"> </w:t>
      </w:r>
    </w:p>
    <w:p w:rsidR="0084760B" w:rsidRDefault="000E08B1">
      <w:pPr>
        <w:numPr>
          <w:ilvl w:val="0"/>
          <w:numId w:val="1"/>
        </w:numPr>
        <w:spacing w:after="230" w:line="259" w:lineRule="auto"/>
        <w:ind w:right="6" w:hanging="360"/>
      </w:pPr>
      <w:r>
        <w:t xml:space="preserve">It raises student interest in the instruction </w:t>
      </w:r>
      <w:r>
        <w:rPr>
          <w:color w:val="333333"/>
        </w:rPr>
        <w:t>(Padma, 2014)</w:t>
      </w:r>
      <w:r>
        <w:t xml:space="preserve"> </w:t>
      </w:r>
    </w:p>
    <w:p w:rsidR="0084760B" w:rsidRDefault="000E08B1">
      <w:pPr>
        <w:numPr>
          <w:ilvl w:val="0"/>
          <w:numId w:val="1"/>
        </w:numPr>
        <w:ind w:right="6" w:hanging="360"/>
      </w:pPr>
      <w:r>
        <w:t xml:space="preserve">Questions show that they are interested in what they are saying </w:t>
      </w:r>
      <w:r>
        <w:rPr>
          <w:color w:val="333333"/>
        </w:rPr>
        <w:t>(Padma, 2014)</w:t>
      </w:r>
      <w:r>
        <w:t xml:space="preserve"> </w:t>
      </w:r>
      <w:r>
        <w:rPr>
          <w:rFonts w:ascii="Segoe UI Symbol" w:eastAsia="Segoe UI Symbol" w:hAnsi="Segoe UI Symbol" w:cs="Segoe UI Symbol"/>
        </w:rPr>
        <w:t>•</w:t>
      </w:r>
      <w:r>
        <w:rPr>
          <w:rFonts w:ascii="Arial" w:eastAsia="Arial" w:hAnsi="Arial" w:cs="Arial"/>
        </w:rPr>
        <w:t xml:space="preserve"> </w:t>
      </w:r>
      <w:r>
        <w:t xml:space="preserve">Questions from students can help us improve as teachers </w:t>
      </w:r>
      <w:r>
        <w:rPr>
          <w:color w:val="333333"/>
        </w:rPr>
        <w:t>(Padma, 2014)\</w:t>
      </w:r>
      <w:r>
        <w:t xml:space="preserve"> </w:t>
      </w:r>
    </w:p>
    <w:p w:rsidR="0084760B" w:rsidRDefault="000E08B1">
      <w:pPr>
        <w:ind w:left="1369" w:right="6" w:firstLine="360"/>
      </w:pPr>
      <w:r>
        <w:t>Some limitations of this strategy can be like making good use of this strategy needs a great deal of instructor competence. It could occasionally detract from the class's mood. For fea</w:t>
      </w:r>
      <w:r>
        <w:t xml:space="preserve">rful students, this strategy is often quite challenging as it is a lengthy process. </w:t>
      </w:r>
    </w:p>
    <w:p w:rsidR="0084760B" w:rsidRDefault="000E08B1">
      <w:pPr>
        <w:pStyle w:val="Heading2"/>
        <w:ind w:left="1379"/>
      </w:pPr>
      <w:r>
        <w:t xml:space="preserve">Conclusion </w:t>
      </w:r>
    </w:p>
    <w:p w:rsidR="0084760B" w:rsidRDefault="000E08B1">
      <w:pPr>
        <w:ind w:left="1369" w:right="6" w:firstLine="720"/>
      </w:pPr>
      <w:r>
        <w:t>According to cognitive load theory, new information is processed in working memory, limited capacity. A new cognitive schema is built-in long-term memory while</w:t>
      </w:r>
      <w:r>
        <w:t xml:space="preserve"> gaining new knowledge.</w:t>
      </w:r>
      <w:r>
        <w:rPr>
          <w:rFonts w:ascii="Calibri" w:eastAsia="Calibri" w:hAnsi="Calibri" w:cs="Calibri"/>
          <w:sz w:val="22"/>
        </w:rPr>
        <w:t xml:space="preserve"> </w:t>
      </w:r>
      <w:r>
        <w:t>Engagement, self-regulated learning, and accomplishment are all harmed by cognitive load (Yang, 2020). Past knowledge is a subject feature, and pupils with more prior knowledge may have the more working memory capacity to process th</w:t>
      </w:r>
      <w:r>
        <w:t>eir current learning activities. According to schema theory, previous information is crucial in developing a new cognitive schema to obtain further knowledge (Yang, 2020). Prior knowledge reduces cognitive strain, resulting in high levels of learning engag</w:t>
      </w:r>
      <w:r>
        <w:t>ement.</w:t>
      </w:r>
      <w:r>
        <w:rPr>
          <w:rFonts w:ascii="Calibri" w:eastAsia="Calibri" w:hAnsi="Calibri" w:cs="Calibri"/>
          <w:sz w:val="22"/>
        </w:rPr>
        <w:t xml:space="preserve"> </w:t>
      </w:r>
      <w:r>
        <w:t xml:space="preserve">Students with little past information require greater help to reduce cognitive burden. In contrast, students with much prior knowledge can readily build new schema and sense a lower cognitive </w:t>
      </w:r>
      <w:proofErr w:type="gramStart"/>
      <w:r>
        <w:t>load(</w:t>
      </w:r>
      <w:proofErr w:type="gramEnd"/>
      <w:r>
        <w:t>Yang, 2020). So we educators must find ways and mean</w:t>
      </w:r>
      <w:r>
        <w:t xml:space="preserve">s to activate our students' prior knowledge and engage them in the learning process smoothly.  </w:t>
      </w:r>
    </w:p>
    <w:p w:rsidR="0084760B" w:rsidRDefault="000E08B1">
      <w:pPr>
        <w:tabs>
          <w:tab w:val="center" w:pos="4617"/>
          <w:tab w:val="center" w:pos="5895"/>
        </w:tabs>
        <w:spacing w:after="259" w:line="259" w:lineRule="auto"/>
        <w:ind w:left="0" w:firstLine="0"/>
      </w:pPr>
      <w:r>
        <w:rPr>
          <w:rFonts w:ascii="Calibri" w:eastAsia="Calibri" w:hAnsi="Calibri" w:cs="Calibri"/>
          <w:sz w:val="22"/>
        </w:rPr>
        <w:tab/>
        <w:t xml:space="preserve"> </w:t>
      </w:r>
      <w:r>
        <w:rPr>
          <w:rFonts w:ascii="Calibri" w:eastAsia="Calibri" w:hAnsi="Calibri" w:cs="Calibri"/>
          <w:sz w:val="22"/>
        </w:rPr>
        <w:tab/>
      </w:r>
      <w:r>
        <w:rPr>
          <w:b/>
        </w:rPr>
        <w:t xml:space="preserve">References </w:t>
      </w:r>
    </w:p>
    <w:p w:rsidR="0084760B" w:rsidRDefault="000E08B1">
      <w:pPr>
        <w:spacing w:after="252" w:line="259" w:lineRule="auto"/>
        <w:ind w:left="1379"/>
      </w:pPr>
      <w:proofErr w:type="spellStart"/>
      <w:r>
        <w:t>Asri</w:t>
      </w:r>
      <w:proofErr w:type="spellEnd"/>
      <w:r>
        <w:t xml:space="preserve">, A. N. (2014). </w:t>
      </w:r>
      <w:r>
        <w:rPr>
          <w:i/>
        </w:rPr>
        <w:t xml:space="preserve">IMPLEMENTING KWL STRATEGY IN TEACHING READING FOR </w:t>
      </w:r>
    </w:p>
    <w:p w:rsidR="0084760B" w:rsidRDefault="000E08B1">
      <w:pPr>
        <w:spacing w:after="252" w:line="259" w:lineRule="auto"/>
        <w:ind w:left="2114" w:right="6"/>
      </w:pPr>
      <w:r>
        <w:rPr>
          <w:i/>
        </w:rPr>
        <w:t>NON-ENGLISH DEPARTMENT STUDENTS</w:t>
      </w:r>
      <w:r>
        <w:t xml:space="preserve">. CORE – Aggregating the world’s open </w:t>
      </w:r>
    </w:p>
    <w:p w:rsidR="0084760B" w:rsidRDefault="000E08B1">
      <w:pPr>
        <w:spacing w:after="252" w:line="259" w:lineRule="auto"/>
        <w:ind w:left="2099"/>
      </w:pPr>
      <w:proofErr w:type="gramStart"/>
      <w:r>
        <w:t>acce</w:t>
      </w:r>
      <w:r>
        <w:t>ss</w:t>
      </w:r>
      <w:proofErr w:type="gramEnd"/>
      <w:r>
        <w:t xml:space="preserve"> research papers. </w:t>
      </w:r>
      <w:r>
        <w:rPr>
          <w:color w:val="0563C1"/>
          <w:u w:val="single" w:color="0563C1"/>
        </w:rPr>
        <w:t>https://core.ac.uk/download/pdf/43024974.pdf</w:t>
      </w:r>
      <w:r>
        <w:t xml:space="preserve"> </w:t>
      </w:r>
    </w:p>
    <w:p w:rsidR="0084760B" w:rsidRDefault="000E08B1">
      <w:pPr>
        <w:spacing w:after="252" w:line="259" w:lineRule="auto"/>
        <w:ind w:left="1379"/>
      </w:pPr>
      <w:r>
        <w:t xml:space="preserve">Chin, C., &amp; Osborne, J. (2008, February 18). </w:t>
      </w:r>
      <w:r>
        <w:rPr>
          <w:i/>
        </w:rPr>
        <w:t xml:space="preserve">Students' questions: A potential resource for </w:t>
      </w:r>
    </w:p>
    <w:p w:rsidR="0084760B" w:rsidRDefault="000E08B1">
      <w:pPr>
        <w:spacing w:after="252" w:line="259" w:lineRule="auto"/>
        <w:ind w:left="2114"/>
      </w:pPr>
      <w:proofErr w:type="gramStart"/>
      <w:r>
        <w:rPr>
          <w:i/>
        </w:rPr>
        <w:t>teaching</w:t>
      </w:r>
      <w:proofErr w:type="gramEnd"/>
      <w:r>
        <w:rPr>
          <w:i/>
        </w:rPr>
        <w:t xml:space="preserve"> and learning science</w:t>
      </w:r>
      <w:r>
        <w:t xml:space="preserve">. Taylor &amp; Francis. </w:t>
      </w:r>
    </w:p>
    <w:p w:rsidR="0084760B" w:rsidRDefault="000E08B1">
      <w:pPr>
        <w:spacing w:after="252" w:line="259" w:lineRule="auto"/>
        <w:ind w:left="2099"/>
      </w:pPr>
      <w:r>
        <w:rPr>
          <w:color w:val="0563C1"/>
          <w:u w:val="single" w:color="0563C1"/>
        </w:rPr>
        <w:t>https://www.tandfonline.com/doi/full/10.1080/03057260701828101</w:t>
      </w:r>
      <w:r>
        <w:t xml:space="preserve"> </w:t>
      </w:r>
    </w:p>
    <w:p w:rsidR="0084760B" w:rsidRDefault="000E08B1">
      <w:pPr>
        <w:spacing w:after="0" w:line="476" w:lineRule="auto"/>
        <w:ind w:left="2089" w:hanging="720"/>
      </w:pPr>
      <w:r>
        <w:lastRenderedPageBreak/>
        <w:t xml:space="preserve">Logsdon, A. (2021, June 9). </w:t>
      </w:r>
      <w:r>
        <w:rPr>
          <w:i/>
        </w:rPr>
        <w:t>How the KWL reading strategy helps students with learning disabilities</w:t>
      </w:r>
      <w:r>
        <w:t xml:space="preserve">. </w:t>
      </w:r>
      <w:proofErr w:type="spellStart"/>
      <w:r>
        <w:t>Verywell</w:t>
      </w:r>
      <w:proofErr w:type="spellEnd"/>
      <w:r>
        <w:t xml:space="preserve"> Family. </w:t>
      </w:r>
      <w:r>
        <w:rPr>
          <w:color w:val="0563C1"/>
          <w:u w:val="single" w:color="0563C1"/>
        </w:rPr>
        <w:t>https://www.verywellfamily.com/kwl-what-is-kwl-</w:t>
      </w:r>
    </w:p>
    <w:p w:rsidR="0084760B" w:rsidRDefault="000E08B1">
      <w:pPr>
        <w:spacing w:after="252" w:line="259" w:lineRule="auto"/>
        <w:ind w:left="2099"/>
      </w:pPr>
      <w:r>
        <w:rPr>
          <w:color w:val="0563C1"/>
          <w:u w:val="single" w:color="0563C1"/>
        </w:rPr>
        <w:t>2162741</w:t>
      </w:r>
      <w:r>
        <w:t xml:space="preserve"> </w:t>
      </w:r>
    </w:p>
    <w:p w:rsidR="0084760B" w:rsidRDefault="000E08B1">
      <w:pPr>
        <w:spacing w:after="252" w:line="259" w:lineRule="auto"/>
        <w:ind w:left="1379"/>
      </w:pPr>
      <w:r>
        <w:t>Padma. (2014, Sept</w:t>
      </w:r>
      <w:r>
        <w:t xml:space="preserve">ember 22). </w:t>
      </w:r>
      <w:r>
        <w:rPr>
          <w:i/>
        </w:rPr>
        <w:t>7 reasons why asking questions helps learning</w:t>
      </w:r>
      <w:r>
        <w:t xml:space="preserve">. The Teachers </w:t>
      </w:r>
    </w:p>
    <w:p w:rsidR="0084760B" w:rsidRDefault="000E08B1">
      <w:pPr>
        <w:spacing w:after="252" w:line="259" w:lineRule="auto"/>
        <w:ind w:left="2099"/>
      </w:pPr>
      <w:r>
        <w:t xml:space="preserve">Digest. </w:t>
      </w:r>
      <w:r>
        <w:rPr>
          <w:color w:val="0563C1"/>
          <w:u w:val="single" w:color="0563C1"/>
        </w:rPr>
        <w:t>https://theteachersdigest.com/7-reasons-why-asking-questions-helps-learning/</w:t>
      </w:r>
      <w:r>
        <w:t xml:space="preserve"> </w:t>
      </w:r>
    </w:p>
    <w:p w:rsidR="0084760B" w:rsidRDefault="000E08B1">
      <w:pPr>
        <w:spacing w:after="0"/>
        <w:ind w:left="2104" w:hanging="720"/>
      </w:pPr>
      <w:r>
        <w:t xml:space="preserve">Schwartz, K. (2012, October 26). </w:t>
      </w:r>
      <w:r>
        <w:rPr>
          <w:i/>
        </w:rPr>
        <w:t>For students, why the question is more important than the answer</w:t>
      </w:r>
      <w:r>
        <w:t xml:space="preserve">. KQED. </w:t>
      </w:r>
      <w:r>
        <w:rPr>
          <w:color w:val="0563C1"/>
          <w:u w:val="single" w:color="0563C1"/>
        </w:rPr>
        <w:t>https://www.kqed.org/mindshift/24472/for-students-why-thequestion-is-more-important-than-the-answer</w:t>
      </w:r>
      <w:r>
        <w:t xml:space="preserve"> </w:t>
      </w:r>
    </w:p>
    <w:p w:rsidR="0084760B" w:rsidRDefault="000E08B1">
      <w:pPr>
        <w:spacing w:after="252" w:line="259" w:lineRule="auto"/>
        <w:ind w:left="1379"/>
      </w:pPr>
      <w:proofErr w:type="spellStart"/>
      <w:r>
        <w:t>Wenk</w:t>
      </w:r>
      <w:proofErr w:type="spellEnd"/>
      <w:r>
        <w:t xml:space="preserve">, L. (2017, September 14). </w:t>
      </w:r>
      <w:r>
        <w:rPr>
          <w:i/>
        </w:rPr>
        <w:t>The importance of engaging prior knowledge</w:t>
      </w:r>
      <w:r>
        <w:t xml:space="preserve">. Sites and </w:t>
      </w:r>
    </w:p>
    <w:p w:rsidR="0084760B" w:rsidRDefault="000E08B1">
      <w:pPr>
        <w:spacing w:after="252" w:line="259" w:lineRule="auto"/>
        <w:ind w:left="2114" w:right="6"/>
      </w:pPr>
      <w:r>
        <w:t xml:space="preserve">Blogs – Blogs and Faculty Websites Powered by WordPress. </w:t>
      </w:r>
    </w:p>
    <w:p w:rsidR="0084760B" w:rsidRDefault="000E08B1">
      <w:pPr>
        <w:spacing w:after="1" w:line="476" w:lineRule="auto"/>
        <w:ind w:left="2099"/>
      </w:pPr>
      <w:r>
        <w:rPr>
          <w:color w:val="0563C1"/>
          <w:u w:val="single" w:color="0563C1"/>
        </w:rPr>
        <w:t>htt</w:t>
      </w:r>
      <w:r>
        <w:rPr>
          <w:color w:val="0563C1"/>
          <w:u w:val="single" w:color="0563C1"/>
        </w:rPr>
        <w:t>ps://sites.hampshire.edu/ctl/2017/09/14/the-importance-of-engaging-priorknowledge/</w:t>
      </w:r>
      <w:r>
        <w:t xml:space="preserve"> </w:t>
      </w:r>
    </w:p>
    <w:p w:rsidR="0084760B" w:rsidRDefault="000E08B1">
      <w:pPr>
        <w:spacing w:after="252" w:line="259" w:lineRule="auto"/>
        <w:ind w:left="1379"/>
      </w:pPr>
      <w:r>
        <w:t xml:space="preserve">Yang, J. C. (2020, October 29). </w:t>
      </w:r>
      <w:r>
        <w:rPr>
          <w:i/>
        </w:rPr>
        <w:t xml:space="preserve">How does prior knowledge influence learning engagement? </w:t>
      </w:r>
    </w:p>
    <w:p w:rsidR="0084760B" w:rsidRDefault="000E08B1">
      <w:pPr>
        <w:spacing w:after="3005" w:line="476" w:lineRule="auto"/>
        <w:ind w:left="2099"/>
      </w:pPr>
      <w:r>
        <w:rPr>
          <w:i/>
        </w:rPr>
        <w:t>The mediating roles of cognitive load and help-seeking</w:t>
      </w:r>
      <w:r>
        <w:t xml:space="preserve">. Frontiers. </w:t>
      </w:r>
      <w:r>
        <w:rPr>
          <w:color w:val="0563C1"/>
          <w:u w:val="single" w:color="0563C1"/>
        </w:rPr>
        <w:t>https://www.fron</w:t>
      </w:r>
      <w:r>
        <w:rPr>
          <w:color w:val="0563C1"/>
          <w:u w:val="single" w:color="0563C1"/>
        </w:rPr>
        <w:t>tiersin.org/articles/10.3389/fpsyg.2020.591203/full</w:t>
      </w:r>
      <w:r>
        <w:t xml:space="preserve"> </w:t>
      </w:r>
    </w:p>
    <w:p w:rsidR="0084760B" w:rsidRDefault="000E08B1">
      <w:pPr>
        <w:spacing w:after="0" w:line="259" w:lineRule="auto"/>
        <w:ind w:left="0" w:firstLine="0"/>
      </w:pPr>
      <w:hyperlink r:id="rId7">
        <w:r>
          <w:rPr>
            <w:rFonts w:ascii="Arial" w:eastAsia="Arial" w:hAnsi="Arial" w:cs="Arial"/>
            <w:sz w:val="2"/>
          </w:rPr>
          <w:t>Powered by TCPDF (www.tcpdf.org)</w:t>
        </w:r>
      </w:hyperlink>
    </w:p>
    <w:sectPr w:rsidR="0084760B">
      <w:headerReference w:type="even" r:id="rId8"/>
      <w:headerReference w:type="default" r:id="rId9"/>
      <w:footerReference w:type="even" r:id="rId10"/>
      <w:footerReference w:type="default" r:id="rId11"/>
      <w:headerReference w:type="first" r:id="rId12"/>
      <w:footerReference w:type="first" r:id="rId13"/>
      <w:pgSz w:w="11906" w:h="16838"/>
      <w:pgMar w:top="387" w:right="1436" w:bottom="20" w:left="57" w:header="720" w:footer="1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8B1" w:rsidRDefault="000E08B1">
      <w:pPr>
        <w:spacing w:after="0" w:line="240" w:lineRule="auto"/>
      </w:pPr>
      <w:r>
        <w:separator/>
      </w:r>
    </w:p>
  </w:endnote>
  <w:endnote w:type="continuationSeparator" w:id="0">
    <w:p w:rsidR="000E08B1" w:rsidRDefault="000E0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760B" w:rsidRDefault="000E08B1">
    <w:pPr>
      <w:spacing w:after="367" w:line="259" w:lineRule="auto"/>
      <w:ind w:left="567" w:firstLine="0"/>
    </w:pPr>
    <w:r>
      <w:rPr>
        <w:sz w:val="16"/>
      </w:rPr>
      <w:t>This study source was downloaded by 100000846637796 from CourseHero.com on 09-20-2022 03:41:11 GMT -05:00</w:t>
    </w:r>
  </w:p>
  <w:p w:rsidR="0084760B" w:rsidRDefault="000E08B1">
    <w:pPr>
      <w:spacing w:after="0" w:line="259" w:lineRule="auto"/>
      <w:ind w:left="567" w:firstLine="0"/>
    </w:pPr>
    <w:r>
      <w:rPr>
        <w:sz w:val="16"/>
      </w:rPr>
      <w:t>https://www.coursehero.com/file/143633677/Written-Assignment-Unit-7pdf/</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760B" w:rsidRDefault="0084760B">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760B" w:rsidRDefault="0084760B">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8B1" w:rsidRDefault="000E08B1">
      <w:pPr>
        <w:spacing w:after="0" w:line="240" w:lineRule="auto"/>
      </w:pPr>
      <w:r>
        <w:separator/>
      </w:r>
    </w:p>
  </w:footnote>
  <w:footnote w:type="continuationSeparator" w:id="0">
    <w:p w:rsidR="000E08B1" w:rsidRDefault="000E0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760B" w:rsidRDefault="000E08B1">
    <w:pPr>
      <w:spacing w:after="0" w:line="259" w:lineRule="auto"/>
      <w:ind w:left="0"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84760B" w:rsidRDefault="000E08B1">
    <w:pPr>
      <w:spacing w:after="0" w:line="259" w:lineRule="auto"/>
      <w:ind w:left="1384" w:firstLine="0"/>
    </w:pPr>
    <w:r>
      <w:rPr>
        <w:rFonts w:ascii="Calibri" w:eastAsia="Calibri" w:hAnsi="Calibri" w:cs="Calibri"/>
        <w:sz w:val="2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760B" w:rsidRDefault="0084760B">
    <w:pPr>
      <w:spacing w:after="0" w:line="259" w:lineRule="auto"/>
      <w:ind w:left="1384"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760B" w:rsidRDefault="0084760B">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64508"/>
    <w:multiLevelType w:val="hybridMultilevel"/>
    <w:tmpl w:val="2FE0019A"/>
    <w:lvl w:ilvl="0" w:tplc="CE7A9CA0">
      <w:start w:val="1"/>
      <w:numFmt w:val="bullet"/>
      <w:lvlText w:val="•"/>
      <w:lvlJc w:val="left"/>
      <w:pPr>
        <w:ind w:left="21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0764CB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3C843B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8E2EFB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16A847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8EA6BA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A6CDB0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6C722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D948BF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60B"/>
    <w:rsid w:val="00084847"/>
    <w:rsid w:val="000E08B1"/>
    <w:rsid w:val="008476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AB477E-7281-4C66-A72E-1FDCB930F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7" w:lineRule="auto"/>
      <w:ind w:left="139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42"/>
      <w:ind w:left="1378"/>
      <w:jc w:val="center"/>
      <w:outlineLvl w:val="0"/>
    </w:pPr>
    <w:rPr>
      <w:rFonts w:ascii="Times New Roman" w:eastAsia="Times New Roman" w:hAnsi="Times New Roman" w:cs="Times New Roman"/>
      <w:b/>
      <w:color w:val="44175A"/>
      <w:sz w:val="24"/>
    </w:rPr>
  </w:style>
  <w:style w:type="paragraph" w:styleId="Heading2">
    <w:name w:val="heading 2"/>
    <w:next w:val="Normal"/>
    <w:link w:val="Heading2Char"/>
    <w:uiPriority w:val="9"/>
    <w:unhideWhenUsed/>
    <w:qFormat/>
    <w:pPr>
      <w:keepNext/>
      <w:keepLines/>
      <w:spacing w:after="252"/>
      <w:ind w:left="1394"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44175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1415</Words>
  <Characters>8068</Characters>
  <Application>Microsoft Office Word</Application>
  <DocSecurity>0</DocSecurity>
  <Lines>67</Lines>
  <Paragraphs>18</Paragraphs>
  <ScaleCrop>false</ScaleCrop>
  <Company/>
  <LinksUpToDate>false</LinksUpToDate>
  <CharactersWithSpaces>9465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100000818822073,CHDL-UGC-Meta</cp:keywords>
  <cp:lastModifiedBy>Microsoft account</cp:lastModifiedBy>
  <cp:revision>2</cp:revision>
  <dcterms:created xsi:type="dcterms:W3CDTF">2022-09-20T08:44:00Z</dcterms:created>
  <dcterms:modified xsi:type="dcterms:W3CDTF">2022-09-20T08:44:00Z</dcterms:modified>
</cp:coreProperties>
</file>