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5F4F" w:rsidRPr="00BE5F4F" w:rsidRDefault="00BE5F4F" w:rsidP="00BE5F4F">
      <w:pPr>
        <w:shd w:val="clear" w:color="auto" w:fill="FFFFFF"/>
        <w:spacing w:after="144" w:line="240" w:lineRule="auto"/>
        <w:outlineLvl w:val="1"/>
        <w:rPr>
          <w:rFonts w:ascii="Segoe UI" w:eastAsia="Times New Roman" w:hAnsi="Segoe UI" w:cs="Segoe UI"/>
          <w:color w:val="071D37"/>
          <w:sz w:val="36"/>
          <w:szCs w:val="36"/>
          <w:lang w:eastAsia="en-IN"/>
        </w:rPr>
      </w:pPr>
      <w:r w:rsidRPr="00BE5F4F">
        <w:rPr>
          <w:rFonts w:ascii="Segoe UI" w:eastAsia="Times New Roman" w:hAnsi="Segoe UI" w:cs="Segoe UI"/>
          <w:color w:val="071D37"/>
          <w:sz w:val="36"/>
          <w:szCs w:val="36"/>
          <w:lang w:eastAsia="en-IN"/>
        </w:rPr>
        <w:t>Contents</w:t>
      </w:r>
    </w:p>
    <w:p w:rsidR="00BE5F4F" w:rsidRPr="00BE5F4F" w:rsidRDefault="00BE5F4F" w:rsidP="00BE5F4F">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Chapter 1: </w:t>
      </w:r>
      <w:hyperlink r:id="rId5" w:anchor="introduction" w:history="1">
        <w:r w:rsidRPr="00BE5F4F">
          <w:rPr>
            <w:rFonts w:ascii="Segoe UI" w:eastAsia="Times New Roman" w:hAnsi="Segoe UI" w:cs="Segoe UI"/>
            <w:color w:val="0B57A8"/>
            <w:sz w:val="24"/>
            <w:szCs w:val="24"/>
            <w:u w:val="single"/>
            <w:lang w:eastAsia="en-IN"/>
          </w:rPr>
          <w:t>Introduction</w:t>
        </w:r>
      </w:hyperlink>
    </w:p>
    <w:p w:rsidR="00BE5F4F" w:rsidRPr="00BE5F4F" w:rsidRDefault="00BE5F4F" w:rsidP="00BE5F4F">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Chapter 2: </w:t>
      </w:r>
      <w:hyperlink r:id="rId6" w:anchor="litreview" w:history="1">
        <w:r w:rsidRPr="00BE5F4F">
          <w:rPr>
            <w:rFonts w:ascii="Segoe UI" w:eastAsia="Times New Roman" w:hAnsi="Segoe UI" w:cs="Segoe UI"/>
            <w:color w:val="0B57A8"/>
            <w:sz w:val="24"/>
            <w:szCs w:val="24"/>
            <w:u w:val="single"/>
            <w:lang w:eastAsia="en-IN"/>
          </w:rPr>
          <w:t>Literature Review</w:t>
        </w:r>
      </w:hyperlink>
    </w:p>
    <w:p w:rsidR="00BE5F4F" w:rsidRPr="00BE5F4F" w:rsidRDefault="00BE5F4F" w:rsidP="00BE5F4F">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Chapter 3: </w:t>
      </w:r>
      <w:hyperlink r:id="rId7" w:anchor="methodology" w:history="1">
        <w:r w:rsidRPr="00BE5F4F">
          <w:rPr>
            <w:rFonts w:ascii="Segoe UI" w:eastAsia="Times New Roman" w:hAnsi="Segoe UI" w:cs="Segoe UI"/>
            <w:color w:val="0B57A8"/>
            <w:sz w:val="24"/>
            <w:szCs w:val="24"/>
            <w:u w:val="single"/>
            <w:lang w:eastAsia="en-IN"/>
          </w:rPr>
          <w:t>Methodology</w:t>
        </w:r>
      </w:hyperlink>
    </w:p>
    <w:p w:rsidR="00BE5F4F" w:rsidRPr="00BE5F4F" w:rsidRDefault="00BE5F4F" w:rsidP="00BE5F4F">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Chapter 4: </w:t>
      </w:r>
      <w:hyperlink r:id="rId8" w:anchor="results" w:history="1">
        <w:r w:rsidRPr="00BE5F4F">
          <w:rPr>
            <w:rFonts w:ascii="Segoe UI" w:eastAsia="Times New Roman" w:hAnsi="Segoe UI" w:cs="Segoe UI"/>
            <w:color w:val="0B57A8"/>
            <w:sz w:val="24"/>
            <w:szCs w:val="24"/>
            <w:u w:val="single"/>
            <w:lang w:eastAsia="en-IN"/>
          </w:rPr>
          <w:t>Results and Findings</w:t>
        </w:r>
      </w:hyperlink>
    </w:p>
    <w:p w:rsidR="00BE5F4F" w:rsidRPr="00BE5F4F" w:rsidRDefault="00BE5F4F" w:rsidP="00BE5F4F">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Chapter 5: </w:t>
      </w:r>
      <w:hyperlink r:id="rId9" w:anchor="conclusion" w:history="1">
        <w:r w:rsidRPr="00BE5F4F">
          <w:rPr>
            <w:rFonts w:ascii="Segoe UI" w:eastAsia="Times New Roman" w:hAnsi="Segoe UI" w:cs="Segoe UI"/>
            <w:color w:val="0B57A8"/>
            <w:sz w:val="24"/>
            <w:szCs w:val="24"/>
            <w:u w:val="single"/>
            <w:lang w:eastAsia="en-IN"/>
          </w:rPr>
          <w:t>Conclusion</w:t>
        </w:r>
      </w:hyperlink>
    </w:p>
    <w:p w:rsidR="00BE5F4F" w:rsidRPr="00BE5F4F" w:rsidRDefault="00BE5F4F" w:rsidP="00BE5F4F">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hyperlink r:id="rId10" w:anchor="references" w:history="1">
        <w:r w:rsidRPr="00BE5F4F">
          <w:rPr>
            <w:rFonts w:ascii="Segoe UI" w:eastAsia="Times New Roman" w:hAnsi="Segoe UI" w:cs="Segoe UI"/>
            <w:color w:val="0B57A8"/>
            <w:sz w:val="24"/>
            <w:szCs w:val="24"/>
            <w:u w:val="single"/>
            <w:lang w:eastAsia="en-IN"/>
          </w:rPr>
          <w:t>References</w:t>
        </w:r>
      </w:hyperlink>
    </w:p>
    <w:p w:rsidR="00BE5F4F" w:rsidRPr="00BE5F4F" w:rsidRDefault="00BE5F4F" w:rsidP="00BE5F4F">
      <w:pPr>
        <w:shd w:val="clear" w:color="auto" w:fill="FFFFFF"/>
        <w:spacing w:after="144" w:line="240" w:lineRule="auto"/>
        <w:outlineLvl w:val="1"/>
        <w:rPr>
          <w:rFonts w:ascii="Segoe UI" w:eastAsia="Times New Roman" w:hAnsi="Segoe UI" w:cs="Segoe UI"/>
          <w:color w:val="071D37"/>
          <w:sz w:val="36"/>
          <w:szCs w:val="36"/>
          <w:lang w:eastAsia="en-IN"/>
        </w:rPr>
      </w:pPr>
      <w:r w:rsidRPr="00BE5F4F">
        <w:rPr>
          <w:rFonts w:ascii="Segoe UI" w:eastAsia="Times New Roman" w:hAnsi="Segoe UI" w:cs="Segoe UI"/>
          <w:color w:val="071D37"/>
          <w:sz w:val="36"/>
          <w:szCs w:val="36"/>
          <w:lang w:eastAsia="en-IN"/>
        </w:rPr>
        <w:t>Chapter 1: Introduction</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There is an urgent need to address the development and implementation of more sustainable production and consumption processes to find a solution to the economic, societal and environmental challenges which these processes are creating and sustaining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George et al 2016; </w:t>
      </w:r>
      <w:proofErr w:type="spellStart"/>
      <w:r w:rsidRPr="00BE5F4F">
        <w:rPr>
          <w:rFonts w:ascii="Segoe UI" w:eastAsia="Times New Roman" w:hAnsi="Segoe UI" w:cs="Segoe UI"/>
          <w:color w:val="212529"/>
          <w:sz w:val="24"/>
          <w:szCs w:val="24"/>
          <w:lang w:eastAsia="en-IN"/>
        </w:rPr>
        <w:t>Markard</w:t>
      </w:r>
      <w:proofErr w:type="spellEnd"/>
      <w:r w:rsidRPr="00BE5F4F">
        <w:rPr>
          <w:rFonts w:ascii="Segoe UI" w:eastAsia="Times New Roman" w:hAnsi="Segoe UI" w:cs="Segoe UI"/>
          <w:color w:val="212529"/>
          <w:sz w:val="24"/>
          <w:szCs w:val="24"/>
          <w:lang w:eastAsia="en-IN"/>
        </w:rPr>
        <w:t xml:space="preserve"> 2012). These challenges include addressing environmental problems which includes issues such as loss of biodiversity; water, air and soil pollution; the decreasing level of finite resources and excessive land use through deforestation (</w:t>
      </w:r>
      <w:proofErr w:type="spellStart"/>
      <w:r w:rsidRPr="00BE5F4F">
        <w:rPr>
          <w:rFonts w:ascii="Segoe UI" w:eastAsia="Times New Roman" w:hAnsi="Segoe UI" w:cs="Segoe UI"/>
          <w:color w:val="212529"/>
          <w:sz w:val="24"/>
          <w:szCs w:val="24"/>
          <w:lang w:eastAsia="en-IN"/>
        </w:rPr>
        <w:t>Eggleton</w:t>
      </w:r>
      <w:proofErr w:type="spellEnd"/>
      <w:r w:rsidRPr="00BE5F4F">
        <w:rPr>
          <w:rFonts w:ascii="Segoe UI" w:eastAsia="Times New Roman" w:hAnsi="Segoe UI" w:cs="Segoe UI"/>
          <w:color w:val="212529"/>
          <w:sz w:val="24"/>
          <w:szCs w:val="24"/>
          <w:lang w:eastAsia="en-IN"/>
        </w:rPr>
        <w:t xml:space="preserve"> 2013; </w:t>
      </w:r>
      <w:proofErr w:type="spellStart"/>
      <w:r w:rsidRPr="00BE5F4F">
        <w:rPr>
          <w:rFonts w:ascii="Segoe UI" w:eastAsia="Times New Roman" w:hAnsi="Segoe UI" w:cs="Segoe UI"/>
          <w:color w:val="212529"/>
          <w:sz w:val="24"/>
          <w:szCs w:val="24"/>
          <w:lang w:eastAsia="en-IN"/>
        </w:rPr>
        <w:t>Galaz</w:t>
      </w:r>
      <w:proofErr w:type="spellEnd"/>
      <w:r w:rsidRPr="00BE5F4F">
        <w:rPr>
          <w:rFonts w:ascii="Segoe UI" w:eastAsia="Times New Roman" w:hAnsi="Segoe UI" w:cs="Segoe UI"/>
          <w:color w:val="212529"/>
          <w:sz w:val="24"/>
          <w:szCs w:val="24"/>
          <w:lang w:eastAsia="en-IN"/>
        </w:rPr>
        <w:t xml:space="preserve"> et al 2012; </w:t>
      </w:r>
      <w:proofErr w:type="spellStart"/>
      <w:r w:rsidRPr="00BE5F4F">
        <w:rPr>
          <w:rFonts w:ascii="Segoe UI" w:eastAsia="Times New Roman" w:hAnsi="Segoe UI" w:cs="Segoe UI"/>
          <w:color w:val="212529"/>
          <w:sz w:val="24"/>
          <w:szCs w:val="24"/>
          <w:lang w:eastAsia="en-IN"/>
        </w:rPr>
        <w:t>Rockstrom</w:t>
      </w:r>
      <w:proofErr w:type="spellEnd"/>
      <w:r w:rsidRPr="00BE5F4F">
        <w:rPr>
          <w:rFonts w:ascii="Segoe UI" w:eastAsia="Times New Roman" w:hAnsi="Segoe UI" w:cs="Segoe UI"/>
          <w:color w:val="212529"/>
          <w:sz w:val="24"/>
          <w:szCs w:val="24"/>
          <w:lang w:eastAsia="en-IN"/>
        </w:rPr>
        <w:t xml:space="preserve"> et al 2009). Societal  challenges include a lack of work opportunities and access to education in many parts of the world; poor working conditions including child labour and long working hours; increased levels of poverty; inter- and </w:t>
      </w:r>
      <w:proofErr w:type="spellStart"/>
      <w:r w:rsidRPr="00BE5F4F">
        <w:rPr>
          <w:rFonts w:ascii="Segoe UI" w:eastAsia="Times New Roman" w:hAnsi="Segoe UI" w:cs="Segoe UI"/>
          <w:color w:val="212529"/>
          <w:sz w:val="24"/>
          <w:szCs w:val="24"/>
          <w:lang w:eastAsia="en-IN"/>
        </w:rPr>
        <w:t>intragenerational</w:t>
      </w:r>
      <w:proofErr w:type="spellEnd"/>
      <w:r w:rsidRPr="00BE5F4F">
        <w:rPr>
          <w:rFonts w:ascii="Segoe UI" w:eastAsia="Times New Roman" w:hAnsi="Segoe UI" w:cs="Segoe UI"/>
          <w:color w:val="212529"/>
          <w:sz w:val="24"/>
          <w:szCs w:val="24"/>
          <w:lang w:eastAsia="en-IN"/>
        </w:rPr>
        <w:t xml:space="preserve"> equity; and increasing levels of inequalities between rich and poor societal stakeholders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Dobson 2016; Crane and Matten 2016). Economic issues include increased levels of risk in the supply chain; the liberalisation of trade; market deregulation and the pursuit of short term profits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Dobson 2016; Crane and Matten 2016; Sachs 2015).</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These environmental, societal and economic challenges are all components of sustainability which stresses the need to address these through re-designing and innovating to ensure higher levels of intra and inter-generational equality and equity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Crane and Matten 2016). This concept of sustainability has been the basis of global initiatives such as the United Nations Sustainable Development Goals and has seen an increasing number of stakeholders, including businesses, engage in this process (United Nations Sustainable Development Goals 2019).</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One of the business models and innovations which </w:t>
      </w:r>
      <w:proofErr w:type="gramStart"/>
      <w:r w:rsidRPr="00BE5F4F">
        <w:rPr>
          <w:rFonts w:ascii="Segoe UI" w:eastAsia="Times New Roman" w:hAnsi="Segoe UI" w:cs="Segoe UI"/>
          <w:color w:val="212529"/>
          <w:sz w:val="24"/>
          <w:szCs w:val="24"/>
          <w:lang w:eastAsia="en-IN"/>
        </w:rPr>
        <w:t>are perceived</w:t>
      </w:r>
      <w:proofErr w:type="gramEnd"/>
      <w:r w:rsidRPr="00BE5F4F">
        <w:rPr>
          <w:rFonts w:ascii="Segoe UI" w:eastAsia="Times New Roman" w:hAnsi="Segoe UI" w:cs="Segoe UI"/>
          <w:color w:val="212529"/>
          <w:sz w:val="24"/>
          <w:szCs w:val="24"/>
          <w:lang w:eastAsia="en-IN"/>
        </w:rPr>
        <w:t xml:space="preserve"> as being able to address these challenges is the Circular Economy which undertakes a restorative and regenerative approach to resource use (Ellen MacArthur Foundation 2017a; Pauli 2017; </w:t>
      </w:r>
      <w:proofErr w:type="spellStart"/>
      <w:r w:rsidRPr="00BE5F4F">
        <w:rPr>
          <w:rFonts w:ascii="Segoe UI" w:eastAsia="Times New Roman" w:hAnsi="Segoe UI" w:cs="Segoe UI"/>
          <w:color w:val="212529"/>
          <w:sz w:val="24"/>
          <w:szCs w:val="24"/>
          <w:lang w:eastAsia="en-IN"/>
        </w:rPr>
        <w:t>Braungart</w:t>
      </w:r>
      <w:proofErr w:type="spellEnd"/>
      <w:r w:rsidRPr="00BE5F4F">
        <w:rPr>
          <w:rFonts w:ascii="Segoe UI" w:eastAsia="Times New Roman" w:hAnsi="Segoe UI" w:cs="Segoe UI"/>
          <w:color w:val="212529"/>
          <w:sz w:val="24"/>
          <w:szCs w:val="24"/>
          <w:lang w:eastAsia="en-IN"/>
        </w:rPr>
        <w:t xml:space="preserve"> and McDonough 2009).  The adoption of the Circular Economy </w:t>
      </w:r>
      <w:proofErr w:type="gramStart"/>
      <w:r w:rsidRPr="00BE5F4F">
        <w:rPr>
          <w:rFonts w:ascii="Segoe UI" w:eastAsia="Times New Roman" w:hAnsi="Segoe UI" w:cs="Segoe UI"/>
          <w:color w:val="212529"/>
          <w:sz w:val="24"/>
          <w:szCs w:val="24"/>
          <w:lang w:eastAsia="en-IN"/>
        </w:rPr>
        <w:t>is being undertaken</w:t>
      </w:r>
      <w:proofErr w:type="gramEnd"/>
      <w:r w:rsidRPr="00BE5F4F">
        <w:rPr>
          <w:rFonts w:ascii="Segoe UI" w:eastAsia="Times New Roman" w:hAnsi="Segoe UI" w:cs="Segoe UI"/>
          <w:color w:val="212529"/>
          <w:sz w:val="24"/>
          <w:szCs w:val="24"/>
          <w:lang w:eastAsia="en-IN"/>
        </w:rPr>
        <w:t xml:space="preserve"> on both a national level such as with the European Circular Economy package and at a business level by individual businesses (European Union </w:t>
      </w:r>
      <w:r w:rsidRPr="00BE5F4F">
        <w:rPr>
          <w:rFonts w:ascii="Segoe UI" w:eastAsia="Times New Roman" w:hAnsi="Segoe UI" w:cs="Segoe UI"/>
          <w:color w:val="212529"/>
          <w:sz w:val="24"/>
          <w:szCs w:val="24"/>
          <w:lang w:eastAsia="en-IN"/>
        </w:rPr>
        <w:lastRenderedPageBreak/>
        <w:t>2019; Ellen MacArthur Foundation 2017a). There has therefore been an increased level of awareness, both amongst academic researchers and businesses, of the opportunities of the Circular Economy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Moreno et al 2016).  However, whilst there is an increased level of awareness as regards sustainability and the Circular Economy, there is a lack of research in two key areas. Firstly, there is the need to evaluate the similarities and differences between sustainability and the Circular Economy; and secondly, there is the need to explore the relationship between sustainability and the Circular Economy which includes both the academic underpinnings and the practical application of this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Moreno et al 2016). This research seeks to provide a contribution to both of these areas, and this has led to the development of the following methodology which uses both a literature review and examples of business case studies to explore these topics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Saunders et al 2016). Firstly, this will undertake a literature review to ascertain the similarities and differences between sustainability and the Circular Economy. Secondly, a case study approach </w:t>
      </w:r>
      <w:proofErr w:type="gramStart"/>
      <w:r w:rsidRPr="00BE5F4F">
        <w:rPr>
          <w:rFonts w:ascii="Segoe UI" w:eastAsia="Times New Roman" w:hAnsi="Segoe UI" w:cs="Segoe UI"/>
          <w:color w:val="212529"/>
          <w:sz w:val="24"/>
          <w:szCs w:val="24"/>
          <w:lang w:eastAsia="en-IN"/>
        </w:rPr>
        <w:t>will be undertaken</w:t>
      </w:r>
      <w:proofErr w:type="gramEnd"/>
      <w:r w:rsidRPr="00BE5F4F">
        <w:rPr>
          <w:rFonts w:ascii="Segoe UI" w:eastAsia="Times New Roman" w:hAnsi="Segoe UI" w:cs="Segoe UI"/>
          <w:color w:val="212529"/>
          <w:sz w:val="24"/>
          <w:szCs w:val="24"/>
          <w:lang w:eastAsia="en-IN"/>
        </w:rPr>
        <w:t xml:space="preserve"> to explore the relationship between sustainability and the Circular Economy by examining the practical application of these concepts by businesses. By undertaking this process, there is the opportunity to address current research gaps in the understanding of the concepts of sustainability and the Circular Economy and to explore this relationship and the challenges inherent to this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Moreno et al 2016).</w:t>
      </w:r>
    </w:p>
    <w:p w:rsidR="00BE5F4F" w:rsidRPr="00BE5F4F" w:rsidRDefault="00BE5F4F" w:rsidP="00BE5F4F">
      <w:pPr>
        <w:shd w:val="clear" w:color="auto" w:fill="FFFFFF"/>
        <w:spacing w:after="144" w:line="240" w:lineRule="auto"/>
        <w:outlineLvl w:val="1"/>
        <w:rPr>
          <w:rFonts w:ascii="Segoe UI" w:eastAsia="Times New Roman" w:hAnsi="Segoe UI" w:cs="Segoe UI"/>
          <w:color w:val="071D37"/>
          <w:sz w:val="36"/>
          <w:szCs w:val="36"/>
          <w:lang w:eastAsia="en-IN"/>
        </w:rPr>
      </w:pPr>
      <w:r w:rsidRPr="00BE5F4F">
        <w:rPr>
          <w:rFonts w:ascii="Segoe UI" w:eastAsia="Times New Roman" w:hAnsi="Segoe UI" w:cs="Segoe UI"/>
          <w:color w:val="071D37"/>
          <w:sz w:val="36"/>
          <w:szCs w:val="36"/>
          <w:lang w:eastAsia="en-IN"/>
        </w:rPr>
        <w:t>Chapter 2: Literature Review</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This dissertation topic will therefore seek to build on the current level of research to explore the relationship between the circular economy and sustainability by considering its impacts on business models and innovation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two main concepts which </w:t>
      </w:r>
      <w:proofErr w:type="gramStart"/>
      <w:r w:rsidRPr="00BE5F4F">
        <w:rPr>
          <w:rFonts w:ascii="Segoe UI" w:eastAsia="Times New Roman" w:hAnsi="Segoe UI" w:cs="Segoe UI"/>
          <w:color w:val="212529"/>
          <w:sz w:val="24"/>
          <w:szCs w:val="24"/>
          <w:lang w:eastAsia="en-IN"/>
        </w:rPr>
        <w:t>will be examined</w:t>
      </w:r>
      <w:proofErr w:type="gramEnd"/>
      <w:r w:rsidRPr="00BE5F4F">
        <w:rPr>
          <w:rFonts w:ascii="Segoe UI" w:eastAsia="Times New Roman" w:hAnsi="Segoe UI" w:cs="Segoe UI"/>
          <w:color w:val="212529"/>
          <w:sz w:val="24"/>
          <w:szCs w:val="24"/>
          <w:lang w:eastAsia="en-IN"/>
        </w:rPr>
        <w:t xml:space="preserve"> in this piece of research will be sustainability and the Circular Economy which will firstly be evaluated as separate concepts before the relationship between the two is further explored.</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2.1 Sustainability</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concept of sustainability has led to a plethora of definitions which include the concepts of the  conservation of finite resources, biodiversity and ecosystems (Lewis and Maslin 2018; </w:t>
      </w:r>
      <w:proofErr w:type="spellStart"/>
      <w:r w:rsidRPr="00BE5F4F">
        <w:rPr>
          <w:rFonts w:ascii="Segoe UI" w:eastAsia="Times New Roman" w:hAnsi="Segoe UI" w:cs="Segoe UI"/>
          <w:color w:val="212529"/>
          <w:sz w:val="24"/>
          <w:szCs w:val="24"/>
          <w:lang w:eastAsia="en-IN"/>
        </w:rPr>
        <w:t>Galaz</w:t>
      </w:r>
      <w:proofErr w:type="spellEnd"/>
      <w:r w:rsidRPr="00BE5F4F">
        <w:rPr>
          <w:rFonts w:ascii="Segoe UI" w:eastAsia="Times New Roman" w:hAnsi="Segoe UI" w:cs="Segoe UI"/>
          <w:color w:val="212529"/>
          <w:sz w:val="24"/>
          <w:szCs w:val="24"/>
          <w:lang w:eastAsia="en-IN"/>
        </w:rPr>
        <w:t xml:space="preserve"> 2012; </w:t>
      </w:r>
      <w:proofErr w:type="spellStart"/>
      <w:r w:rsidRPr="00BE5F4F">
        <w:rPr>
          <w:rFonts w:ascii="Segoe UI" w:eastAsia="Times New Roman" w:hAnsi="Segoe UI" w:cs="Segoe UI"/>
          <w:color w:val="212529"/>
          <w:sz w:val="24"/>
          <w:szCs w:val="24"/>
          <w:lang w:eastAsia="en-IN"/>
        </w:rPr>
        <w:t>Rockstrom</w:t>
      </w:r>
      <w:proofErr w:type="spellEnd"/>
      <w:r w:rsidRPr="00BE5F4F">
        <w:rPr>
          <w:rFonts w:ascii="Segoe UI" w:eastAsia="Times New Roman" w:hAnsi="Segoe UI" w:cs="Segoe UI"/>
          <w:color w:val="212529"/>
          <w:sz w:val="24"/>
          <w:szCs w:val="24"/>
          <w:lang w:eastAsia="en-IN"/>
        </w:rPr>
        <w:t xml:space="preserve"> et al 2009); the need to address current levels of production and consumption to deliver a quality of life for both current and future generations; the issue of inequality and how economic growth needs to be achieved within the parameters of ecosystems and become less exploitative of these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w:t>
      </w:r>
      <w:proofErr w:type="spellStart"/>
      <w:r w:rsidRPr="00BE5F4F">
        <w:rPr>
          <w:rFonts w:ascii="Segoe UI" w:eastAsia="Times New Roman" w:hAnsi="Segoe UI" w:cs="Segoe UI"/>
          <w:color w:val="212529"/>
          <w:sz w:val="24"/>
          <w:szCs w:val="24"/>
          <w:lang w:eastAsia="en-IN"/>
        </w:rPr>
        <w:t>Galaz</w:t>
      </w:r>
      <w:proofErr w:type="spellEnd"/>
      <w:r w:rsidRPr="00BE5F4F">
        <w:rPr>
          <w:rFonts w:ascii="Segoe UI" w:eastAsia="Times New Roman" w:hAnsi="Segoe UI" w:cs="Segoe UI"/>
          <w:color w:val="212529"/>
          <w:sz w:val="24"/>
          <w:szCs w:val="24"/>
          <w:lang w:eastAsia="en-IN"/>
        </w:rPr>
        <w:t xml:space="preserve"> et al 2012; </w:t>
      </w:r>
      <w:proofErr w:type="spellStart"/>
      <w:r w:rsidRPr="00BE5F4F">
        <w:rPr>
          <w:rFonts w:ascii="Segoe UI" w:eastAsia="Times New Roman" w:hAnsi="Segoe UI" w:cs="Segoe UI"/>
          <w:color w:val="212529"/>
          <w:sz w:val="24"/>
          <w:szCs w:val="24"/>
          <w:lang w:eastAsia="en-IN"/>
        </w:rPr>
        <w:t>Rockstrom</w:t>
      </w:r>
      <w:proofErr w:type="spellEnd"/>
      <w:r w:rsidRPr="00BE5F4F">
        <w:rPr>
          <w:rFonts w:ascii="Segoe UI" w:eastAsia="Times New Roman" w:hAnsi="Segoe UI" w:cs="Segoe UI"/>
          <w:color w:val="212529"/>
          <w:sz w:val="24"/>
          <w:szCs w:val="24"/>
          <w:lang w:eastAsia="en-IN"/>
        </w:rPr>
        <w:t xml:space="preserve"> et al 2009).</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concept of sustainability can therefore be presented as the tensions which occur between population, consumption and technologies which has an environmental </w:t>
      </w:r>
      <w:r w:rsidRPr="00BE5F4F">
        <w:rPr>
          <w:rFonts w:ascii="Segoe UI" w:eastAsia="Times New Roman" w:hAnsi="Segoe UI" w:cs="Segoe UI"/>
          <w:color w:val="212529"/>
          <w:sz w:val="24"/>
          <w:szCs w:val="24"/>
          <w:lang w:eastAsia="en-IN"/>
        </w:rPr>
        <w:lastRenderedPageBreak/>
        <w:t xml:space="preserve">impact (Lewis and Maslin 2018; Dobson 2016; Moreno et al 2016; </w:t>
      </w:r>
      <w:proofErr w:type="spellStart"/>
      <w:r w:rsidRPr="00BE5F4F">
        <w:rPr>
          <w:rFonts w:ascii="Segoe UI" w:eastAsia="Times New Roman" w:hAnsi="Segoe UI" w:cs="Segoe UI"/>
          <w:color w:val="212529"/>
          <w:sz w:val="24"/>
          <w:szCs w:val="24"/>
          <w:lang w:eastAsia="en-IN"/>
        </w:rPr>
        <w:t>Eggleton</w:t>
      </w:r>
      <w:proofErr w:type="spellEnd"/>
      <w:r w:rsidRPr="00BE5F4F">
        <w:rPr>
          <w:rFonts w:ascii="Segoe UI" w:eastAsia="Times New Roman" w:hAnsi="Segoe UI" w:cs="Segoe UI"/>
          <w:color w:val="212529"/>
          <w:sz w:val="24"/>
          <w:szCs w:val="24"/>
          <w:lang w:eastAsia="en-IN"/>
        </w:rPr>
        <w:t xml:space="preserve"> 2013).  The use of these variables of population, consumption and technologies supports a range of perspectives as regards sustainability which not only include the relationship between these, such as the relationship between growing population and its impact on consumption, but may also undertake a particular area of focus such as the increasing breadth of research regarding the role of science and technology in decreasing social inequalities and increasing environmental resilience (Lewis and Maslin 2018; </w:t>
      </w:r>
      <w:proofErr w:type="spellStart"/>
      <w:r w:rsidRPr="00BE5F4F">
        <w:rPr>
          <w:rFonts w:ascii="Segoe UI" w:eastAsia="Times New Roman" w:hAnsi="Segoe UI" w:cs="Segoe UI"/>
          <w:color w:val="212529"/>
          <w:sz w:val="24"/>
          <w:szCs w:val="24"/>
          <w:lang w:eastAsia="en-IN"/>
        </w:rPr>
        <w:t>Braungart</w:t>
      </w:r>
      <w:proofErr w:type="spellEnd"/>
      <w:r w:rsidRPr="00BE5F4F">
        <w:rPr>
          <w:rFonts w:ascii="Segoe UI" w:eastAsia="Times New Roman" w:hAnsi="Segoe UI" w:cs="Segoe UI"/>
          <w:color w:val="212529"/>
          <w:sz w:val="24"/>
          <w:szCs w:val="24"/>
          <w:lang w:eastAsia="en-IN"/>
        </w:rPr>
        <w:t xml:space="preserve"> and McDonough 2009; </w:t>
      </w:r>
      <w:proofErr w:type="spellStart"/>
      <w:r w:rsidRPr="00BE5F4F">
        <w:rPr>
          <w:rFonts w:ascii="Segoe UI" w:eastAsia="Times New Roman" w:hAnsi="Segoe UI" w:cs="Segoe UI"/>
          <w:color w:val="212529"/>
          <w:sz w:val="24"/>
          <w:szCs w:val="24"/>
          <w:lang w:eastAsia="en-IN"/>
        </w:rPr>
        <w:t>Beder</w:t>
      </w:r>
      <w:proofErr w:type="spellEnd"/>
      <w:r w:rsidRPr="00BE5F4F">
        <w:rPr>
          <w:rFonts w:ascii="Segoe UI" w:eastAsia="Times New Roman" w:hAnsi="Segoe UI" w:cs="Segoe UI"/>
          <w:color w:val="212529"/>
          <w:sz w:val="24"/>
          <w:szCs w:val="24"/>
          <w:lang w:eastAsia="en-IN"/>
        </w:rPr>
        <w:t xml:space="preserve"> 2006).  The complexity of the relationships between these variables of population, consumption and technologies relates to the dynamics and interdependencies between these and these may see the concepts of sustainable development and environment being depicted as trade-offs (Lewis and Maslin 2018; Moreno et al 2016; Sachs 2015). However, this inherent difficulty in the approach to sustainability was addressed by the </w:t>
      </w:r>
      <w:proofErr w:type="spellStart"/>
      <w:r w:rsidRPr="00BE5F4F">
        <w:rPr>
          <w:rFonts w:ascii="Segoe UI" w:eastAsia="Times New Roman" w:hAnsi="Segoe UI" w:cs="Segoe UI"/>
          <w:color w:val="212529"/>
          <w:sz w:val="24"/>
          <w:szCs w:val="24"/>
          <w:lang w:eastAsia="en-IN"/>
        </w:rPr>
        <w:t>Brundtland</w:t>
      </w:r>
      <w:proofErr w:type="spellEnd"/>
      <w:r w:rsidRPr="00BE5F4F">
        <w:rPr>
          <w:rFonts w:ascii="Segoe UI" w:eastAsia="Times New Roman" w:hAnsi="Segoe UI" w:cs="Segoe UI"/>
          <w:color w:val="212529"/>
          <w:sz w:val="24"/>
          <w:szCs w:val="24"/>
          <w:lang w:eastAsia="en-IN"/>
        </w:rPr>
        <w:t xml:space="preserve"> Report (1987) which states that sustainability should not be seen as a trade-off between economic and societal development and the environment, but rather as a boundary as to how these issues can be addressed without creating detrimental harm to the earth and thus negatively impacting future generations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Crane and Matten 2016; </w:t>
      </w:r>
      <w:proofErr w:type="spellStart"/>
      <w:r w:rsidRPr="00BE5F4F">
        <w:rPr>
          <w:rFonts w:ascii="Segoe UI" w:eastAsia="Times New Roman" w:hAnsi="Segoe UI" w:cs="Segoe UI"/>
          <w:color w:val="212529"/>
          <w:sz w:val="24"/>
          <w:szCs w:val="24"/>
          <w:lang w:eastAsia="en-IN"/>
        </w:rPr>
        <w:t>Blowfield</w:t>
      </w:r>
      <w:proofErr w:type="spellEnd"/>
      <w:r w:rsidRPr="00BE5F4F">
        <w:rPr>
          <w:rFonts w:ascii="Segoe UI" w:eastAsia="Times New Roman" w:hAnsi="Segoe UI" w:cs="Segoe UI"/>
          <w:color w:val="212529"/>
          <w:sz w:val="24"/>
          <w:szCs w:val="24"/>
          <w:lang w:eastAsia="en-IN"/>
        </w:rPr>
        <w:t xml:space="preserve"> and Murray 2014).</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 concept of sustainability can therefore be presented as supporting a process of complex problem-solving as regards the current challenges but also encourages and promotes the needs to address multiple stakeholders and their expectations (</w:t>
      </w:r>
      <w:proofErr w:type="spellStart"/>
      <w:r w:rsidRPr="00BE5F4F">
        <w:rPr>
          <w:rFonts w:ascii="Segoe UI" w:eastAsia="Times New Roman" w:hAnsi="Segoe UI" w:cs="Segoe UI"/>
          <w:color w:val="212529"/>
          <w:sz w:val="24"/>
          <w:szCs w:val="24"/>
          <w:lang w:eastAsia="en-IN"/>
        </w:rPr>
        <w:t>Feil</w:t>
      </w:r>
      <w:proofErr w:type="spellEnd"/>
      <w:r w:rsidRPr="00BE5F4F">
        <w:rPr>
          <w:rFonts w:ascii="Segoe UI" w:eastAsia="Times New Roman" w:hAnsi="Segoe UI" w:cs="Segoe UI"/>
          <w:color w:val="212529"/>
          <w:sz w:val="24"/>
          <w:szCs w:val="24"/>
          <w:lang w:eastAsia="en-IN"/>
        </w:rPr>
        <w:t xml:space="preserve"> and Schreiber 2017; Proctor 2014; </w:t>
      </w:r>
      <w:proofErr w:type="spellStart"/>
      <w:r w:rsidRPr="00BE5F4F">
        <w:rPr>
          <w:rFonts w:ascii="Segoe UI" w:eastAsia="Times New Roman" w:hAnsi="Segoe UI" w:cs="Segoe UI"/>
          <w:color w:val="212529"/>
          <w:sz w:val="24"/>
          <w:szCs w:val="24"/>
          <w:lang w:eastAsia="en-IN"/>
        </w:rPr>
        <w:t>Beder</w:t>
      </w:r>
      <w:proofErr w:type="spellEnd"/>
      <w:r w:rsidRPr="00BE5F4F">
        <w:rPr>
          <w:rFonts w:ascii="Segoe UI" w:eastAsia="Times New Roman" w:hAnsi="Segoe UI" w:cs="Segoe UI"/>
          <w:color w:val="212529"/>
          <w:sz w:val="24"/>
          <w:szCs w:val="24"/>
          <w:lang w:eastAsia="en-IN"/>
        </w:rPr>
        <w:t xml:space="preserve"> 2006).  This is underpinned by principles such as participation and equity which have been developed within disciplines such as environmental management to increase the sharing of knowledge and collaboration amongst stakeholders (Lewis and Maslin 2018; </w:t>
      </w:r>
      <w:proofErr w:type="spellStart"/>
      <w:r w:rsidRPr="00BE5F4F">
        <w:rPr>
          <w:rFonts w:ascii="Segoe UI" w:eastAsia="Times New Roman" w:hAnsi="Segoe UI" w:cs="Segoe UI"/>
          <w:color w:val="212529"/>
          <w:sz w:val="24"/>
          <w:szCs w:val="24"/>
          <w:lang w:eastAsia="en-IN"/>
        </w:rPr>
        <w:t>Feil</w:t>
      </w:r>
      <w:proofErr w:type="spellEnd"/>
      <w:r w:rsidRPr="00BE5F4F">
        <w:rPr>
          <w:rFonts w:ascii="Segoe UI" w:eastAsia="Times New Roman" w:hAnsi="Segoe UI" w:cs="Segoe UI"/>
          <w:color w:val="212529"/>
          <w:sz w:val="24"/>
          <w:szCs w:val="24"/>
          <w:lang w:eastAsia="en-IN"/>
        </w:rPr>
        <w:t xml:space="preserve"> and Schreiber 2017;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w:t>
      </w:r>
      <w:proofErr w:type="spellStart"/>
      <w:r w:rsidRPr="00BE5F4F">
        <w:rPr>
          <w:rFonts w:ascii="Segoe UI" w:eastAsia="Times New Roman" w:hAnsi="Segoe UI" w:cs="Segoe UI"/>
          <w:color w:val="212529"/>
          <w:sz w:val="24"/>
          <w:szCs w:val="24"/>
          <w:lang w:eastAsia="en-IN"/>
        </w:rPr>
        <w:t>Beder</w:t>
      </w:r>
      <w:proofErr w:type="spellEnd"/>
      <w:r w:rsidRPr="00BE5F4F">
        <w:rPr>
          <w:rFonts w:ascii="Segoe UI" w:eastAsia="Times New Roman" w:hAnsi="Segoe UI" w:cs="Segoe UI"/>
          <w:color w:val="212529"/>
          <w:sz w:val="24"/>
          <w:szCs w:val="24"/>
          <w:lang w:eastAsia="en-IN"/>
        </w:rPr>
        <w:t xml:space="preserve"> 2006). This requires an approach which supports increasing </w:t>
      </w:r>
      <w:proofErr w:type="spellStart"/>
      <w:r w:rsidRPr="00BE5F4F">
        <w:rPr>
          <w:rFonts w:ascii="Segoe UI" w:eastAsia="Times New Roman" w:hAnsi="Segoe UI" w:cs="Segoe UI"/>
          <w:color w:val="212529"/>
          <w:sz w:val="24"/>
          <w:szCs w:val="24"/>
          <w:lang w:eastAsia="en-IN"/>
        </w:rPr>
        <w:t>intragenerational</w:t>
      </w:r>
      <w:proofErr w:type="spellEnd"/>
      <w:r w:rsidRPr="00BE5F4F">
        <w:rPr>
          <w:rFonts w:ascii="Segoe UI" w:eastAsia="Times New Roman" w:hAnsi="Segoe UI" w:cs="Segoe UI"/>
          <w:color w:val="212529"/>
          <w:sz w:val="24"/>
          <w:szCs w:val="24"/>
          <w:lang w:eastAsia="en-IN"/>
        </w:rPr>
        <w:t xml:space="preserve"> prosperity and quality of life but also undertakes a restorative approach to safeguard intra and inter-generational needs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w:t>
      </w:r>
      <w:proofErr w:type="spellStart"/>
      <w:r w:rsidRPr="00BE5F4F">
        <w:rPr>
          <w:rFonts w:ascii="Segoe UI" w:eastAsia="Times New Roman" w:hAnsi="Segoe UI" w:cs="Segoe UI"/>
          <w:color w:val="212529"/>
          <w:sz w:val="24"/>
          <w:szCs w:val="24"/>
          <w:lang w:eastAsia="en-IN"/>
        </w:rPr>
        <w:t>Beder</w:t>
      </w:r>
      <w:proofErr w:type="spellEnd"/>
      <w:r w:rsidRPr="00BE5F4F">
        <w:rPr>
          <w:rFonts w:ascii="Segoe UI" w:eastAsia="Times New Roman" w:hAnsi="Segoe UI" w:cs="Segoe UI"/>
          <w:color w:val="212529"/>
          <w:sz w:val="24"/>
          <w:szCs w:val="24"/>
          <w:lang w:eastAsia="en-IN"/>
        </w:rPr>
        <w:t xml:space="preserve"> 2006).</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In terms of its acceptance as an issue which needs addressing by government, business and societal stakeholders, sustainability has become increasingly institutionalised within these areas and have shaped different behaviours and decision-making to a greater degree (Lewis and Maslin 2018;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2.2 The Circular Economy</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Circular Economy has gained increased levels of attention through the work and support of institutions such as the European Union and the Ellen MacArthur Foundation (European Union [EU] 2019; Ellen MacArthur Foundation 2017a). The concept of the Circular Economy and its application to production and consumption processes has developed to include different features from a range of concepts </w:t>
      </w:r>
      <w:r w:rsidRPr="00BE5F4F">
        <w:rPr>
          <w:rFonts w:ascii="Segoe UI" w:eastAsia="Times New Roman" w:hAnsi="Segoe UI" w:cs="Segoe UI"/>
          <w:color w:val="212529"/>
          <w:sz w:val="24"/>
          <w:szCs w:val="24"/>
          <w:lang w:eastAsia="en-IN"/>
        </w:rPr>
        <w:lastRenderedPageBreak/>
        <w:t xml:space="preserve">which include the shift to a closed loop system (Moreno et al 2016; </w:t>
      </w:r>
      <w:proofErr w:type="spellStart"/>
      <w:r w:rsidRPr="00BE5F4F">
        <w:rPr>
          <w:rFonts w:ascii="Segoe UI" w:eastAsia="Times New Roman" w:hAnsi="Segoe UI" w:cs="Segoe UI"/>
          <w:color w:val="212529"/>
          <w:sz w:val="24"/>
          <w:szCs w:val="24"/>
          <w:lang w:eastAsia="en-IN"/>
        </w:rPr>
        <w:t>Braungart</w:t>
      </w:r>
      <w:proofErr w:type="spellEnd"/>
      <w:r w:rsidRPr="00BE5F4F">
        <w:rPr>
          <w:rFonts w:ascii="Segoe UI" w:eastAsia="Times New Roman" w:hAnsi="Segoe UI" w:cs="Segoe UI"/>
          <w:color w:val="212529"/>
          <w:sz w:val="24"/>
          <w:szCs w:val="24"/>
          <w:lang w:eastAsia="en-IN"/>
        </w:rPr>
        <w:t xml:space="preserve"> and McDonough 2009). The range of theories relating to the circular economy include the shift from the cradle-to-grave to the cradle-to-cradle approach (</w:t>
      </w:r>
      <w:proofErr w:type="spellStart"/>
      <w:r w:rsidRPr="00BE5F4F">
        <w:rPr>
          <w:rFonts w:ascii="Segoe UI" w:eastAsia="Times New Roman" w:hAnsi="Segoe UI" w:cs="Segoe UI"/>
          <w:color w:val="212529"/>
          <w:sz w:val="24"/>
          <w:szCs w:val="24"/>
          <w:lang w:eastAsia="en-IN"/>
        </w:rPr>
        <w:t>Braungart</w:t>
      </w:r>
      <w:proofErr w:type="spellEnd"/>
      <w:r w:rsidRPr="00BE5F4F">
        <w:rPr>
          <w:rFonts w:ascii="Segoe UI" w:eastAsia="Times New Roman" w:hAnsi="Segoe UI" w:cs="Segoe UI"/>
          <w:color w:val="212529"/>
          <w:sz w:val="24"/>
          <w:szCs w:val="24"/>
          <w:lang w:eastAsia="en-IN"/>
        </w:rPr>
        <w:t xml:space="preserve"> and McDonough 2009); biomimicry (</w:t>
      </w:r>
      <w:proofErr w:type="spellStart"/>
      <w:r w:rsidRPr="00BE5F4F">
        <w:rPr>
          <w:rFonts w:ascii="Segoe UI" w:eastAsia="Times New Roman" w:hAnsi="Segoe UI" w:cs="Segoe UI"/>
          <w:color w:val="212529"/>
          <w:sz w:val="24"/>
          <w:szCs w:val="24"/>
          <w:lang w:eastAsia="en-IN"/>
        </w:rPr>
        <w:t>Benyus</w:t>
      </w:r>
      <w:proofErr w:type="spellEnd"/>
      <w:r w:rsidRPr="00BE5F4F">
        <w:rPr>
          <w:rFonts w:ascii="Segoe UI" w:eastAsia="Times New Roman" w:hAnsi="Segoe UI" w:cs="Segoe UI"/>
          <w:color w:val="212529"/>
          <w:sz w:val="24"/>
          <w:szCs w:val="24"/>
          <w:lang w:eastAsia="en-IN"/>
        </w:rPr>
        <w:t xml:space="preserve"> 2002); looped economy (</w:t>
      </w:r>
      <w:proofErr w:type="spellStart"/>
      <w:r w:rsidRPr="00BE5F4F">
        <w:rPr>
          <w:rFonts w:ascii="Segoe UI" w:eastAsia="Times New Roman" w:hAnsi="Segoe UI" w:cs="Segoe UI"/>
          <w:color w:val="212529"/>
          <w:sz w:val="24"/>
          <w:szCs w:val="24"/>
          <w:lang w:eastAsia="en-IN"/>
        </w:rPr>
        <w:t>Stahel</w:t>
      </w:r>
      <w:proofErr w:type="spellEnd"/>
      <w:r w:rsidRPr="00BE5F4F">
        <w:rPr>
          <w:rFonts w:ascii="Segoe UI" w:eastAsia="Times New Roman" w:hAnsi="Segoe UI" w:cs="Segoe UI"/>
          <w:color w:val="212529"/>
          <w:sz w:val="24"/>
          <w:szCs w:val="24"/>
          <w:lang w:eastAsia="en-IN"/>
        </w:rPr>
        <w:t xml:space="preserve"> 2010) and the blue economy (Pauli 2017) and these provide a variety of models and a process of continuous improvement which can be adapted to the contexts of businesses. The circular economy undertakes a methodology of continuous improvement which includes the application of increased knowledge, which </w:t>
      </w:r>
      <w:proofErr w:type="gramStart"/>
      <w:r w:rsidRPr="00BE5F4F">
        <w:rPr>
          <w:rFonts w:ascii="Segoe UI" w:eastAsia="Times New Roman" w:hAnsi="Segoe UI" w:cs="Segoe UI"/>
          <w:color w:val="212529"/>
          <w:sz w:val="24"/>
          <w:szCs w:val="24"/>
          <w:lang w:eastAsia="en-IN"/>
        </w:rPr>
        <w:t>may be gained</w:t>
      </w:r>
      <w:proofErr w:type="gramEnd"/>
      <w:r w:rsidRPr="00BE5F4F">
        <w:rPr>
          <w:rFonts w:ascii="Segoe UI" w:eastAsia="Times New Roman" w:hAnsi="Segoe UI" w:cs="Segoe UI"/>
          <w:color w:val="212529"/>
          <w:sz w:val="24"/>
          <w:szCs w:val="24"/>
          <w:lang w:eastAsia="en-IN"/>
        </w:rPr>
        <w:t xml:space="preserve"> through collaborations with other stakeholders, and the motivation of businesses to apply these changes (Pauli 2017; Moreno et al 2016).</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main components of the circular economy relate to its restorative and regenerative design which aims to reduce the amount of waste and energy by closing loops and thus reducing the level of leaks and emissions (Ellen MacArthur Foundation 2017a; Moreno et al 2016; </w:t>
      </w:r>
      <w:proofErr w:type="spellStart"/>
      <w:r w:rsidRPr="00BE5F4F">
        <w:rPr>
          <w:rFonts w:ascii="Segoe UI" w:eastAsia="Times New Roman" w:hAnsi="Segoe UI" w:cs="Segoe UI"/>
          <w:color w:val="212529"/>
          <w:sz w:val="24"/>
          <w:szCs w:val="24"/>
          <w:lang w:eastAsia="en-IN"/>
        </w:rPr>
        <w:t>Braungart</w:t>
      </w:r>
      <w:proofErr w:type="spellEnd"/>
      <w:r w:rsidRPr="00BE5F4F">
        <w:rPr>
          <w:rFonts w:ascii="Segoe UI" w:eastAsia="Times New Roman" w:hAnsi="Segoe UI" w:cs="Segoe UI"/>
          <w:color w:val="212529"/>
          <w:sz w:val="24"/>
          <w:szCs w:val="24"/>
          <w:lang w:eastAsia="en-IN"/>
        </w:rPr>
        <w:t xml:space="preserve"> and McDonough 2009).  This requires a production design which assesses where these leaks and emissions occur and how these </w:t>
      </w:r>
      <w:proofErr w:type="gramStart"/>
      <w:r w:rsidRPr="00BE5F4F">
        <w:rPr>
          <w:rFonts w:ascii="Segoe UI" w:eastAsia="Times New Roman" w:hAnsi="Segoe UI" w:cs="Segoe UI"/>
          <w:color w:val="212529"/>
          <w:sz w:val="24"/>
          <w:szCs w:val="24"/>
          <w:lang w:eastAsia="en-IN"/>
        </w:rPr>
        <w:t>can be reduced</w:t>
      </w:r>
      <w:proofErr w:type="gramEnd"/>
      <w:r w:rsidRPr="00BE5F4F">
        <w:rPr>
          <w:rFonts w:ascii="Segoe UI" w:eastAsia="Times New Roman" w:hAnsi="Segoe UI" w:cs="Segoe UI"/>
          <w:color w:val="212529"/>
          <w:sz w:val="24"/>
          <w:szCs w:val="24"/>
          <w:lang w:eastAsia="en-IN"/>
        </w:rPr>
        <w:t xml:space="preserve"> or eliminated (Ellen MacArthur Foundation 2017a; Pauli 2017; Moreno et al 2016). In addition to this, issues such as maintenance, repair, reuse, remanufacturing, refurbishing and recycling are made more robust to not only ensure that these take place but to ensure that there is a higher volume of activity in these areas (Ellen MacArthur Foundation 2017a; Pauli 2017; Moreno et al 2016; </w:t>
      </w:r>
      <w:proofErr w:type="spellStart"/>
      <w:r w:rsidRPr="00BE5F4F">
        <w:rPr>
          <w:rFonts w:ascii="Segoe UI" w:eastAsia="Times New Roman" w:hAnsi="Segoe UI" w:cs="Segoe UI"/>
          <w:color w:val="212529"/>
          <w:sz w:val="24"/>
          <w:szCs w:val="24"/>
          <w:lang w:eastAsia="en-IN"/>
        </w:rPr>
        <w:t>Braungart</w:t>
      </w:r>
      <w:proofErr w:type="spellEnd"/>
      <w:r w:rsidRPr="00BE5F4F">
        <w:rPr>
          <w:rFonts w:ascii="Segoe UI" w:eastAsia="Times New Roman" w:hAnsi="Segoe UI" w:cs="Segoe UI"/>
          <w:color w:val="212529"/>
          <w:sz w:val="24"/>
          <w:szCs w:val="24"/>
          <w:lang w:eastAsia="en-IN"/>
        </w:rPr>
        <w:t xml:space="preserve"> and McDonough 2009).</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 academic research as regards the circular economy has included an evaluation of specific areas of this concept such as closed loop value and supply chains (</w:t>
      </w:r>
      <w:proofErr w:type="spellStart"/>
      <w:r w:rsidRPr="00BE5F4F">
        <w:rPr>
          <w:rFonts w:ascii="Segoe UI" w:eastAsia="Times New Roman" w:hAnsi="Segoe UI" w:cs="Segoe UI"/>
          <w:color w:val="212529"/>
          <w:sz w:val="24"/>
          <w:szCs w:val="24"/>
          <w:lang w:eastAsia="en-IN"/>
        </w:rPr>
        <w:t>Govindan</w:t>
      </w:r>
      <w:proofErr w:type="spellEnd"/>
      <w:r w:rsidRPr="00BE5F4F">
        <w:rPr>
          <w:rFonts w:ascii="Segoe UI" w:eastAsia="Times New Roman" w:hAnsi="Segoe UI" w:cs="Segoe UI"/>
          <w:color w:val="212529"/>
          <w:sz w:val="24"/>
          <w:szCs w:val="24"/>
          <w:lang w:eastAsia="en-IN"/>
        </w:rPr>
        <w:t xml:space="preserve"> et al 2015); circular business models (</w:t>
      </w:r>
      <w:proofErr w:type="spellStart"/>
      <w:r w:rsidRPr="00BE5F4F">
        <w:rPr>
          <w:rFonts w:ascii="Segoe UI" w:eastAsia="Times New Roman" w:hAnsi="Segoe UI" w:cs="Segoe UI"/>
          <w:color w:val="212529"/>
          <w:sz w:val="24"/>
          <w:szCs w:val="24"/>
          <w:lang w:eastAsia="en-IN"/>
        </w:rPr>
        <w:t>Bocken</w:t>
      </w:r>
      <w:proofErr w:type="spellEnd"/>
      <w:r w:rsidRPr="00BE5F4F">
        <w:rPr>
          <w:rFonts w:ascii="Segoe UI" w:eastAsia="Times New Roman" w:hAnsi="Segoe UI" w:cs="Segoe UI"/>
          <w:color w:val="212529"/>
          <w:sz w:val="24"/>
          <w:szCs w:val="24"/>
          <w:lang w:eastAsia="en-IN"/>
        </w:rPr>
        <w:t xml:space="preserve"> et al 2016; Moreno et al 2016); and circular product design (Pauli 2017). These different approaches to the Circular Economy arguably mirror the different approaches to operations management where there is a drive towards the reduction of waste in the operations process through continuous improvement and focusing on the business priorities (Jacobs and Chase 2017; Slack et al 2016). The development and adaptation of the Circular Economy into these variations on the approach also provide the opportunity for a business to find a model which is contextually appropriate for its operations and this may assist a business in becoming more motivated to apply this to its operations (Pauli 2017;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2.3 Similarities and differences between the concepts of sustainability and the circular economy</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concepts of sustainability and the Circular Economy share a number of similarities and differences. Firstly, these similarities are based upon the global nature of the concepts due to the activities of one country having an impact on another, for example, the shipment of waste from the developed worked to the developing world (Lewis and Maslin 2018;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Moreno et al 2016).  Secondly, </w:t>
      </w:r>
      <w:r w:rsidRPr="00BE5F4F">
        <w:rPr>
          <w:rFonts w:ascii="Segoe UI" w:eastAsia="Times New Roman" w:hAnsi="Segoe UI" w:cs="Segoe UI"/>
          <w:color w:val="212529"/>
          <w:sz w:val="24"/>
          <w:szCs w:val="24"/>
          <w:lang w:eastAsia="en-IN"/>
        </w:rPr>
        <w:lastRenderedPageBreak/>
        <w:t xml:space="preserve">these similarities also extend to concerns with the current model of production, consumption and technology which are not only having a negative impact on this generation, but, based upon these current patterns, will also detrimentally impact on future generations (Lewis and Maslin 2018;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Moreno et al 2016). However, these production and consumption patterns also provide the opportunity for areas of competitive advantages which have yet to be fully explored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These areas </w:t>
      </w:r>
      <w:proofErr w:type="gramStart"/>
      <w:r w:rsidRPr="00BE5F4F">
        <w:rPr>
          <w:rFonts w:ascii="Segoe UI" w:eastAsia="Times New Roman" w:hAnsi="Segoe UI" w:cs="Segoe UI"/>
          <w:color w:val="212529"/>
          <w:sz w:val="24"/>
          <w:szCs w:val="24"/>
          <w:lang w:eastAsia="en-IN"/>
        </w:rPr>
        <w:t>may also be supported</w:t>
      </w:r>
      <w:proofErr w:type="gramEnd"/>
      <w:r w:rsidRPr="00BE5F4F">
        <w:rPr>
          <w:rFonts w:ascii="Segoe UI" w:eastAsia="Times New Roman" w:hAnsi="Segoe UI" w:cs="Segoe UI"/>
          <w:color w:val="212529"/>
          <w:sz w:val="24"/>
          <w:szCs w:val="24"/>
          <w:lang w:eastAsia="en-IN"/>
        </w:rPr>
        <w:t xml:space="preserve"> by global initiatives such as the Sustainable Development Goals which provide activities for businesses to address as part of its strategic operations which may assist in supporting development areas (United Nations Sustainable Development Goals 2019). Thirdly, these similarities also emphasise the importance of the need to provide higher levels of integration between the environment, society and economy which will require a systems-led approach rather than merely seeing the issue of sustainability as being an add-on or a tick box exercise (Lewis and Maslin 2018;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In contrast to these similarities, the concepts of sustainability and the Circular Economy also have differences based upon the different contexts and the different purposes applied to each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Moreno et al 2016). The concept of sustainability is far broader than the concept of the Circular Economy and can be applied to a far broader scope of stakeholder commitments and initiatives and areas of risk, such as resource security, and opportunities, such as addressing different market needs (Lewis and Maslin 2018;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Pauli 2017).  The circular economy undertakes a more specific approach towards sustainability and is therefore part of this concept, providing a potential framework for the increased use of sustainable production and consumption methods (Ellen MacArthur Foundation 2017; Pauli 2017; </w:t>
      </w:r>
      <w:proofErr w:type="spellStart"/>
      <w:r w:rsidRPr="00BE5F4F">
        <w:rPr>
          <w:rFonts w:ascii="Segoe UI" w:eastAsia="Times New Roman" w:hAnsi="Segoe UI" w:cs="Segoe UI"/>
          <w:color w:val="212529"/>
          <w:sz w:val="24"/>
          <w:szCs w:val="24"/>
          <w:lang w:eastAsia="en-IN"/>
        </w:rPr>
        <w:t>Braungart</w:t>
      </w:r>
      <w:proofErr w:type="spellEnd"/>
      <w:r w:rsidRPr="00BE5F4F">
        <w:rPr>
          <w:rFonts w:ascii="Segoe UI" w:eastAsia="Times New Roman" w:hAnsi="Segoe UI" w:cs="Segoe UI"/>
          <w:color w:val="212529"/>
          <w:sz w:val="24"/>
          <w:szCs w:val="24"/>
          <w:lang w:eastAsia="en-IN"/>
        </w:rPr>
        <w:t xml:space="preserve"> and McDonough 2009).</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2.4 The relationship between sustainability and the Circular Economy</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relationship between sustainability and the Circular Economy </w:t>
      </w:r>
      <w:proofErr w:type="gramStart"/>
      <w:r w:rsidRPr="00BE5F4F">
        <w:rPr>
          <w:rFonts w:ascii="Segoe UI" w:eastAsia="Times New Roman" w:hAnsi="Segoe UI" w:cs="Segoe UI"/>
          <w:color w:val="212529"/>
          <w:sz w:val="24"/>
          <w:szCs w:val="24"/>
          <w:lang w:eastAsia="en-IN"/>
        </w:rPr>
        <w:t>is based</w:t>
      </w:r>
      <w:proofErr w:type="gramEnd"/>
      <w:r w:rsidRPr="00BE5F4F">
        <w:rPr>
          <w:rFonts w:ascii="Segoe UI" w:eastAsia="Times New Roman" w:hAnsi="Segoe UI" w:cs="Segoe UI"/>
          <w:color w:val="212529"/>
          <w:sz w:val="24"/>
          <w:szCs w:val="24"/>
          <w:lang w:eastAsia="en-IN"/>
        </w:rPr>
        <w:t xml:space="preserve"> upon the approaches towards increasing the awareness of the interdependencies between the economy, society and the environment but these may undertake different approaches, perspectives and methodologies (Pauli 2017;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Moreno et al 2016). These concepts also have conceptual differences, such as sustainability being focused on the integration between economy, society and the environment presenting thee as equal factors (Lewis and Maslin 2018;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In contrast to this perspective, the Circular Economy prioritises the economic perspective which then has a direct benefit on society and the environment and </w:t>
      </w:r>
      <w:proofErr w:type="gramStart"/>
      <w:r w:rsidRPr="00BE5F4F">
        <w:rPr>
          <w:rFonts w:ascii="Segoe UI" w:eastAsia="Times New Roman" w:hAnsi="Segoe UI" w:cs="Segoe UI"/>
          <w:color w:val="212529"/>
          <w:sz w:val="24"/>
          <w:szCs w:val="24"/>
          <w:lang w:eastAsia="en-IN"/>
        </w:rPr>
        <w:t>can be seen</w:t>
      </w:r>
      <w:proofErr w:type="gramEnd"/>
      <w:r w:rsidRPr="00BE5F4F">
        <w:rPr>
          <w:rFonts w:ascii="Segoe UI" w:eastAsia="Times New Roman" w:hAnsi="Segoe UI" w:cs="Segoe UI"/>
          <w:color w:val="212529"/>
          <w:sz w:val="24"/>
          <w:szCs w:val="24"/>
          <w:lang w:eastAsia="en-IN"/>
        </w:rPr>
        <w:t xml:space="preserve"> as a more business-centric approach (Pauli 2017;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However, as contexts change and technological innovations are developed, there is a focus on how these can impact upon sustainability and the Circular Economy and these may provide a greater synthesis between the two </w:t>
      </w:r>
      <w:r w:rsidRPr="00BE5F4F">
        <w:rPr>
          <w:rFonts w:ascii="Segoe UI" w:eastAsia="Times New Roman" w:hAnsi="Segoe UI" w:cs="Segoe UI"/>
          <w:color w:val="212529"/>
          <w:sz w:val="24"/>
          <w:szCs w:val="24"/>
          <w:lang w:eastAsia="en-IN"/>
        </w:rPr>
        <w:lastRenderedPageBreak/>
        <w:t>concepts. Technological innovations, such as the Internet of Things, enable higher levels of data collection and analysis as regards issues such as the use of products, such as household goods, to support greater efficiencies and improvements (</w:t>
      </w:r>
      <w:proofErr w:type="spellStart"/>
      <w:r w:rsidRPr="00BE5F4F">
        <w:rPr>
          <w:rFonts w:ascii="Segoe UI" w:eastAsia="Times New Roman" w:hAnsi="Segoe UI" w:cs="Segoe UI"/>
          <w:color w:val="212529"/>
          <w:sz w:val="24"/>
          <w:szCs w:val="24"/>
          <w:lang w:eastAsia="en-IN"/>
        </w:rPr>
        <w:t>Trott</w:t>
      </w:r>
      <w:proofErr w:type="spellEnd"/>
      <w:r w:rsidRPr="00BE5F4F">
        <w:rPr>
          <w:rFonts w:ascii="Segoe UI" w:eastAsia="Times New Roman" w:hAnsi="Segoe UI" w:cs="Segoe UI"/>
          <w:color w:val="212529"/>
          <w:sz w:val="24"/>
          <w:szCs w:val="24"/>
          <w:lang w:eastAsia="en-IN"/>
        </w:rPr>
        <w:t xml:space="preserve"> 2017). The use of this data may assist in tracking the lifecycle of products and to support higher levels of recycling and reuse (Lewis and Maslin 2018; Pauli 2017; </w:t>
      </w:r>
      <w:proofErr w:type="spellStart"/>
      <w:r w:rsidRPr="00BE5F4F">
        <w:rPr>
          <w:rFonts w:ascii="Segoe UI" w:eastAsia="Times New Roman" w:hAnsi="Segoe UI" w:cs="Segoe UI"/>
          <w:color w:val="212529"/>
          <w:sz w:val="24"/>
          <w:szCs w:val="24"/>
          <w:lang w:eastAsia="en-IN"/>
        </w:rPr>
        <w:t>Trott</w:t>
      </w:r>
      <w:proofErr w:type="spellEnd"/>
      <w:r w:rsidRPr="00BE5F4F">
        <w:rPr>
          <w:rFonts w:ascii="Segoe UI" w:eastAsia="Times New Roman" w:hAnsi="Segoe UI" w:cs="Segoe UI"/>
          <w:color w:val="212529"/>
          <w:sz w:val="24"/>
          <w:szCs w:val="24"/>
          <w:lang w:eastAsia="en-IN"/>
        </w:rPr>
        <w:t xml:space="preserve"> 2017).</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2.5 Research gaps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Whilst there is a relationship between these two concepts, there has been a lack of academic research into this relationship and the aforementioned similarities and differences remain under-researched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This research gap therefore provides an opportunity for an increased level of understanding in terms of increasing conceptual clarity and the rationale for the definition and use of these concepts by stakeholders including government, business and societal stakeholders (</w:t>
      </w:r>
      <w:proofErr w:type="spellStart"/>
      <w:r w:rsidRPr="00BE5F4F">
        <w:rPr>
          <w:rFonts w:ascii="Segoe UI" w:eastAsia="Times New Roman" w:hAnsi="Segoe UI" w:cs="Segoe UI"/>
          <w:color w:val="212529"/>
          <w:sz w:val="24"/>
          <w:szCs w:val="24"/>
          <w:lang w:eastAsia="en-IN"/>
        </w:rPr>
        <w:t>Feil</w:t>
      </w:r>
      <w:proofErr w:type="spellEnd"/>
      <w:r w:rsidRPr="00BE5F4F">
        <w:rPr>
          <w:rFonts w:ascii="Segoe UI" w:eastAsia="Times New Roman" w:hAnsi="Segoe UI" w:cs="Segoe UI"/>
          <w:color w:val="212529"/>
          <w:sz w:val="24"/>
          <w:szCs w:val="24"/>
          <w:lang w:eastAsia="en-IN"/>
        </w:rPr>
        <w:t xml:space="preserve"> and Schreiber 2017;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By undertaking this research gap, this dissertation aims to address how the concepts of sustainability and the Circular Economy can be more successfully integrated to support social equality and inclusion; increase environmental resilience and support economic prosperity (Lewis and Maslin 2018;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Moreno et al 2016).</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This research gap also needs to address how the relationship between sustainability and the Circular Economy </w:t>
      </w:r>
      <w:proofErr w:type="gramStart"/>
      <w:r w:rsidRPr="00BE5F4F">
        <w:rPr>
          <w:rFonts w:ascii="Segoe UI" w:eastAsia="Times New Roman" w:hAnsi="Segoe UI" w:cs="Segoe UI"/>
          <w:color w:val="212529"/>
          <w:sz w:val="24"/>
          <w:szCs w:val="24"/>
          <w:lang w:eastAsia="en-IN"/>
        </w:rPr>
        <w:t>is being perceived</w:t>
      </w:r>
      <w:proofErr w:type="gramEnd"/>
      <w:r w:rsidRPr="00BE5F4F">
        <w:rPr>
          <w:rFonts w:ascii="Segoe UI" w:eastAsia="Times New Roman" w:hAnsi="Segoe UI" w:cs="Segoe UI"/>
          <w:color w:val="212529"/>
          <w:sz w:val="24"/>
          <w:szCs w:val="24"/>
          <w:lang w:eastAsia="en-IN"/>
        </w:rPr>
        <w:t xml:space="preserve"> by policy makers and businesses in order to gain a better understanding of the influence of this relationship on business models, supply chains and innovation systems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This also needs to consider a widening of the concepts of sustainability and the Circular Economy to include emerging concepts such as the Performance Economy (</w:t>
      </w:r>
      <w:proofErr w:type="spellStart"/>
      <w:r w:rsidRPr="00BE5F4F">
        <w:rPr>
          <w:rFonts w:ascii="Segoe UI" w:eastAsia="Times New Roman" w:hAnsi="Segoe UI" w:cs="Segoe UI"/>
          <w:color w:val="212529"/>
          <w:sz w:val="24"/>
          <w:szCs w:val="24"/>
          <w:lang w:eastAsia="en-IN"/>
        </w:rPr>
        <w:t>Stahel</w:t>
      </w:r>
      <w:proofErr w:type="spellEnd"/>
      <w:r w:rsidRPr="00BE5F4F">
        <w:rPr>
          <w:rFonts w:ascii="Segoe UI" w:eastAsia="Times New Roman" w:hAnsi="Segoe UI" w:cs="Segoe UI"/>
          <w:color w:val="212529"/>
          <w:sz w:val="24"/>
          <w:szCs w:val="24"/>
          <w:lang w:eastAsia="en-IN"/>
        </w:rPr>
        <w:t xml:space="preserve"> 2010) and the Sharing Economy (</w:t>
      </w:r>
      <w:proofErr w:type="spellStart"/>
      <w:r w:rsidRPr="00BE5F4F">
        <w:rPr>
          <w:rFonts w:ascii="Segoe UI" w:eastAsia="Times New Roman" w:hAnsi="Segoe UI" w:cs="Segoe UI"/>
          <w:color w:val="212529"/>
          <w:sz w:val="24"/>
          <w:szCs w:val="24"/>
          <w:lang w:eastAsia="en-IN"/>
        </w:rPr>
        <w:t>Bocken</w:t>
      </w:r>
      <w:proofErr w:type="spellEnd"/>
      <w:r w:rsidRPr="00BE5F4F">
        <w:rPr>
          <w:rFonts w:ascii="Segoe UI" w:eastAsia="Times New Roman" w:hAnsi="Segoe UI" w:cs="Segoe UI"/>
          <w:color w:val="212529"/>
          <w:sz w:val="24"/>
          <w:szCs w:val="24"/>
          <w:lang w:eastAsia="en-IN"/>
        </w:rPr>
        <w:t xml:space="preserve"> et al 2014). There is also a need to evaluate how the actual impacts of the Circular Economy </w:t>
      </w:r>
      <w:proofErr w:type="gramStart"/>
      <w:r w:rsidRPr="00BE5F4F">
        <w:rPr>
          <w:rFonts w:ascii="Segoe UI" w:eastAsia="Times New Roman" w:hAnsi="Segoe UI" w:cs="Segoe UI"/>
          <w:color w:val="212529"/>
          <w:sz w:val="24"/>
          <w:szCs w:val="24"/>
          <w:lang w:eastAsia="en-IN"/>
        </w:rPr>
        <w:t>are being evaluated and analysed against performance measurements, such as the triple bottom line</w:t>
      </w:r>
      <w:proofErr w:type="gramEnd"/>
      <w:r w:rsidRPr="00BE5F4F">
        <w:rPr>
          <w:rFonts w:ascii="Segoe UI" w:eastAsia="Times New Roman" w:hAnsi="Segoe UI" w:cs="Segoe UI"/>
          <w:color w:val="212529"/>
          <w:sz w:val="24"/>
          <w:szCs w:val="24"/>
          <w:lang w:eastAsia="en-IN"/>
        </w:rPr>
        <w:t>; the strength of the sustainability and the impact on consumption, such as slowing down resource use (</w:t>
      </w:r>
      <w:proofErr w:type="spellStart"/>
      <w:r w:rsidRPr="00BE5F4F">
        <w:rPr>
          <w:rFonts w:ascii="Segoe UI" w:eastAsia="Times New Roman" w:hAnsi="Segoe UI" w:cs="Segoe UI"/>
          <w:color w:val="212529"/>
          <w:sz w:val="24"/>
          <w:szCs w:val="24"/>
          <w:lang w:eastAsia="en-IN"/>
        </w:rPr>
        <w:t>Bocken</w:t>
      </w:r>
      <w:proofErr w:type="spellEnd"/>
      <w:r w:rsidRPr="00BE5F4F">
        <w:rPr>
          <w:rFonts w:ascii="Segoe UI" w:eastAsia="Times New Roman" w:hAnsi="Segoe UI" w:cs="Segoe UI"/>
          <w:color w:val="212529"/>
          <w:sz w:val="24"/>
          <w:szCs w:val="24"/>
          <w:lang w:eastAsia="en-IN"/>
        </w:rPr>
        <w:t xml:space="preserve"> et al 2016).</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2.6 Research aim and objectives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 aim of this research is to build on the current level of research to explore the relationship between sustainability and the Circular Economy by considering its impacts on business models and innovation.</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Based upon this research aim, the research objectives for this research are therefore:</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color w:val="212529"/>
          <w:sz w:val="24"/>
          <w:szCs w:val="24"/>
          <w:lang w:eastAsia="en-IN"/>
        </w:rPr>
        <w:t>Objective 1:</w:t>
      </w:r>
      <w:r w:rsidRPr="00BE5F4F">
        <w:rPr>
          <w:rFonts w:ascii="Segoe UI" w:eastAsia="Times New Roman" w:hAnsi="Segoe UI" w:cs="Segoe UI"/>
          <w:color w:val="212529"/>
          <w:sz w:val="24"/>
          <w:szCs w:val="24"/>
          <w:lang w:eastAsia="en-IN"/>
        </w:rPr>
        <w:t> To examine the similarities and differences between sustainability and the Circular Economy.</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color w:val="212529"/>
          <w:sz w:val="24"/>
          <w:szCs w:val="24"/>
          <w:lang w:eastAsia="en-IN"/>
        </w:rPr>
        <w:lastRenderedPageBreak/>
        <w:t>Objective 2:</w:t>
      </w:r>
      <w:r w:rsidRPr="00BE5F4F">
        <w:rPr>
          <w:rFonts w:ascii="Segoe UI" w:eastAsia="Times New Roman" w:hAnsi="Segoe UI" w:cs="Segoe UI"/>
          <w:color w:val="212529"/>
          <w:sz w:val="24"/>
          <w:szCs w:val="24"/>
          <w:lang w:eastAsia="en-IN"/>
        </w:rPr>
        <w:t> To investigate the impacts of sustainability and the Circular Economy on business models and innovation.</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color w:val="212529"/>
          <w:sz w:val="24"/>
          <w:szCs w:val="24"/>
          <w:lang w:eastAsia="en-IN"/>
        </w:rPr>
        <w:t>Objective 3:</w:t>
      </w:r>
      <w:r w:rsidRPr="00BE5F4F">
        <w:rPr>
          <w:rFonts w:ascii="Segoe UI" w:eastAsia="Times New Roman" w:hAnsi="Segoe UI" w:cs="Segoe UI"/>
          <w:color w:val="212529"/>
          <w:sz w:val="24"/>
          <w:szCs w:val="24"/>
          <w:lang w:eastAsia="en-IN"/>
        </w:rPr>
        <w:t> To evaluate the relationship between Sustainability and the Circular Economy.</w:t>
      </w:r>
    </w:p>
    <w:p w:rsidR="00BE5F4F" w:rsidRPr="00BE5F4F" w:rsidRDefault="00BE5F4F" w:rsidP="00BE5F4F">
      <w:pPr>
        <w:shd w:val="clear" w:color="auto" w:fill="FFFFFF"/>
        <w:spacing w:after="144" w:line="240" w:lineRule="auto"/>
        <w:outlineLvl w:val="1"/>
        <w:rPr>
          <w:rFonts w:ascii="Segoe UI" w:eastAsia="Times New Roman" w:hAnsi="Segoe UI" w:cs="Segoe UI"/>
          <w:color w:val="071D37"/>
          <w:sz w:val="36"/>
          <w:szCs w:val="36"/>
          <w:lang w:eastAsia="en-IN"/>
        </w:rPr>
      </w:pPr>
      <w:r w:rsidRPr="00BE5F4F">
        <w:rPr>
          <w:rFonts w:ascii="Segoe UI" w:eastAsia="Times New Roman" w:hAnsi="Segoe UI" w:cs="Segoe UI"/>
          <w:color w:val="071D37"/>
          <w:sz w:val="36"/>
          <w:szCs w:val="36"/>
          <w:lang w:eastAsia="en-IN"/>
        </w:rPr>
        <w:t>Chapter 3: Methodology</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3.1 Research paradigm and assumptions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 selected research paradigm is the interpretivist approach which supports the evaluation and exploration of complex relationships which contain a range of variables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Saunders et al 2016; Bryman and Bell 2015). </w:t>
      </w:r>
      <w:proofErr w:type="spellStart"/>
      <w:r w:rsidRPr="00BE5F4F">
        <w:rPr>
          <w:rFonts w:ascii="Segoe UI" w:eastAsia="Times New Roman" w:hAnsi="Segoe UI" w:cs="Segoe UI"/>
          <w:color w:val="212529"/>
          <w:sz w:val="24"/>
          <w:szCs w:val="24"/>
          <w:lang w:eastAsia="en-IN"/>
        </w:rPr>
        <w:t>Interpretivism</w:t>
      </w:r>
      <w:proofErr w:type="spellEnd"/>
      <w:r w:rsidRPr="00BE5F4F">
        <w:rPr>
          <w:rFonts w:ascii="Segoe UI" w:eastAsia="Times New Roman" w:hAnsi="Segoe UI" w:cs="Segoe UI"/>
          <w:color w:val="212529"/>
          <w:sz w:val="24"/>
          <w:szCs w:val="24"/>
          <w:lang w:eastAsia="en-IN"/>
        </w:rPr>
        <w:t xml:space="preserve"> allows for a range of perspectives to be undertaken and, in the context of this research, supports the range of perspectives which </w:t>
      </w:r>
      <w:proofErr w:type="gramStart"/>
      <w:r w:rsidRPr="00BE5F4F">
        <w:rPr>
          <w:rFonts w:ascii="Segoe UI" w:eastAsia="Times New Roman" w:hAnsi="Segoe UI" w:cs="Segoe UI"/>
          <w:color w:val="212529"/>
          <w:sz w:val="24"/>
          <w:szCs w:val="24"/>
          <w:lang w:eastAsia="en-IN"/>
        </w:rPr>
        <w:t>are explored</w:t>
      </w:r>
      <w:proofErr w:type="gramEnd"/>
      <w:r w:rsidRPr="00BE5F4F">
        <w:rPr>
          <w:rFonts w:ascii="Segoe UI" w:eastAsia="Times New Roman" w:hAnsi="Segoe UI" w:cs="Segoe UI"/>
          <w:color w:val="212529"/>
          <w:sz w:val="24"/>
          <w:szCs w:val="24"/>
          <w:lang w:eastAsia="en-IN"/>
        </w:rPr>
        <w:t xml:space="preserve"> in both the literature review and the findings chapter (Saunders et al 2016; </w:t>
      </w:r>
      <w:proofErr w:type="spellStart"/>
      <w:r w:rsidRPr="00BE5F4F">
        <w:rPr>
          <w:rFonts w:ascii="Segoe UI" w:eastAsia="Times New Roman" w:hAnsi="Segoe UI" w:cs="Segoe UI"/>
          <w:color w:val="212529"/>
          <w:sz w:val="24"/>
          <w:szCs w:val="24"/>
          <w:lang w:eastAsia="en-IN"/>
        </w:rPr>
        <w:t>Neuman</w:t>
      </w:r>
      <w:proofErr w:type="spellEnd"/>
      <w:r w:rsidRPr="00BE5F4F">
        <w:rPr>
          <w:rFonts w:ascii="Segoe UI" w:eastAsia="Times New Roman" w:hAnsi="Segoe UI" w:cs="Segoe UI"/>
          <w:color w:val="212529"/>
          <w:sz w:val="24"/>
          <w:szCs w:val="24"/>
          <w:lang w:eastAsia="en-IN"/>
        </w:rPr>
        <w:t xml:space="preserve"> 2013).</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This range of interpretations which form the basis of the interpretivist paradigm </w:t>
      </w:r>
      <w:proofErr w:type="gramStart"/>
      <w:r w:rsidRPr="00BE5F4F">
        <w:rPr>
          <w:rFonts w:ascii="Segoe UI" w:eastAsia="Times New Roman" w:hAnsi="Segoe UI" w:cs="Segoe UI"/>
          <w:color w:val="212529"/>
          <w:sz w:val="24"/>
          <w:szCs w:val="24"/>
          <w:lang w:eastAsia="en-IN"/>
        </w:rPr>
        <w:t>are also related</w:t>
      </w:r>
      <w:proofErr w:type="gramEnd"/>
      <w:r w:rsidRPr="00BE5F4F">
        <w:rPr>
          <w:rFonts w:ascii="Segoe UI" w:eastAsia="Times New Roman" w:hAnsi="Segoe UI" w:cs="Segoe UI"/>
          <w:color w:val="212529"/>
          <w:sz w:val="24"/>
          <w:szCs w:val="24"/>
          <w:lang w:eastAsia="en-IN"/>
        </w:rPr>
        <w:t xml:space="preserve"> to the selected philosophical outlook and assumptions of the researcher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Within this research, these assumptions include both the ontological and epistemological outlook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Saunders et al 2016; Bryman and Bell 2015).  The ontological (nature of reality) assumption within the interpretivist paradigm enables the development of multiple meanings which are gathered from the research process and thus require a flexible approach to ensure that these meanings are communicated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Bryman and Bell 2015). The epistemological (validity of knowledge) assumption within the interpretivist paradigm is addresses the potential reductionist approach which may occur if the research is focused upon a specific theory or concept, and thus enables the research to develop different interpretations which can support the creation of new knowledge and a greater understanding of a concept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w:t>
      </w:r>
      <w:proofErr w:type="spellStart"/>
      <w:r w:rsidRPr="00BE5F4F">
        <w:rPr>
          <w:rFonts w:ascii="Segoe UI" w:eastAsia="Times New Roman" w:hAnsi="Segoe UI" w:cs="Segoe UI"/>
          <w:color w:val="212529"/>
          <w:sz w:val="24"/>
          <w:szCs w:val="24"/>
          <w:lang w:eastAsia="en-IN"/>
        </w:rPr>
        <w:t>Neuman</w:t>
      </w:r>
      <w:proofErr w:type="spellEnd"/>
      <w:r w:rsidRPr="00BE5F4F">
        <w:rPr>
          <w:rFonts w:ascii="Segoe UI" w:eastAsia="Times New Roman" w:hAnsi="Segoe UI" w:cs="Segoe UI"/>
          <w:color w:val="212529"/>
          <w:sz w:val="24"/>
          <w:szCs w:val="24"/>
          <w:lang w:eastAsia="en-IN"/>
        </w:rPr>
        <w:t xml:space="preserve"> 2013). Given the subject matter of this research, and the need to evaluate current levels of understanding and how these can develop new levels of understanding, the ontological and epistemological assumptions within the interpretivist paradigm were selected as the most appropriate research methodology and this was further emphasized by the evaluation of other research methodologies, such as positivism (Saunders et al 2016; Gill and Johnson 2010).</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In contrast to </w:t>
      </w:r>
      <w:proofErr w:type="spellStart"/>
      <w:r w:rsidRPr="00BE5F4F">
        <w:rPr>
          <w:rFonts w:ascii="Segoe UI" w:eastAsia="Times New Roman" w:hAnsi="Segoe UI" w:cs="Segoe UI"/>
          <w:color w:val="212529"/>
          <w:sz w:val="24"/>
          <w:szCs w:val="24"/>
          <w:lang w:eastAsia="en-IN"/>
        </w:rPr>
        <w:t>interpretivism</w:t>
      </w:r>
      <w:proofErr w:type="spellEnd"/>
      <w:r w:rsidRPr="00BE5F4F">
        <w:rPr>
          <w:rFonts w:ascii="Segoe UI" w:eastAsia="Times New Roman" w:hAnsi="Segoe UI" w:cs="Segoe UI"/>
          <w:color w:val="212529"/>
          <w:sz w:val="24"/>
          <w:szCs w:val="24"/>
          <w:lang w:eastAsia="en-IN"/>
        </w:rPr>
        <w:t xml:space="preserve">, positivism undertakes a linear cause and effect approach which seeks to establish a relationship between a small set of variables (Saunders et al 2016; Bryman and Bell 2015). Within the context of this research, the positivist approach can be applied to some areas such as the impact of increased regulation upon businesses and the approach to sustainability (Bryman and Bell 2015; Collis and Hussey 2014). However, the disadvantage of this approach includes its reductionist perspective which would entail ignoring some of the more complex </w:t>
      </w:r>
      <w:r w:rsidRPr="00BE5F4F">
        <w:rPr>
          <w:rFonts w:ascii="Segoe UI" w:eastAsia="Times New Roman" w:hAnsi="Segoe UI" w:cs="Segoe UI"/>
          <w:color w:val="212529"/>
          <w:sz w:val="24"/>
          <w:szCs w:val="24"/>
          <w:lang w:eastAsia="en-IN"/>
        </w:rPr>
        <w:lastRenderedPageBreak/>
        <w:t xml:space="preserve">issues such as the differences in the rationale for an increased level of sustainability (Saunders et al 2016; Bryman and Bell 2015). In this context, it </w:t>
      </w:r>
      <w:proofErr w:type="gramStart"/>
      <w:r w:rsidRPr="00BE5F4F">
        <w:rPr>
          <w:rFonts w:ascii="Segoe UI" w:eastAsia="Times New Roman" w:hAnsi="Segoe UI" w:cs="Segoe UI"/>
          <w:color w:val="212529"/>
          <w:sz w:val="24"/>
          <w:szCs w:val="24"/>
          <w:lang w:eastAsia="en-IN"/>
        </w:rPr>
        <w:t>was decided</w:t>
      </w:r>
      <w:proofErr w:type="gramEnd"/>
      <w:r w:rsidRPr="00BE5F4F">
        <w:rPr>
          <w:rFonts w:ascii="Segoe UI" w:eastAsia="Times New Roman" w:hAnsi="Segoe UI" w:cs="Segoe UI"/>
          <w:color w:val="212529"/>
          <w:sz w:val="24"/>
          <w:szCs w:val="24"/>
          <w:lang w:eastAsia="en-IN"/>
        </w:rPr>
        <w:t xml:space="preserve"> that the positivist approach would be too narrow to adequately evaluate and investigate the research aims and objectives.</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3.2 Research approach</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 research approach will employ an exploratory approach by exploring the general themes of the literature review and drawing out the similarities and differences between sustainability and the Circular Economy and then exploring the relationship between these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Bryman and Bell 2015).  The exploratory approach assists in increasing the level of understanding of a particular issue or problem by providing the researcher with a flexible approach to the research process which allows for the research to evolve and change as new information is discovered and analysed (Saunders et al 2016; Collis and Hussey 2014; Gill and Johnson 2010).  The methodology will also undertake an inductive approach which relates to the context of the data which will be explored in the case studies of the selected businesses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Yin 2018; Saunders et al 2016).</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3.3 Criticisms of the selected interpretivist approach</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Whilst the strengths of the interpretivist approach include its flexibility and ability to support the exploration of the development of a range of meanings based upon the complexity of the research subject, the criticisms of this approach also need to be acknowledged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Gill and Johnson 2010). The criticisms of </w:t>
      </w:r>
      <w:proofErr w:type="spellStart"/>
      <w:r w:rsidRPr="00BE5F4F">
        <w:rPr>
          <w:rFonts w:ascii="Segoe UI" w:eastAsia="Times New Roman" w:hAnsi="Segoe UI" w:cs="Segoe UI"/>
          <w:color w:val="212529"/>
          <w:sz w:val="24"/>
          <w:szCs w:val="24"/>
          <w:lang w:eastAsia="en-IN"/>
        </w:rPr>
        <w:t>interpretivism</w:t>
      </w:r>
      <w:proofErr w:type="spellEnd"/>
      <w:r w:rsidRPr="00BE5F4F">
        <w:rPr>
          <w:rFonts w:ascii="Segoe UI" w:eastAsia="Times New Roman" w:hAnsi="Segoe UI" w:cs="Segoe UI"/>
          <w:color w:val="212529"/>
          <w:sz w:val="24"/>
          <w:szCs w:val="24"/>
          <w:lang w:eastAsia="en-IN"/>
        </w:rPr>
        <w:t xml:space="preserve"> include the lack of research conventions, in comparison to the positivist approach, which may lead to difficulties in areas such as reliability, validity and generalisability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Saunders et al 2016; Lee and Lings 2008). This lack of research conventions requires the researcher to develop a framework which not only addresses any potential weaknesses in the research process, such as bias, but also presents the data findings and analysis to ensure that the these address the research aim and objectives (</w:t>
      </w:r>
      <w:proofErr w:type="spellStart"/>
      <w:r w:rsidRPr="00BE5F4F">
        <w:rPr>
          <w:rFonts w:ascii="Segoe UI" w:eastAsia="Times New Roman" w:hAnsi="Segoe UI" w:cs="Segoe UI"/>
          <w:color w:val="212529"/>
          <w:sz w:val="24"/>
          <w:szCs w:val="24"/>
          <w:lang w:eastAsia="en-IN"/>
        </w:rPr>
        <w:t>Neuman</w:t>
      </w:r>
      <w:proofErr w:type="spellEnd"/>
      <w:r w:rsidRPr="00BE5F4F">
        <w:rPr>
          <w:rFonts w:ascii="Segoe UI" w:eastAsia="Times New Roman" w:hAnsi="Segoe UI" w:cs="Segoe UI"/>
          <w:color w:val="212529"/>
          <w:sz w:val="24"/>
          <w:szCs w:val="24"/>
          <w:lang w:eastAsia="en-IN"/>
        </w:rPr>
        <w:t xml:space="preserve"> 2013; Gill and Johnson 2010; Riley et al 2000). In this piece of research, the methodology will include a literature search to provide the similarities and differences between sustainability and the Circular Economy (research objective 1) and a case study approach to explore the impacts of these on business models and innovation (objective 2). Both the literature review </w:t>
      </w:r>
      <w:proofErr w:type="spellStart"/>
      <w:r w:rsidRPr="00BE5F4F">
        <w:rPr>
          <w:rFonts w:ascii="Segoe UI" w:eastAsia="Times New Roman" w:hAnsi="Segoe UI" w:cs="Segoe UI"/>
          <w:color w:val="212529"/>
          <w:sz w:val="24"/>
          <w:szCs w:val="24"/>
          <w:lang w:eastAsia="en-IN"/>
        </w:rPr>
        <w:t>ad</w:t>
      </w:r>
      <w:proofErr w:type="spellEnd"/>
      <w:r w:rsidRPr="00BE5F4F">
        <w:rPr>
          <w:rFonts w:ascii="Segoe UI" w:eastAsia="Times New Roman" w:hAnsi="Segoe UI" w:cs="Segoe UI"/>
          <w:color w:val="212529"/>
          <w:sz w:val="24"/>
          <w:szCs w:val="24"/>
          <w:lang w:eastAsia="en-IN"/>
        </w:rPr>
        <w:t xml:space="preserve"> the case study approach </w:t>
      </w:r>
      <w:proofErr w:type="gramStart"/>
      <w:r w:rsidRPr="00BE5F4F">
        <w:rPr>
          <w:rFonts w:ascii="Segoe UI" w:eastAsia="Times New Roman" w:hAnsi="Segoe UI" w:cs="Segoe UI"/>
          <w:color w:val="212529"/>
          <w:sz w:val="24"/>
          <w:szCs w:val="24"/>
          <w:lang w:eastAsia="en-IN"/>
        </w:rPr>
        <w:t>will be used</w:t>
      </w:r>
      <w:proofErr w:type="gramEnd"/>
      <w:r w:rsidRPr="00BE5F4F">
        <w:rPr>
          <w:rFonts w:ascii="Segoe UI" w:eastAsia="Times New Roman" w:hAnsi="Segoe UI" w:cs="Segoe UI"/>
          <w:color w:val="212529"/>
          <w:sz w:val="24"/>
          <w:szCs w:val="24"/>
          <w:lang w:eastAsia="en-IN"/>
        </w:rPr>
        <w:t xml:space="preserve"> in the response to objective 3 which seeks to evaluate the relationship between sustainability and the Circular Economy. The presentation of the data findings will therefore undertake a thematic analysis based upon the research aim and objectives (Yin 2018; Saunders et al 2016; Bryman and Bell 2015; </w:t>
      </w:r>
      <w:proofErr w:type="spellStart"/>
      <w:r w:rsidRPr="00BE5F4F">
        <w:rPr>
          <w:rFonts w:ascii="Segoe UI" w:eastAsia="Times New Roman" w:hAnsi="Segoe UI" w:cs="Segoe UI"/>
          <w:color w:val="212529"/>
          <w:sz w:val="24"/>
          <w:szCs w:val="24"/>
          <w:lang w:eastAsia="en-IN"/>
        </w:rPr>
        <w:t>Dul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Hak</w:t>
      </w:r>
      <w:proofErr w:type="spellEnd"/>
      <w:r w:rsidRPr="00BE5F4F">
        <w:rPr>
          <w:rFonts w:ascii="Segoe UI" w:eastAsia="Times New Roman" w:hAnsi="Segoe UI" w:cs="Segoe UI"/>
          <w:color w:val="212529"/>
          <w:sz w:val="24"/>
          <w:szCs w:val="24"/>
          <w:lang w:eastAsia="en-IN"/>
        </w:rPr>
        <w:t xml:space="preserve"> 2008).</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3.4 Data collection</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lastRenderedPageBreak/>
        <w:t>The data collection will only include secondary data from academic websites, including Google Scholar, and publicly available websites, including industry, business and news sites. This secondary data will be predominately qualitative in nature although some quantitative data may be included. It is acknowledged that the use of secondary data is a limitation for the research, but this is addressed by using both academic sources to support the exploratory approach and real-world case studies to support the inductive approach and thus using the mixed methods approach (Saunders et al 2016; Bryman and Bell 2015; Molina-</w:t>
      </w:r>
      <w:proofErr w:type="spellStart"/>
      <w:r w:rsidRPr="00BE5F4F">
        <w:rPr>
          <w:rFonts w:ascii="Segoe UI" w:eastAsia="Times New Roman" w:hAnsi="Segoe UI" w:cs="Segoe UI"/>
          <w:color w:val="212529"/>
          <w:sz w:val="24"/>
          <w:szCs w:val="24"/>
          <w:lang w:eastAsia="en-IN"/>
        </w:rPr>
        <w:t>Azorin</w:t>
      </w:r>
      <w:proofErr w:type="spellEnd"/>
      <w:r w:rsidRPr="00BE5F4F">
        <w:rPr>
          <w:rFonts w:ascii="Segoe UI" w:eastAsia="Times New Roman" w:hAnsi="Segoe UI" w:cs="Segoe UI"/>
          <w:color w:val="212529"/>
          <w:sz w:val="24"/>
          <w:szCs w:val="24"/>
          <w:lang w:eastAsia="en-IN"/>
        </w:rPr>
        <w:t xml:space="preserve"> and Cameron 2010).</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3.5 Mixed Methods approach</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 use of the mixed methods approach has been applied to this piece of research for the following reasons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Saunders et al 2016). Firstly, by using a number of secondary sources, bot academic and real-world, there is a reduced risk of bias which can occur if only one data source, or a mono-method approach, is utilised (Molina-</w:t>
      </w:r>
      <w:proofErr w:type="spellStart"/>
      <w:r w:rsidRPr="00BE5F4F">
        <w:rPr>
          <w:rFonts w:ascii="Segoe UI" w:eastAsia="Times New Roman" w:hAnsi="Segoe UI" w:cs="Segoe UI"/>
          <w:color w:val="212529"/>
          <w:sz w:val="24"/>
          <w:szCs w:val="24"/>
          <w:lang w:eastAsia="en-IN"/>
        </w:rPr>
        <w:t>Azorin</w:t>
      </w:r>
      <w:proofErr w:type="spellEnd"/>
      <w:r w:rsidRPr="00BE5F4F">
        <w:rPr>
          <w:rFonts w:ascii="Segoe UI" w:eastAsia="Times New Roman" w:hAnsi="Segoe UI" w:cs="Segoe UI"/>
          <w:color w:val="212529"/>
          <w:sz w:val="24"/>
          <w:szCs w:val="24"/>
          <w:lang w:eastAsia="en-IN"/>
        </w:rPr>
        <w:t xml:space="preserve"> and Cameron 2010; </w:t>
      </w:r>
      <w:proofErr w:type="spellStart"/>
      <w:r w:rsidRPr="00BE5F4F">
        <w:rPr>
          <w:rFonts w:ascii="Segoe UI" w:eastAsia="Times New Roman" w:hAnsi="Segoe UI" w:cs="Segoe UI"/>
          <w:color w:val="212529"/>
          <w:sz w:val="24"/>
          <w:szCs w:val="24"/>
          <w:lang w:eastAsia="en-IN"/>
        </w:rPr>
        <w:t>Tashakkori</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Teddlie</w:t>
      </w:r>
      <w:proofErr w:type="spellEnd"/>
      <w:r w:rsidRPr="00BE5F4F">
        <w:rPr>
          <w:rFonts w:ascii="Segoe UI" w:eastAsia="Times New Roman" w:hAnsi="Segoe UI" w:cs="Segoe UI"/>
          <w:color w:val="212529"/>
          <w:sz w:val="24"/>
          <w:szCs w:val="24"/>
          <w:lang w:eastAsia="en-IN"/>
        </w:rPr>
        <w:t xml:space="preserve"> 2010). Secondly, the mixed method approach allows for the data to be analysed in a number of ways including the sequential approach which has been utilised for this research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Molina-</w:t>
      </w:r>
      <w:proofErr w:type="spellStart"/>
      <w:r w:rsidRPr="00BE5F4F">
        <w:rPr>
          <w:rFonts w:ascii="Segoe UI" w:eastAsia="Times New Roman" w:hAnsi="Segoe UI" w:cs="Segoe UI"/>
          <w:color w:val="212529"/>
          <w:sz w:val="24"/>
          <w:szCs w:val="24"/>
          <w:lang w:eastAsia="en-IN"/>
        </w:rPr>
        <w:t>Azorin</w:t>
      </w:r>
      <w:proofErr w:type="spellEnd"/>
      <w:r w:rsidRPr="00BE5F4F">
        <w:rPr>
          <w:rFonts w:ascii="Segoe UI" w:eastAsia="Times New Roman" w:hAnsi="Segoe UI" w:cs="Segoe UI"/>
          <w:color w:val="212529"/>
          <w:sz w:val="24"/>
          <w:szCs w:val="24"/>
          <w:lang w:eastAsia="en-IN"/>
        </w:rPr>
        <w:t xml:space="preserve"> and Cameron 2010). This sequential approach sees the data from the academic sources analysed first and then this </w:t>
      </w:r>
      <w:proofErr w:type="gramStart"/>
      <w:r w:rsidRPr="00BE5F4F">
        <w:rPr>
          <w:rFonts w:ascii="Segoe UI" w:eastAsia="Times New Roman" w:hAnsi="Segoe UI" w:cs="Segoe UI"/>
          <w:color w:val="212529"/>
          <w:sz w:val="24"/>
          <w:szCs w:val="24"/>
          <w:lang w:eastAsia="en-IN"/>
        </w:rPr>
        <w:t>is followed</w:t>
      </w:r>
      <w:proofErr w:type="gramEnd"/>
      <w:r w:rsidRPr="00BE5F4F">
        <w:rPr>
          <w:rFonts w:ascii="Segoe UI" w:eastAsia="Times New Roman" w:hAnsi="Segoe UI" w:cs="Segoe UI"/>
          <w:color w:val="212529"/>
          <w:sz w:val="24"/>
          <w:szCs w:val="24"/>
          <w:lang w:eastAsia="en-IN"/>
        </w:rPr>
        <w:t xml:space="preserve"> by the data from the real-world case studies. This allows for the examination of both areas to be explored individually and to then undergo a process of synthesis to support the inductive approach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Bryman and Bell 2015). Thirdly, the mixed methods approach is often utilised and has become increasingly popular in business based research, for example strategic management studies, as it supports the development of practical solutions to address contemporary business challenges, such as the issue of sustainability and the application of frameworks, such as the Circular Economy (Molina-</w:t>
      </w:r>
      <w:proofErr w:type="spellStart"/>
      <w:r w:rsidRPr="00BE5F4F">
        <w:rPr>
          <w:rFonts w:ascii="Segoe UI" w:eastAsia="Times New Roman" w:hAnsi="Segoe UI" w:cs="Segoe UI"/>
          <w:color w:val="212529"/>
          <w:sz w:val="24"/>
          <w:szCs w:val="24"/>
          <w:lang w:eastAsia="en-IN"/>
        </w:rPr>
        <w:t>Azorin</w:t>
      </w:r>
      <w:proofErr w:type="spellEnd"/>
      <w:r w:rsidRPr="00BE5F4F">
        <w:rPr>
          <w:rFonts w:ascii="Segoe UI" w:eastAsia="Times New Roman" w:hAnsi="Segoe UI" w:cs="Segoe UI"/>
          <w:color w:val="212529"/>
          <w:sz w:val="24"/>
          <w:szCs w:val="24"/>
          <w:lang w:eastAsia="en-IN"/>
        </w:rPr>
        <w:t xml:space="preserve"> and Cameron 2010; </w:t>
      </w:r>
      <w:proofErr w:type="spellStart"/>
      <w:r w:rsidRPr="00BE5F4F">
        <w:rPr>
          <w:rFonts w:ascii="Segoe UI" w:eastAsia="Times New Roman" w:hAnsi="Segoe UI" w:cs="Segoe UI"/>
          <w:color w:val="212529"/>
          <w:sz w:val="24"/>
          <w:szCs w:val="24"/>
          <w:lang w:eastAsia="en-IN"/>
        </w:rPr>
        <w:t>Tashakkori</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Teddlie</w:t>
      </w:r>
      <w:proofErr w:type="spellEnd"/>
      <w:r w:rsidRPr="00BE5F4F">
        <w:rPr>
          <w:rFonts w:ascii="Segoe UI" w:eastAsia="Times New Roman" w:hAnsi="Segoe UI" w:cs="Segoe UI"/>
          <w:color w:val="212529"/>
          <w:sz w:val="24"/>
          <w:szCs w:val="24"/>
          <w:lang w:eastAsia="en-IN"/>
        </w:rPr>
        <w:t xml:space="preserve"> 2010).</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3.6 Sample</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 sample for the secondary data collection was initially purposive and for the literature review needed to include the following search parameters: sustainability; Circular Economy; and sustainability and the Circular Economy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Bryman and Bell 2015). It was essential for each academic source to have a minimum of one of these search terms in order to be included in the results and findings chapter.</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academic journals which have been used to evaluate the similarities and differences between sustainability and the Circular Economy also provided the opportunity for snowball sampling due to the initial academic source providing </w:t>
      </w:r>
      <w:r w:rsidRPr="00BE5F4F">
        <w:rPr>
          <w:rFonts w:ascii="Segoe UI" w:eastAsia="Times New Roman" w:hAnsi="Segoe UI" w:cs="Segoe UI"/>
          <w:color w:val="212529"/>
          <w:sz w:val="24"/>
          <w:szCs w:val="24"/>
          <w:lang w:eastAsia="en-IN"/>
        </w:rPr>
        <w:lastRenderedPageBreak/>
        <w:t>references which could then be used as additional sources of information (Saunders et al 2016; Bryman and Bell 2015).</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sample for the case studies </w:t>
      </w:r>
      <w:proofErr w:type="gramStart"/>
      <w:r w:rsidRPr="00BE5F4F">
        <w:rPr>
          <w:rFonts w:ascii="Segoe UI" w:eastAsia="Times New Roman" w:hAnsi="Segoe UI" w:cs="Segoe UI"/>
          <w:color w:val="212529"/>
          <w:sz w:val="24"/>
          <w:szCs w:val="24"/>
          <w:lang w:eastAsia="en-IN"/>
        </w:rPr>
        <w:t>were based</w:t>
      </w:r>
      <w:proofErr w:type="gramEnd"/>
      <w:r w:rsidRPr="00BE5F4F">
        <w:rPr>
          <w:rFonts w:ascii="Segoe UI" w:eastAsia="Times New Roman" w:hAnsi="Segoe UI" w:cs="Segoe UI"/>
          <w:color w:val="212529"/>
          <w:sz w:val="24"/>
          <w:szCs w:val="24"/>
          <w:lang w:eastAsia="en-IN"/>
        </w:rPr>
        <w:t xml:space="preserve"> upon the application of sustainability and the Circular Economy. The case studies for sustainability </w:t>
      </w:r>
      <w:proofErr w:type="gramStart"/>
      <w:r w:rsidRPr="00BE5F4F">
        <w:rPr>
          <w:rFonts w:ascii="Segoe UI" w:eastAsia="Times New Roman" w:hAnsi="Segoe UI" w:cs="Segoe UI"/>
          <w:color w:val="212529"/>
          <w:sz w:val="24"/>
          <w:szCs w:val="24"/>
          <w:lang w:eastAsia="en-IN"/>
        </w:rPr>
        <w:t>were based</w:t>
      </w:r>
      <w:proofErr w:type="gramEnd"/>
      <w:r w:rsidRPr="00BE5F4F">
        <w:rPr>
          <w:rFonts w:ascii="Segoe UI" w:eastAsia="Times New Roman" w:hAnsi="Segoe UI" w:cs="Segoe UI"/>
          <w:color w:val="212529"/>
          <w:sz w:val="24"/>
          <w:szCs w:val="24"/>
          <w:lang w:eastAsia="en-IN"/>
        </w:rPr>
        <w:t xml:space="preserve"> upon organisations who had applied and were reporting the use of the United Nations Sustainable Development Goals. The case studies for the Circular Economy </w:t>
      </w:r>
      <w:proofErr w:type="gramStart"/>
      <w:r w:rsidRPr="00BE5F4F">
        <w:rPr>
          <w:rFonts w:ascii="Segoe UI" w:eastAsia="Times New Roman" w:hAnsi="Segoe UI" w:cs="Segoe UI"/>
          <w:color w:val="212529"/>
          <w:sz w:val="24"/>
          <w:szCs w:val="24"/>
          <w:lang w:eastAsia="en-IN"/>
        </w:rPr>
        <w:t>were selected</w:t>
      </w:r>
      <w:proofErr w:type="gramEnd"/>
      <w:r w:rsidRPr="00BE5F4F">
        <w:rPr>
          <w:rFonts w:ascii="Segoe UI" w:eastAsia="Times New Roman" w:hAnsi="Segoe UI" w:cs="Segoe UI"/>
          <w:color w:val="212529"/>
          <w:sz w:val="24"/>
          <w:szCs w:val="24"/>
          <w:lang w:eastAsia="en-IN"/>
        </w:rPr>
        <w:t xml:space="preserve"> from the case studies which are publicly available on the Ellen MacArthur Foundation website (Ellen MacArthur Foundation 2017).</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3.7 Reliability and validity</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issues of reliability and validity are dependent upon the research paradigm, in this case </w:t>
      </w:r>
      <w:proofErr w:type="spellStart"/>
      <w:r w:rsidRPr="00BE5F4F">
        <w:rPr>
          <w:rFonts w:ascii="Segoe UI" w:eastAsia="Times New Roman" w:hAnsi="Segoe UI" w:cs="Segoe UI"/>
          <w:color w:val="212529"/>
          <w:sz w:val="24"/>
          <w:szCs w:val="24"/>
          <w:lang w:eastAsia="en-IN"/>
        </w:rPr>
        <w:t>interpretivism</w:t>
      </w:r>
      <w:proofErr w:type="spellEnd"/>
      <w:r w:rsidRPr="00BE5F4F">
        <w:rPr>
          <w:rFonts w:ascii="Segoe UI" w:eastAsia="Times New Roman" w:hAnsi="Segoe UI" w:cs="Segoe UI"/>
          <w:color w:val="212529"/>
          <w:sz w:val="24"/>
          <w:szCs w:val="24"/>
          <w:lang w:eastAsia="en-IN"/>
        </w:rPr>
        <w:t>, and the data collection and analysis decisions which include the use of secondary data and the mixed methods approach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Saunders et al 2016; Bryman and Bell 2015). Within the interpretivist paradigm, reliability is lower in comparison to the positivist paradigm due to the research being context-specific making it difficult to fully replicate should the same research be carried out at a future point in time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Bryman and Bell 2015; </w:t>
      </w:r>
      <w:proofErr w:type="spellStart"/>
      <w:r w:rsidRPr="00BE5F4F">
        <w:rPr>
          <w:rFonts w:ascii="Segoe UI" w:eastAsia="Times New Roman" w:hAnsi="Segoe UI" w:cs="Segoe UI"/>
          <w:color w:val="212529"/>
          <w:sz w:val="24"/>
          <w:szCs w:val="24"/>
          <w:lang w:eastAsia="en-IN"/>
        </w:rPr>
        <w:t>Neuman</w:t>
      </w:r>
      <w:proofErr w:type="spellEnd"/>
      <w:r w:rsidRPr="00BE5F4F">
        <w:rPr>
          <w:rFonts w:ascii="Segoe UI" w:eastAsia="Times New Roman" w:hAnsi="Segoe UI" w:cs="Segoe UI"/>
          <w:color w:val="212529"/>
          <w:sz w:val="24"/>
          <w:szCs w:val="24"/>
          <w:lang w:eastAsia="en-IN"/>
        </w:rPr>
        <w:t xml:space="preserve"> 2013). Validity, however, is often greater in the </w:t>
      </w:r>
      <w:proofErr w:type="spellStart"/>
      <w:r w:rsidRPr="00BE5F4F">
        <w:rPr>
          <w:rFonts w:ascii="Segoe UI" w:eastAsia="Times New Roman" w:hAnsi="Segoe UI" w:cs="Segoe UI"/>
          <w:color w:val="212529"/>
          <w:sz w:val="24"/>
          <w:szCs w:val="24"/>
          <w:lang w:eastAsia="en-IN"/>
        </w:rPr>
        <w:t>interpretivism</w:t>
      </w:r>
      <w:proofErr w:type="spellEnd"/>
      <w:r w:rsidRPr="00BE5F4F">
        <w:rPr>
          <w:rFonts w:ascii="Segoe UI" w:eastAsia="Times New Roman" w:hAnsi="Segoe UI" w:cs="Segoe UI"/>
          <w:color w:val="212529"/>
          <w:sz w:val="24"/>
          <w:szCs w:val="24"/>
          <w:lang w:eastAsia="en-IN"/>
        </w:rPr>
        <w:t>, in comparison to positivism, due to the research being context specific thus providing a richer source of data on areas such as different business approaches to the integration of sustainability and Circular Economy principles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Saunders et al 2016).</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 selection of the mixed methods approach also has an impact upon reliability and validity and this is dependent upon the type of data which is collected and analysed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w:t>
      </w:r>
      <w:proofErr w:type="spellStart"/>
      <w:r w:rsidRPr="00BE5F4F">
        <w:rPr>
          <w:rFonts w:ascii="Segoe UI" w:eastAsia="Times New Roman" w:hAnsi="Segoe UI" w:cs="Segoe UI"/>
          <w:color w:val="212529"/>
          <w:sz w:val="24"/>
          <w:szCs w:val="24"/>
          <w:lang w:eastAsia="en-IN"/>
        </w:rPr>
        <w:t>Neuman</w:t>
      </w:r>
      <w:proofErr w:type="spellEnd"/>
      <w:r w:rsidRPr="00BE5F4F">
        <w:rPr>
          <w:rFonts w:ascii="Segoe UI" w:eastAsia="Times New Roman" w:hAnsi="Segoe UI" w:cs="Segoe UI"/>
          <w:color w:val="212529"/>
          <w:sz w:val="24"/>
          <w:szCs w:val="24"/>
          <w:lang w:eastAsia="en-IN"/>
        </w:rPr>
        <w:t xml:space="preserve"> 2013). The issue of validity in greater in the collection and evaluation of qualitative data due to it being context-specific; whilst the use of quantitative data supports higher levels of validity as this data can be replicated in future research (Saunders et al 2016; Bryman and Bell 2015).</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3.8 Research ethics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Research ethics need to consider what is being researched and how the data is being collected and to ensure that this process does not create any harm for any of the research participants, including any those who may be providing primary data; the researcher and the university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Saunders et al 2016; Bryman and Bell 2015; </w:t>
      </w:r>
      <w:proofErr w:type="spellStart"/>
      <w:r w:rsidRPr="00BE5F4F">
        <w:rPr>
          <w:rFonts w:ascii="Segoe UI" w:eastAsia="Times New Roman" w:hAnsi="Segoe UI" w:cs="Segoe UI"/>
          <w:color w:val="212529"/>
          <w:sz w:val="24"/>
          <w:szCs w:val="24"/>
          <w:lang w:eastAsia="en-IN"/>
        </w:rPr>
        <w:t>Resnik</w:t>
      </w:r>
      <w:proofErr w:type="spellEnd"/>
      <w:r w:rsidRPr="00BE5F4F">
        <w:rPr>
          <w:rFonts w:ascii="Segoe UI" w:eastAsia="Times New Roman" w:hAnsi="Segoe UI" w:cs="Segoe UI"/>
          <w:color w:val="212529"/>
          <w:sz w:val="24"/>
          <w:szCs w:val="24"/>
          <w:lang w:eastAsia="en-IN"/>
        </w:rPr>
        <w:t xml:space="preserve"> 2015). Research ethics often follows an established code of conduct and includes the addressing of potential ethical concerns such as informed consent; data confidentiality and anonymity and the right of research participants to withdraw from the process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2018; </w:t>
      </w:r>
      <w:proofErr w:type="spellStart"/>
      <w:r w:rsidRPr="00BE5F4F">
        <w:rPr>
          <w:rFonts w:ascii="Segoe UI" w:eastAsia="Times New Roman" w:hAnsi="Segoe UI" w:cs="Segoe UI"/>
          <w:color w:val="212529"/>
          <w:sz w:val="24"/>
          <w:szCs w:val="24"/>
          <w:lang w:eastAsia="en-IN"/>
        </w:rPr>
        <w:t>Jankowicz</w:t>
      </w:r>
      <w:proofErr w:type="spellEnd"/>
      <w:r w:rsidRPr="00BE5F4F">
        <w:rPr>
          <w:rFonts w:ascii="Segoe UI" w:eastAsia="Times New Roman" w:hAnsi="Segoe UI" w:cs="Segoe UI"/>
          <w:color w:val="212529"/>
          <w:sz w:val="24"/>
          <w:szCs w:val="24"/>
          <w:lang w:eastAsia="en-IN"/>
        </w:rPr>
        <w:t xml:space="preserve"> 2005; Lee-</w:t>
      </w:r>
      <w:proofErr w:type="spellStart"/>
      <w:r w:rsidRPr="00BE5F4F">
        <w:rPr>
          <w:rFonts w:ascii="Segoe UI" w:eastAsia="Times New Roman" w:hAnsi="Segoe UI" w:cs="Segoe UI"/>
          <w:color w:val="212529"/>
          <w:sz w:val="24"/>
          <w:szCs w:val="24"/>
          <w:lang w:eastAsia="en-IN"/>
        </w:rPr>
        <w:t>Treweek</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Linkogle</w:t>
      </w:r>
      <w:proofErr w:type="spellEnd"/>
      <w:r w:rsidRPr="00BE5F4F">
        <w:rPr>
          <w:rFonts w:ascii="Segoe UI" w:eastAsia="Times New Roman" w:hAnsi="Segoe UI" w:cs="Segoe UI"/>
          <w:color w:val="212529"/>
          <w:sz w:val="24"/>
          <w:szCs w:val="24"/>
          <w:lang w:eastAsia="en-IN"/>
        </w:rPr>
        <w:t xml:space="preserve"> 2000).  Whilst these ethical issues are particularly important in the collection and analysis of primary data, there is also a need to evaluate these in the collection and analysis of secondary data which </w:t>
      </w:r>
      <w:proofErr w:type="gramStart"/>
      <w:r w:rsidRPr="00BE5F4F">
        <w:rPr>
          <w:rFonts w:ascii="Segoe UI" w:eastAsia="Times New Roman" w:hAnsi="Segoe UI" w:cs="Segoe UI"/>
          <w:color w:val="212529"/>
          <w:sz w:val="24"/>
          <w:szCs w:val="24"/>
          <w:lang w:eastAsia="en-IN"/>
        </w:rPr>
        <w:t xml:space="preserve">has been </w:t>
      </w:r>
      <w:r w:rsidRPr="00BE5F4F">
        <w:rPr>
          <w:rFonts w:ascii="Segoe UI" w:eastAsia="Times New Roman" w:hAnsi="Segoe UI" w:cs="Segoe UI"/>
          <w:color w:val="212529"/>
          <w:sz w:val="24"/>
          <w:szCs w:val="24"/>
          <w:lang w:eastAsia="en-IN"/>
        </w:rPr>
        <w:lastRenderedPageBreak/>
        <w:t>undertaken</w:t>
      </w:r>
      <w:proofErr w:type="gramEnd"/>
      <w:r w:rsidRPr="00BE5F4F">
        <w:rPr>
          <w:rFonts w:ascii="Segoe UI" w:eastAsia="Times New Roman" w:hAnsi="Segoe UI" w:cs="Segoe UI"/>
          <w:color w:val="212529"/>
          <w:sz w:val="24"/>
          <w:szCs w:val="24"/>
          <w:lang w:eastAsia="en-IN"/>
        </w:rPr>
        <w:t xml:space="preserve"> for this piece of research (Saunders et al 2016; Bryman and Bell 2015). It is therefore incumbent upon the researcher to ensure that the secondary data collected and analysed for this piece of research </w:t>
      </w:r>
      <w:proofErr w:type="gramStart"/>
      <w:r w:rsidRPr="00BE5F4F">
        <w:rPr>
          <w:rFonts w:ascii="Segoe UI" w:eastAsia="Times New Roman" w:hAnsi="Segoe UI" w:cs="Segoe UI"/>
          <w:color w:val="212529"/>
          <w:sz w:val="24"/>
          <w:szCs w:val="24"/>
          <w:lang w:eastAsia="en-IN"/>
        </w:rPr>
        <w:t>is presented</w:t>
      </w:r>
      <w:proofErr w:type="gramEnd"/>
      <w:r w:rsidRPr="00BE5F4F">
        <w:rPr>
          <w:rFonts w:ascii="Segoe UI" w:eastAsia="Times New Roman" w:hAnsi="Segoe UI" w:cs="Segoe UI"/>
          <w:color w:val="212529"/>
          <w:sz w:val="24"/>
          <w:szCs w:val="24"/>
          <w:lang w:eastAsia="en-IN"/>
        </w:rPr>
        <w:t xml:space="preserve"> in an accurate and fair manner and also includes the original source of this data in the reference list. In addition, the original secondary data </w:t>
      </w:r>
      <w:proofErr w:type="gramStart"/>
      <w:r w:rsidRPr="00BE5F4F">
        <w:rPr>
          <w:rFonts w:ascii="Segoe UI" w:eastAsia="Times New Roman" w:hAnsi="Segoe UI" w:cs="Segoe UI"/>
          <w:color w:val="212529"/>
          <w:sz w:val="24"/>
          <w:szCs w:val="24"/>
          <w:lang w:eastAsia="en-IN"/>
        </w:rPr>
        <w:t>can also be provided</w:t>
      </w:r>
      <w:proofErr w:type="gramEnd"/>
      <w:r w:rsidRPr="00BE5F4F">
        <w:rPr>
          <w:rFonts w:ascii="Segoe UI" w:eastAsia="Times New Roman" w:hAnsi="Segoe UI" w:cs="Segoe UI"/>
          <w:color w:val="212529"/>
          <w:sz w:val="24"/>
          <w:szCs w:val="24"/>
          <w:lang w:eastAsia="en-IN"/>
        </w:rPr>
        <w:t xml:space="preserve"> in the appendices to support further verification, if required (Collis and Hussey 2014).</w:t>
      </w:r>
    </w:p>
    <w:p w:rsidR="00BE5F4F" w:rsidRPr="00BE5F4F" w:rsidRDefault="00BE5F4F" w:rsidP="00BE5F4F">
      <w:pPr>
        <w:shd w:val="clear" w:color="auto" w:fill="FFFFFF"/>
        <w:spacing w:after="144" w:line="240" w:lineRule="auto"/>
        <w:outlineLvl w:val="1"/>
        <w:rPr>
          <w:rFonts w:ascii="Segoe UI" w:eastAsia="Times New Roman" w:hAnsi="Segoe UI" w:cs="Segoe UI"/>
          <w:color w:val="071D37"/>
          <w:sz w:val="36"/>
          <w:szCs w:val="36"/>
          <w:lang w:eastAsia="en-IN"/>
        </w:rPr>
      </w:pPr>
      <w:r w:rsidRPr="00BE5F4F">
        <w:rPr>
          <w:rFonts w:ascii="Segoe UI" w:eastAsia="Times New Roman" w:hAnsi="Segoe UI" w:cs="Segoe UI"/>
          <w:color w:val="071D37"/>
          <w:sz w:val="36"/>
          <w:szCs w:val="36"/>
          <w:lang w:eastAsia="en-IN"/>
        </w:rPr>
        <w:t>Chapter 4: Results and Findings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literature review for the results and findings chapter </w:t>
      </w:r>
      <w:proofErr w:type="gramStart"/>
      <w:r w:rsidRPr="00BE5F4F">
        <w:rPr>
          <w:rFonts w:ascii="Segoe UI" w:eastAsia="Times New Roman" w:hAnsi="Segoe UI" w:cs="Segoe UI"/>
          <w:color w:val="212529"/>
          <w:sz w:val="24"/>
          <w:szCs w:val="24"/>
          <w:lang w:eastAsia="en-IN"/>
        </w:rPr>
        <w:t>was based</w:t>
      </w:r>
      <w:proofErr w:type="gramEnd"/>
      <w:r w:rsidRPr="00BE5F4F">
        <w:rPr>
          <w:rFonts w:ascii="Segoe UI" w:eastAsia="Times New Roman" w:hAnsi="Segoe UI" w:cs="Segoe UI"/>
          <w:color w:val="212529"/>
          <w:sz w:val="24"/>
          <w:szCs w:val="24"/>
          <w:lang w:eastAsia="en-IN"/>
        </w:rPr>
        <w:t xml:space="preserve"> upon the following key search terms: ‘Circular Economy’; ‘Sustainability’ and ‘Circular Economy and Sustainability’. Due to the longevity of sustainability and its broader approach, the majority of articles were related to the issue of sustainability, followed by circular economy and the lowest number related to articles which included both ‘circular economy and sustainability’. However, there is also evidence that there is a growing number of articles on the Circular Economy as this process is being increasing supported by national governments and </w:t>
      </w:r>
      <w:proofErr w:type="gramStart"/>
      <w:r w:rsidRPr="00BE5F4F">
        <w:rPr>
          <w:rFonts w:ascii="Segoe UI" w:eastAsia="Times New Roman" w:hAnsi="Segoe UI" w:cs="Segoe UI"/>
          <w:color w:val="212529"/>
          <w:sz w:val="24"/>
          <w:szCs w:val="24"/>
          <w:lang w:eastAsia="en-IN"/>
        </w:rPr>
        <w:t>being implemented</w:t>
      </w:r>
      <w:proofErr w:type="gramEnd"/>
      <w:r w:rsidRPr="00BE5F4F">
        <w:rPr>
          <w:rFonts w:ascii="Segoe UI" w:eastAsia="Times New Roman" w:hAnsi="Segoe UI" w:cs="Segoe UI"/>
          <w:color w:val="212529"/>
          <w:sz w:val="24"/>
          <w:szCs w:val="24"/>
          <w:lang w:eastAsia="en-IN"/>
        </w:rPr>
        <w:t xml:space="preserve"> by large businesses such as Google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Ellen MacArthur Foundation 2017a; Pauli 2017).  This increase in the number of articles may also relate to the increased level of interest in the Circular Economy as a potential solution or approach to implement higher levels of sustainability within an organisation which thus requires an increased level of understanding as regards its concept and application.</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4.1 Objective 1: To examine the similarities and differences between sustainability and the Circular Economy.</w:t>
      </w:r>
    </w:p>
    <w:p w:rsidR="00BE5F4F" w:rsidRPr="00BE5F4F" w:rsidRDefault="00BE5F4F" w:rsidP="00BE5F4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BE5F4F">
        <w:rPr>
          <w:rFonts w:ascii="Segoe UI" w:eastAsia="Times New Roman" w:hAnsi="Segoe UI" w:cs="Segoe UI"/>
          <w:color w:val="212529"/>
          <w:sz w:val="26"/>
          <w:szCs w:val="26"/>
          <w:lang w:eastAsia="en-IN"/>
        </w:rPr>
        <w:t>4.1.1 Similarities between Sustainability and the Circular Economy</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This objective undertook a literature review of academic sources to evaluate a number of similarities between the concepts of sustainability and the Circular Economy.</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 similarities between Sustainability and the Circular Economy include the following:</w:t>
      </w:r>
    </w:p>
    <w:p w:rsidR="00BE5F4F" w:rsidRPr="00BE5F4F" w:rsidRDefault="00BE5F4F" w:rsidP="00BE5F4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Both concepts include the need to address intra and intergenerational commitments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George et al 2016).</w:t>
      </w:r>
    </w:p>
    <w:p w:rsidR="00BE5F4F" w:rsidRPr="00BE5F4F" w:rsidRDefault="00BE5F4F" w:rsidP="00BE5F4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Both concepts include integrating non-economic aspects such as the environment and society (United Nations Sustainable Development Goas 2019; Lewis and Maslin 2018).</w:t>
      </w:r>
    </w:p>
    <w:p w:rsidR="00BE5F4F" w:rsidRPr="00BE5F4F" w:rsidRDefault="00BE5F4F" w:rsidP="00BE5F4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Both concepts undertake an approach which has a global focus such as the Paris Agreement and a national focus (United Nations Climate Change 2019; </w:t>
      </w:r>
      <w:proofErr w:type="spellStart"/>
      <w:r w:rsidRPr="00BE5F4F">
        <w:rPr>
          <w:rFonts w:ascii="Segoe UI" w:eastAsia="Times New Roman" w:hAnsi="Segoe UI" w:cs="Segoe UI"/>
          <w:color w:val="212529"/>
          <w:sz w:val="24"/>
          <w:szCs w:val="24"/>
          <w:lang w:eastAsia="en-IN"/>
        </w:rPr>
        <w:t>Blowfiedl</w:t>
      </w:r>
      <w:proofErr w:type="spellEnd"/>
      <w:r w:rsidRPr="00BE5F4F">
        <w:rPr>
          <w:rFonts w:ascii="Segoe UI" w:eastAsia="Times New Roman" w:hAnsi="Segoe UI" w:cs="Segoe UI"/>
          <w:color w:val="212529"/>
          <w:sz w:val="24"/>
          <w:szCs w:val="24"/>
          <w:lang w:eastAsia="en-IN"/>
        </w:rPr>
        <w:t xml:space="preserve"> and Murray 2014).</w:t>
      </w:r>
    </w:p>
    <w:p w:rsidR="00BE5F4F" w:rsidRPr="00BE5F4F" w:rsidRDefault="00BE5F4F" w:rsidP="00BE5F4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lastRenderedPageBreak/>
        <w:t xml:space="preserve">Both concepts include the need to undertake a systems-led approach to develop and implement changes in processes and to innovate (Pauli 2017; Moreno et al 2016 </w:t>
      </w:r>
      <w:proofErr w:type="spellStart"/>
      <w:r w:rsidRPr="00BE5F4F">
        <w:rPr>
          <w:rFonts w:ascii="Segoe UI" w:eastAsia="Times New Roman" w:hAnsi="Segoe UI" w:cs="Segoe UI"/>
          <w:color w:val="212529"/>
          <w:sz w:val="24"/>
          <w:szCs w:val="24"/>
          <w:lang w:eastAsia="en-IN"/>
        </w:rPr>
        <w:t>Braungart</w:t>
      </w:r>
      <w:proofErr w:type="spellEnd"/>
      <w:r w:rsidRPr="00BE5F4F">
        <w:rPr>
          <w:rFonts w:ascii="Segoe UI" w:eastAsia="Times New Roman" w:hAnsi="Segoe UI" w:cs="Segoe UI"/>
          <w:color w:val="212529"/>
          <w:sz w:val="24"/>
          <w:szCs w:val="24"/>
          <w:lang w:eastAsia="en-IN"/>
        </w:rPr>
        <w:t xml:space="preserve"> and McDonough 2009).</w:t>
      </w:r>
    </w:p>
    <w:p w:rsidR="00BE5F4F" w:rsidRPr="00BE5F4F" w:rsidRDefault="00BE5F4F" w:rsidP="00BE5F4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Both concepts have arisen from a multi-disciplinary research including environmental studies; entrepreneurship; operations management; business; social policy and other areas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w:t>
      </w:r>
      <w:proofErr w:type="spellStart"/>
      <w:r w:rsidRPr="00BE5F4F">
        <w:rPr>
          <w:rFonts w:ascii="Segoe UI" w:eastAsia="Times New Roman" w:hAnsi="Segoe UI" w:cs="Segoe UI"/>
          <w:color w:val="212529"/>
          <w:sz w:val="24"/>
          <w:szCs w:val="24"/>
          <w:lang w:eastAsia="en-IN"/>
        </w:rPr>
        <w:t>Beder</w:t>
      </w:r>
      <w:proofErr w:type="spellEnd"/>
      <w:r w:rsidRPr="00BE5F4F">
        <w:rPr>
          <w:rFonts w:ascii="Segoe UI" w:eastAsia="Times New Roman" w:hAnsi="Segoe UI" w:cs="Segoe UI"/>
          <w:color w:val="212529"/>
          <w:sz w:val="24"/>
          <w:szCs w:val="24"/>
          <w:lang w:eastAsia="en-IN"/>
        </w:rPr>
        <w:t xml:space="preserve"> 2006). </w:t>
      </w:r>
    </w:p>
    <w:p w:rsidR="00BE5F4F" w:rsidRPr="00BE5F4F" w:rsidRDefault="00BE5F4F" w:rsidP="00BE5F4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Both concepts include the issues of risk and potential cost which include both the potential threat of not undertaking any activity in this area and the opportunity of undertaking activity in this area (Pauli 2017; Moreno et al 2016). These concepts also include diversification in areas such as material and resource use and the value creation and capture which </w:t>
      </w:r>
      <w:proofErr w:type="gramStart"/>
      <w:r w:rsidRPr="00BE5F4F">
        <w:rPr>
          <w:rFonts w:ascii="Segoe UI" w:eastAsia="Times New Roman" w:hAnsi="Segoe UI" w:cs="Segoe UI"/>
          <w:color w:val="212529"/>
          <w:sz w:val="24"/>
          <w:szCs w:val="24"/>
          <w:lang w:eastAsia="en-IN"/>
        </w:rPr>
        <w:t>may be produced</w:t>
      </w:r>
      <w:proofErr w:type="gramEnd"/>
      <w:r w:rsidRPr="00BE5F4F">
        <w:rPr>
          <w:rFonts w:ascii="Segoe UI" w:eastAsia="Times New Roman" w:hAnsi="Segoe UI" w:cs="Segoe UI"/>
          <w:color w:val="212529"/>
          <w:sz w:val="24"/>
          <w:szCs w:val="24"/>
          <w:lang w:eastAsia="en-IN"/>
        </w:rPr>
        <w:t xml:space="preserve"> by this to create competitive advantage (Johnson et al 2018; Crane and Matten 2016). </w:t>
      </w:r>
    </w:p>
    <w:p w:rsidR="00BE5F4F" w:rsidRPr="00BE5F4F" w:rsidRDefault="00BE5F4F" w:rsidP="00BE5F4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Both concepts stress the importance of stakeholder collaboration and co-operation to both support the level of knowledge and address uncertainty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This stakeholder collaboration includes policy-makers; members of the scientific community; business stakeholders and societal stakeholders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Crane and Matten 2016).</w:t>
      </w:r>
    </w:p>
    <w:p w:rsidR="00BE5F4F" w:rsidRPr="00BE5F4F" w:rsidRDefault="00BE5F4F" w:rsidP="00BE5F4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Both concepts include the role of regulation and incentives as being fundamental implementation tools (Lewis and Maslin 2018; Crane and Matten 2016). Examples of these includes the UK legislation regarding single use plastic waste which has seen a tax on single use carrier bags to reduce the level of waste created by these (Gov.UK 2018).</w:t>
      </w:r>
    </w:p>
    <w:p w:rsidR="00BE5F4F" w:rsidRPr="00BE5F4F" w:rsidRDefault="00BE5F4F" w:rsidP="00BE5F4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Both concepts </w:t>
      </w:r>
      <w:proofErr w:type="gramStart"/>
      <w:r w:rsidRPr="00BE5F4F">
        <w:rPr>
          <w:rFonts w:ascii="Segoe UI" w:eastAsia="Times New Roman" w:hAnsi="Segoe UI" w:cs="Segoe UI"/>
          <w:color w:val="212529"/>
          <w:sz w:val="24"/>
          <w:szCs w:val="24"/>
          <w:lang w:eastAsia="en-IN"/>
        </w:rPr>
        <w:t>are presented</w:t>
      </w:r>
      <w:proofErr w:type="gramEnd"/>
      <w:r w:rsidRPr="00BE5F4F">
        <w:rPr>
          <w:rFonts w:ascii="Segoe UI" w:eastAsia="Times New Roman" w:hAnsi="Segoe UI" w:cs="Segoe UI"/>
          <w:color w:val="212529"/>
          <w:sz w:val="24"/>
          <w:szCs w:val="24"/>
          <w:lang w:eastAsia="en-IN"/>
        </w:rPr>
        <w:t xml:space="preserve"> as being the central role of private sector businesses due to the level of control and use of resources and capabilities (Crane and Matten 2016). However, the issue of stakeholder collaboration also infers that public sector organisations also need to be part of this drive towards increased implementation of sustainability and the Circular Economy.</w:t>
      </w:r>
    </w:p>
    <w:p w:rsidR="00BE5F4F" w:rsidRPr="00BE5F4F" w:rsidRDefault="00BE5F4F" w:rsidP="00BE5F4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Both concepts present the issue of business model innovation as the key driver for transformation of industry process. This process of innovation will include the need to undertake complex problem-solving (Proctor 2014); innovation (</w:t>
      </w:r>
      <w:proofErr w:type="spellStart"/>
      <w:r w:rsidRPr="00BE5F4F">
        <w:rPr>
          <w:rFonts w:ascii="Segoe UI" w:eastAsia="Times New Roman" w:hAnsi="Segoe UI" w:cs="Segoe UI"/>
          <w:color w:val="212529"/>
          <w:sz w:val="24"/>
          <w:szCs w:val="24"/>
          <w:lang w:eastAsia="en-IN"/>
        </w:rPr>
        <w:t>Trott</w:t>
      </w:r>
      <w:proofErr w:type="spellEnd"/>
      <w:r w:rsidRPr="00BE5F4F">
        <w:rPr>
          <w:rFonts w:ascii="Segoe UI" w:eastAsia="Times New Roman" w:hAnsi="Segoe UI" w:cs="Segoe UI"/>
          <w:color w:val="212529"/>
          <w:sz w:val="24"/>
          <w:szCs w:val="24"/>
          <w:lang w:eastAsia="en-IN"/>
        </w:rPr>
        <w:t xml:space="preserve"> 2017) and the development of new business models (</w:t>
      </w:r>
      <w:proofErr w:type="spellStart"/>
      <w:r w:rsidRPr="00BE5F4F">
        <w:rPr>
          <w:rFonts w:ascii="Segoe UI" w:eastAsia="Times New Roman" w:hAnsi="Segoe UI" w:cs="Segoe UI"/>
          <w:color w:val="212529"/>
          <w:sz w:val="24"/>
          <w:szCs w:val="24"/>
          <w:lang w:eastAsia="en-IN"/>
        </w:rPr>
        <w:t>Osterwalder</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Pigneur</w:t>
      </w:r>
      <w:proofErr w:type="spellEnd"/>
      <w:r w:rsidRPr="00BE5F4F">
        <w:rPr>
          <w:rFonts w:ascii="Segoe UI" w:eastAsia="Times New Roman" w:hAnsi="Segoe UI" w:cs="Segoe UI"/>
          <w:color w:val="212529"/>
          <w:sz w:val="24"/>
          <w:szCs w:val="24"/>
          <w:lang w:eastAsia="en-IN"/>
        </w:rPr>
        <w:t xml:space="preserve"> 2010; </w:t>
      </w:r>
      <w:proofErr w:type="spellStart"/>
      <w:r w:rsidRPr="00BE5F4F">
        <w:rPr>
          <w:rFonts w:ascii="Segoe UI" w:eastAsia="Times New Roman" w:hAnsi="Segoe UI" w:cs="Segoe UI"/>
          <w:color w:val="212529"/>
          <w:sz w:val="24"/>
          <w:szCs w:val="24"/>
          <w:lang w:eastAsia="en-IN"/>
        </w:rPr>
        <w:t>Teece</w:t>
      </w:r>
      <w:proofErr w:type="spellEnd"/>
      <w:r w:rsidRPr="00BE5F4F">
        <w:rPr>
          <w:rFonts w:ascii="Segoe UI" w:eastAsia="Times New Roman" w:hAnsi="Segoe UI" w:cs="Segoe UI"/>
          <w:color w:val="212529"/>
          <w:sz w:val="24"/>
          <w:szCs w:val="24"/>
          <w:lang w:eastAsia="en-IN"/>
        </w:rPr>
        <w:t xml:space="preserve"> 2010). The issue of business model innovation will also draw from business research into entrepreneurship and business models supporting a multi-disciplinary approach to the concepts of sustainability and the Circular Economy (Lewis and Maslin 2018; Pauli 2017;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w:t>
      </w:r>
    </w:p>
    <w:p w:rsidR="00BE5F4F" w:rsidRPr="00BE5F4F" w:rsidRDefault="00BE5F4F" w:rsidP="00BE5F4F">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Both concepts agree that technological solutions are important but that these also present implementation problems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For example, complex human activities such as those undertaken in logistics are difficult to replicate based on the current level of technology (</w:t>
      </w:r>
      <w:proofErr w:type="spellStart"/>
      <w:r w:rsidRPr="00BE5F4F">
        <w:rPr>
          <w:rFonts w:ascii="Segoe UI" w:eastAsia="Times New Roman" w:hAnsi="Segoe UI" w:cs="Segoe UI"/>
          <w:color w:val="212529"/>
          <w:sz w:val="24"/>
          <w:szCs w:val="24"/>
          <w:lang w:eastAsia="en-IN"/>
        </w:rPr>
        <w:t>Cosimato</w:t>
      </w:r>
      <w:proofErr w:type="spellEnd"/>
      <w:r w:rsidRPr="00BE5F4F">
        <w:rPr>
          <w:rFonts w:ascii="Segoe UI" w:eastAsia="Times New Roman" w:hAnsi="Segoe UI" w:cs="Segoe UI"/>
          <w:color w:val="212529"/>
          <w:sz w:val="24"/>
          <w:szCs w:val="24"/>
          <w:lang w:eastAsia="en-IN"/>
        </w:rPr>
        <w:t xml:space="preserve"> and </w:t>
      </w:r>
      <w:proofErr w:type="spellStart"/>
      <w:r w:rsidRPr="00BE5F4F">
        <w:rPr>
          <w:rFonts w:ascii="Segoe UI" w:eastAsia="Times New Roman" w:hAnsi="Segoe UI" w:cs="Segoe UI"/>
          <w:color w:val="212529"/>
          <w:sz w:val="24"/>
          <w:szCs w:val="24"/>
          <w:lang w:eastAsia="en-IN"/>
        </w:rPr>
        <w:t>Troisi</w:t>
      </w:r>
      <w:proofErr w:type="spellEnd"/>
      <w:r w:rsidRPr="00BE5F4F">
        <w:rPr>
          <w:rFonts w:ascii="Segoe UI" w:eastAsia="Times New Roman" w:hAnsi="Segoe UI" w:cs="Segoe UI"/>
          <w:color w:val="212529"/>
          <w:sz w:val="24"/>
          <w:szCs w:val="24"/>
          <w:lang w:eastAsia="en-IN"/>
        </w:rPr>
        <w:t xml:space="preserve"> 2015). Furthermore, the materials required for technology may also create harm for </w:t>
      </w:r>
      <w:r w:rsidRPr="00BE5F4F">
        <w:rPr>
          <w:rFonts w:ascii="Segoe UI" w:eastAsia="Times New Roman" w:hAnsi="Segoe UI" w:cs="Segoe UI"/>
          <w:color w:val="212529"/>
          <w:sz w:val="24"/>
          <w:szCs w:val="24"/>
          <w:lang w:eastAsia="en-IN"/>
        </w:rPr>
        <w:lastRenderedPageBreak/>
        <w:t>both the environment and for societal stakeholders due to the issue of mining and the exploitation of workers in developing countries to acquire these minerals (</w:t>
      </w:r>
      <w:proofErr w:type="spellStart"/>
      <w:r w:rsidRPr="00BE5F4F">
        <w:rPr>
          <w:rFonts w:ascii="Segoe UI" w:eastAsia="Times New Roman" w:hAnsi="Segoe UI" w:cs="Segoe UI"/>
          <w:color w:val="212529"/>
          <w:sz w:val="24"/>
          <w:szCs w:val="24"/>
          <w:lang w:eastAsia="en-IN"/>
        </w:rPr>
        <w:t>Blowfield</w:t>
      </w:r>
      <w:proofErr w:type="spellEnd"/>
      <w:r w:rsidRPr="00BE5F4F">
        <w:rPr>
          <w:rFonts w:ascii="Segoe UI" w:eastAsia="Times New Roman" w:hAnsi="Segoe UI" w:cs="Segoe UI"/>
          <w:color w:val="212529"/>
          <w:sz w:val="24"/>
          <w:szCs w:val="24"/>
          <w:lang w:eastAsia="en-IN"/>
        </w:rPr>
        <w:t xml:space="preserve"> and Murray 2014). </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secondary data also indicated that there was also a time lag between expected activities to address increased levels of sustainability and the Circular Economy and the actual level of activities. One of the global initiatives which </w:t>
      </w:r>
      <w:proofErr w:type="gramStart"/>
      <w:r w:rsidRPr="00BE5F4F">
        <w:rPr>
          <w:rFonts w:ascii="Segoe UI" w:eastAsia="Times New Roman" w:hAnsi="Segoe UI" w:cs="Segoe UI"/>
          <w:color w:val="212529"/>
          <w:sz w:val="24"/>
          <w:szCs w:val="24"/>
          <w:lang w:eastAsia="en-IN"/>
        </w:rPr>
        <w:t>has been implemented</w:t>
      </w:r>
      <w:proofErr w:type="gramEnd"/>
      <w:r w:rsidRPr="00BE5F4F">
        <w:rPr>
          <w:rFonts w:ascii="Segoe UI" w:eastAsia="Times New Roman" w:hAnsi="Segoe UI" w:cs="Segoe UI"/>
          <w:color w:val="212529"/>
          <w:sz w:val="24"/>
          <w:szCs w:val="24"/>
          <w:lang w:eastAsia="en-IN"/>
        </w:rPr>
        <w:t xml:space="preserve"> to encourage the increased level of sustainable practices in businesses is the United Nations Sustainable Development Goals [SDGs] which provide a number of targets for businesses to take on board and work towards (United Nations SDG 2019). These have seen organisations adopt targets which are important and specific to the organisation and to be able to undertake and report on the organisational performance on these areas (United Nations SDG 2019; </w:t>
      </w:r>
      <w:proofErr w:type="spellStart"/>
      <w:r w:rsidRPr="00BE5F4F">
        <w:rPr>
          <w:rFonts w:ascii="Segoe UI" w:eastAsia="Times New Roman" w:hAnsi="Segoe UI" w:cs="Segoe UI"/>
          <w:color w:val="212529"/>
          <w:sz w:val="24"/>
          <w:szCs w:val="24"/>
          <w:lang w:eastAsia="en-IN"/>
        </w:rPr>
        <w:t>Blowfield</w:t>
      </w:r>
      <w:proofErr w:type="spellEnd"/>
      <w:r w:rsidRPr="00BE5F4F">
        <w:rPr>
          <w:rFonts w:ascii="Segoe UI" w:eastAsia="Times New Roman" w:hAnsi="Segoe UI" w:cs="Segoe UI"/>
          <w:color w:val="212529"/>
          <w:sz w:val="24"/>
          <w:szCs w:val="24"/>
          <w:lang w:eastAsia="en-IN"/>
        </w:rPr>
        <w:t xml:space="preserve"> and Murray 2014). An example of an organisation undertaking the SDGs is Unilever which has set itself a </w:t>
      </w:r>
      <w:proofErr w:type="spellStart"/>
      <w:r w:rsidRPr="00BE5F4F">
        <w:rPr>
          <w:rFonts w:ascii="Segoe UI" w:eastAsia="Times New Roman" w:hAnsi="Segoe UI" w:cs="Segoe UI"/>
          <w:color w:val="212529"/>
          <w:sz w:val="24"/>
          <w:szCs w:val="24"/>
          <w:lang w:eastAsia="en-IN"/>
        </w:rPr>
        <w:t>a</w:t>
      </w:r>
      <w:proofErr w:type="spellEnd"/>
      <w:r w:rsidRPr="00BE5F4F">
        <w:rPr>
          <w:rFonts w:ascii="Segoe UI" w:eastAsia="Times New Roman" w:hAnsi="Segoe UI" w:cs="Segoe UI"/>
          <w:color w:val="212529"/>
          <w:sz w:val="24"/>
          <w:szCs w:val="24"/>
          <w:lang w:eastAsia="en-IN"/>
        </w:rPr>
        <w:t xml:space="preserve"> target of improving the health and well-being of 1 billion people by 2020 through a range of initiatives including education on hygiene and providing its products in underserved markets (Unilever 2019).</w:t>
      </w:r>
    </w:p>
    <w:p w:rsidR="00BE5F4F" w:rsidRPr="00BE5F4F" w:rsidRDefault="00BE5F4F" w:rsidP="00BE5F4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BE5F4F">
        <w:rPr>
          <w:rFonts w:ascii="Segoe UI" w:eastAsia="Times New Roman" w:hAnsi="Segoe UI" w:cs="Segoe UI"/>
          <w:color w:val="212529"/>
          <w:sz w:val="26"/>
          <w:szCs w:val="26"/>
          <w:lang w:eastAsia="en-IN"/>
        </w:rPr>
        <w:t>4.1.2 Differences between sustainability and the Circular Economy</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differences between sustainability and the Circular Economy can be based upon a range of issues including the different held perspectives such as a focus on the environment; the goals and motivations of the stakeholder; the priorities of the business; the benefits to stakeholders; the timeframes and the acceptance of responsibilities (figure </w:t>
      </w:r>
      <w:proofErr w:type="spellStart"/>
      <w:r w:rsidRPr="00BE5F4F">
        <w:rPr>
          <w:rFonts w:ascii="Segoe UI" w:eastAsia="Times New Roman" w:hAnsi="Segoe UI" w:cs="Segoe UI"/>
          <w:color w:val="212529"/>
          <w:sz w:val="24"/>
          <w:szCs w:val="24"/>
          <w:lang w:eastAsia="en-IN"/>
        </w:rPr>
        <w:t>i</w:t>
      </w:r>
      <w:proofErr w:type="spellEnd"/>
      <w:r w:rsidRPr="00BE5F4F">
        <w:rPr>
          <w:rFonts w:ascii="Segoe UI" w:eastAsia="Times New Roman" w:hAnsi="Segoe UI" w:cs="Segoe UI"/>
          <w:color w:val="212529"/>
          <w:sz w:val="24"/>
          <w:szCs w:val="24"/>
          <w:lang w:eastAsia="en-IN"/>
        </w:rPr>
        <w:t xml:space="preserve">) (Lewis and Maslin 2018;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i/>
          <w:iCs/>
          <w:color w:val="212529"/>
          <w:sz w:val="24"/>
          <w:szCs w:val="24"/>
          <w:lang w:eastAsia="en-IN"/>
        </w:rPr>
        <w:t xml:space="preserve">Figure </w:t>
      </w:r>
      <w:proofErr w:type="spellStart"/>
      <w:r w:rsidRPr="00BE5F4F">
        <w:rPr>
          <w:rFonts w:ascii="Segoe UI" w:eastAsia="Times New Roman" w:hAnsi="Segoe UI" w:cs="Segoe UI"/>
          <w:i/>
          <w:iCs/>
          <w:color w:val="212529"/>
          <w:sz w:val="24"/>
          <w:szCs w:val="24"/>
          <w:lang w:eastAsia="en-IN"/>
        </w:rPr>
        <w:t>i</w:t>
      </w:r>
      <w:proofErr w:type="spellEnd"/>
      <w:r w:rsidRPr="00BE5F4F">
        <w:rPr>
          <w:rFonts w:ascii="Segoe UI" w:eastAsia="Times New Roman" w:hAnsi="Segoe UI" w:cs="Segoe UI"/>
          <w:i/>
          <w:iCs/>
          <w:color w:val="212529"/>
          <w:sz w:val="24"/>
          <w:szCs w:val="24"/>
          <w:lang w:eastAsia="en-IN"/>
        </w:rPr>
        <w:t xml:space="preserve">) </w:t>
      </w:r>
      <w:proofErr w:type="gramStart"/>
      <w:r w:rsidRPr="00BE5F4F">
        <w:rPr>
          <w:rFonts w:ascii="Segoe UI" w:eastAsia="Times New Roman" w:hAnsi="Segoe UI" w:cs="Segoe UI"/>
          <w:i/>
          <w:iCs/>
          <w:color w:val="212529"/>
          <w:sz w:val="24"/>
          <w:szCs w:val="24"/>
          <w:lang w:eastAsia="en-IN"/>
        </w:rPr>
        <w:t>Selected</w:t>
      </w:r>
      <w:proofErr w:type="gramEnd"/>
      <w:r w:rsidRPr="00BE5F4F">
        <w:rPr>
          <w:rFonts w:ascii="Segoe UI" w:eastAsia="Times New Roman" w:hAnsi="Segoe UI" w:cs="Segoe UI"/>
          <w:i/>
          <w:iCs/>
          <w:color w:val="212529"/>
          <w:sz w:val="24"/>
          <w:szCs w:val="24"/>
          <w:lang w:eastAsia="en-IN"/>
        </w:rPr>
        <w:t xml:space="preserve"> differences between Sustainability and the Circular Economy</w:t>
      </w:r>
      <w:r w:rsidRPr="00BE5F4F">
        <w:rPr>
          <w:rFonts w:ascii="Segoe UI" w:eastAsia="Times New Roman" w:hAnsi="Segoe UI" w:cs="Segoe UI"/>
          <w:color w:val="212529"/>
          <w:sz w:val="24"/>
          <w:szCs w:val="24"/>
          <w:lang w:eastAsia="en-IN"/>
        </w:rPr>
        <w:t xml:space="preserve"> (adapted from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w:t>
      </w:r>
    </w:p>
    <w:tbl>
      <w:tblPr>
        <w:tblW w:w="10950"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2716"/>
        <w:gridCol w:w="3908"/>
        <w:gridCol w:w="4326"/>
      </w:tblGrid>
      <w:tr w:rsidR="00BE5F4F" w:rsidRPr="00BE5F4F" w:rsidTr="00BE5F4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0" w:line="240" w:lineRule="auto"/>
              <w:rPr>
                <w:rFonts w:ascii="Segoe UI" w:eastAsia="Times New Roman" w:hAnsi="Segoe UI" w:cs="Segoe UI"/>
                <w:color w:val="212529"/>
                <w:sz w:val="24"/>
                <w:szCs w:val="24"/>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i/>
                <w:iCs/>
                <w:color w:val="212529"/>
                <w:sz w:val="24"/>
                <w:szCs w:val="24"/>
                <w:lang w:eastAsia="en-IN"/>
              </w:rPr>
              <w:t>Sustainability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i/>
                <w:iCs/>
                <w:color w:val="212529"/>
                <w:sz w:val="24"/>
                <w:szCs w:val="24"/>
                <w:lang w:eastAsia="en-IN"/>
              </w:rPr>
              <w:t>Circular Economy</w:t>
            </w:r>
          </w:p>
        </w:tc>
      </w:tr>
      <w:tr w:rsidR="00BE5F4F" w:rsidRPr="00BE5F4F" w:rsidTr="00BE5F4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i/>
                <w:iCs/>
                <w:color w:val="212529"/>
                <w:sz w:val="24"/>
                <w:szCs w:val="24"/>
                <w:lang w:eastAsia="en-IN"/>
              </w:rPr>
              <w:t>Origins of the term</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Environmental perspective; government and non-government organisations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Different schools of thought including cradle-to-cradle; political agendas; regulations (Dobson 2016)</w:t>
            </w:r>
          </w:p>
        </w:tc>
      </w:tr>
      <w:tr w:rsidR="00BE5F4F" w:rsidRPr="00BE5F4F" w:rsidTr="00BE5F4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i/>
                <w:iCs/>
                <w:color w:val="212529"/>
                <w:sz w:val="24"/>
                <w:szCs w:val="24"/>
                <w:lang w:eastAsia="en-IN"/>
              </w:rPr>
              <w:t>Goals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Open-ended dependent on a variety of stakeholder interests (Crane and Matten 2016)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Closed loop with elimination of resource emissions as the primary goal (</w:t>
            </w:r>
            <w:proofErr w:type="spellStart"/>
            <w:r w:rsidRPr="00BE5F4F">
              <w:rPr>
                <w:rFonts w:ascii="Segoe UI" w:eastAsia="Times New Roman" w:hAnsi="Segoe UI" w:cs="Segoe UI"/>
                <w:color w:val="212529"/>
                <w:sz w:val="24"/>
                <w:szCs w:val="24"/>
                <w:lang w:eastAsia="en-IN"/>
              </w:rPr>
              <w:t>Braungart</w:t>
            </w:r>
            <w:proofErr w:type="spellEnd"/>
            <w:r w:rsidRPr="00BE5F4F">
              <w:rPr>
                <w:rFonts w:ascii="Segoe UI" w:eastAsia="Times New Roman" w:hAnsi="Segoe UI" w:cs="Segoe UI"/>
                <w:color w:val="212529"/>
                <w:sz w:val="24"/>
                <w:szCs w:val="24"/>
                <w:lang w:eastAsia="en-IN"/>
              </w:rPr>
              <w:t xml:space="preserve"> and McDonough 2009)</w:t>
            </w:r>
          </w:p>
        </w:tc>
      </w:tr>
      <w:tr w:rsidR="00BE5F4F" w:rsidRPr="00BE5F4F" w:rsidTr="00BE5F4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i/>
                <w:iCs/>
                <w:color w:val="212529"/>
                <w:sz w:val="24"/>
                <w:szCs w:val="24"/>
                <w:lang w:eastAsia="en-IN"/>
              </w:rPr>
              <w:t>Main motivation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Diverse and adaptive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Better resource use through a shift from linear to circular production and consumption patterns (</w:t>
            </w:r>
            <w:proofErr w:type="spellStart"/>
            <w:r w:rsidRPr="00BE5F4F">
              <w:rPr>
                <w:rFonts w:ascii="Segoe UI" w:eastAsia="Times New Roman" w:hAnsi="Segoe UI" w:cs="Segoe UI"/>
                <w:color w:val="212529"/>
                <w:sz w:val="24"/>
                <w:szCs w:val="24"/>
                <w:lang w:eastAsia="en-IN"/>
              </w:rPr>
              <w:t>Braungart</w:t>
            </w:r>
            <w:proofErr w:type="spellEnd"/>
            <w:r w:rsidRPr="00BE5F4F">
              <w:rPr>
                <w:rFonts w:ascii="Segoe UI" w:eastAsia="Times New Roman" w:hAnsi="Segoe UI" w:cs="Segoe UI"/>
                <w:color w:val="212529"/>
                <w:sz w:val="24"/>
                <w:szCs w:val="24"/>
                <w:lang w:eastAsia="en-IN"/>
              </w:rPr>
              <w:t xml:space="preserve"> and McDonough 2009)</w:t>
            </w:r>
          </w:p>
        </w:tc>
      </w:tr>
      <w:tr w:rsidR="00BE5F4F" w:rsidRPr="00BE5F4F" w:rsidTr="00BE5F4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i/>
                <w:iCs/>
                <w:color w:val="212529"/>
                <w:sz w:val="24"/>
                <w:szCs w:val="24"/>
                <w:lang w:eastAsia="en-IN"/>
              </w:rPr>
              <w:t>System priority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Triple bottom line (horizontal) (</w:t>
            </w:r>
            <w:proofErr w:type="spellStart"/>
            <w:r w:rsidRPr="00BE5F4F">
              <w:rPr>
                <w:rFonts w:ascii="Segoe UI" w:eastAsia="Times New Roman" w:hAnsi="Segoe UI" w:cs="Segoe UI"/>
                <w:color w:val="212529"/>
                <w:sz w:val="24"/>
                <w:szCs w:val="24"/>
                <w:lang w:eastAsia="en-IN"/>
              </w:rPr>
              <w:t>Blowfield</w:t>
            </w:r>
            <w:proofErr w:type="spellEnd"/>
            <w:r w:rsidRPr="00BE5F4F">
              <w:rPr>
                <w:rFonts w:ascii="Segoe UI" w:eastAsia="Times New Roman" w:hAnsi="Segoe UI" w:cs="Segoe UI"/>
                <w:color w:val="212529"/>
                <w:sz w:val="24"/>
                <w:szCs w:val="24"/>
                <w:lang w:eastAsia="en-IN"/>
              </w:rPr>
              <w:t xml:space="preserve"> and Murray 2014)</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Economic system (hierarchical)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w:t>
            </w:r>
          </w:p>
        </w:tc>
      </w:tr>
      <w:tr w:rsidR="00BE5F4F" w:rsidRPr="00BE5F4F" w:rsidTr="00BE5F4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i/>
                <w:iCs/>
                <w:color w:val="212529"/>
                <w:sz w:val="24"/>
                <w:szCs w:val="24"/>
                <w:lang w:eastAsia="en-IN"/>
              </w:rPr>
              <w:lastRenderedPageBreak/>
              <w:t>Who benefits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Environment, society and the economy (Crane and Matten 2016)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Economic actors and then the economy and environment. Societal stakeholders benefit from the improvements undertaken by the circular economy (Pauli 2017)</w:t>
            </w:r>
          </w:p>
        </w:tc>
      </w:tr>
      <w:tr w:rsidR="00BE5F4F" w:rsidRPr="00BE5F4F" w:rsidTr="00BE5F4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i/>
                <w:iCs/>
                <w:color w:val="212529"/>
                <w:sz w:val="24"/>
                <w:szCs w:val="24"/>
                <w:lang w:eastAsia="en-IN"/>
              </w:rPr>
              <w:t>How it is institutionalised</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Different perspectives can be adapted to different contexts (</w:t>
            </w:r>
            <w:proofErr w:type="spellStart"/>
            <w:r w:rsidRPr="00BE5F4F">
              <w:rPr>
                <w:rFonts w:ascii="Segoe UI" w:eastAsia="Times New Roman" w:hAnsi="Segoe UI" w:cs="Segoe UI"/>
                <w:color w:val="212529"/>
                <w:sz w:val="24"/>
                <w:szCs w:val="24"/>
                <w:lang w:eastAsia="en-IN"/>
              </w:rPr>
              <w:t>Blowfield</w:t>
            </w:r>
            <w:proofErr w:type="spellEnd"/>
            <w:r w:rsidRPr="00BE5F4F">
              <w:rPr>
                <w:rFonts w:ascii="Segoe UI" w:eastAsia="Times New Roman" w:hAnsi="Segoe UI" w:cs="Segoe UI"/>
                <w:color w:val="212529"/>
                <w:sz w:val="24"/>
                <w:szCs w:val="24"/>
                <w:lang w:eastAsia="en-IN"/>
              </w:rPr>
              <w:t xml:space="preserve"> and Murray 2014)</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Emphasizes the economic and environmental benefits (restoration and regeneration) (Ellen MacArthur Foundation 2017a)</w:t>
            </w:r>
          </w:p>
        </w:tc>
      </w:tr>
      <w:tr w:rsidR="00BE5F4F" w:rsidRPr="00BE5F4F" w:rsidTr="00BE5F4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i/>
                <w:iCs/>
                <w:color w:val="212529"/>
                <w:sz w:val="24"/>
                <w:szCs w:val="24"/>
                <w:lang w:eastAsia="en-IN"/>
              </w:rPr>
              <w:t>Influenced by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A range of stakeholders (Crane and Matten 2016; </w:t>
            </w:r>
            <w:proofErr w:type="spellStart"/>
            <w:r w:rsidRPr="00BE5F4F">
              <w:rPr>
                <w:rFonts w:ascii="Segoe UI" w:eastAsia="Times New Roman" w:hAnsi="Segoe UI" w:cs="Segoe UI"/>
                <w:color w:val="212529"/>
                <w:sz w:val="24"/>
                <w:szCs w:val="24"/>
                <w:lang w:eastAsia="en-IN"/>
              </w:rPr>
              <w:t>Blowfield</w:t>
            </w:r>
            <w:proofErr w:type="spellEnd"/>
            <w:r w:rsidRPr="00BE5F4F">
              <w:rPr>
                <w:rFonts w:ascii="Segoe UI" w:eastAsia="Times New Roman" w:hAnsi="Segoe UI" w:cs="Segoe UI"/>
                <w:color w:val="212529"/>
                <w:sz w:val="24"/>
                <w:szCs w:val="24"/>
                <w:lang w:eastAsia="en-IN"/>
              </w:rPr>
              <w:t xml:space="preserve"> and Murray 2014)</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Governments; businesses; non-government agencies (Pauli 2017;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w:t>
            </w:r>
          </w:p>
        </w:tc>
      </w:tr>
      <w:tr w:rsidR="00BE5F4F" w:rsidRPr="00BE5F4F" w:rsidTr="00BE5F4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i/>
                <w:iCs/>
                <w:color w:val="212529"/>
                <w:sz w:val="24"/>
                <w:szCs w:val="24"/>
                <w:lang w:eastAsia="en-IN"/>
              </w:rPr>
              <w:t>Timeframe</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Indefinite with no defined end (Lewis and Maslin 2018)</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Theoretical and practical limits to the implementation of the Circular Economy could provide the timeframe based upon current levels of knowledge (Moreno et al 2016)</w:t>
            </w:r>
          </w:p>
        </w:tc>
      </w:tr>
      <w:tr w:rsidR="00BE5F4F" w:rsidRPr="00BE5F4F" w:rsidTr="00BE5F4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i/>
                <w:iCs/>
                <w:color w:val="212529"/>
                <w:sz w:val="24"/>
                <w:szCs w:val="24"/>
                <w:lang w:eastAsia="en-IN"/>
              </w:rPr>
              <w:t>Perceptions of Responsibilities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Shared responsibilities with a lack of clear definitions (United Nations SDGs 2019)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Private business; regulators and policymakers (Moreno et al 2016)</w:t>
            </w:r>
          </w:p>
        </w:tc>
      </w:tr>
      <w:tr w:rsidR="00BE5F4F" w:rsidRPr="00BE5F4F" w:rsidTr="00BE5F4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b/>
                <w:bCs/>
                <w:i/>
                <w:iCs/>
                <w:color w:val="212529"/>
                <w:sz w:val="24"/>
                <w:szCs w:val="24"/>
                <w:lang w:eastAsia="en-IN"/>
              </w:rPr>
              <w:t>Commitments. Goals, and interests behind the use of the terms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Stakeholder interest aligned in areas such as reduction in waste being beneficial for the environment (Lewis and Maslin 2018;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E5F4F" w:rsidRPr="00BE5F4F" w:rsidRDefault="00BE5F4F" w:rsidP="00BE5F4F">
            <w:pPr>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Economic and financial benefits for businesses; less resource use and environmental degradation and pollution (Pauli 2017; Moreno et al 2016)</w:t>
            </w:r>
          </w:p>
        </w:tc>
      </w:tr>
    </w:tbl>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There are also differences in the goals of sustainability and the Circular Economy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For example, the secondary research indicates that the goals of sustainability tend to be open-ended and require the need to adapt to changes in the environment and societal needs (</w:t>
      </w:r>
      <w:proofErr w:type="spellStart"/>
      <w:r w:rsidRPr="00BE5F4F">
        <w:rPr>
          <w:rFonts w:ascii="Segoe UI" w:eastAsia="Times New Roman" w:hAnsi="Segoe UI" w:cs="Segoe UI"/>
          <w:color w:val="212529"/>
          <w:sz w:val="24"/>
          <w:szCs w:val="24"/>
          <w:lang w:eastAsia="en-IN"/>
        </w:rPr>
        <w:t>Blowfield</w:t>
      </w:r>
      <w:proofErr w:type="spellEnd"/>
      <w:r w:rsidRPr="00BE5F4F">
        <w:rPr>
          <w:rFonts w:ascii="Segoe UI" w:eastAsia="Times New Roman" w:hAnsi="Segoe UI" w:cs="Segoe UI"/>
          <w:color w:val="212529"/>
          <w:sz w:val="24"/>
          <w:szCs w:val="24"/>
          <w:lang w:eastAsia="en-IN"/>
        </w:rPr>
        <w:t xml:space="preserve"> and Murray 2014). In contrast to this, the objective of the Circular Economy is to develop a closed loop based upon the regeneration and restoration of materials (Ellen MacArthur Foundation 2017a; </w:t>
      </w:r>
      <w:proofErr w:type="spellStart"/>
      <w:r w:rsidRPr="00BE5F4F">
        <w:rPr>
          <w:rFonts w:ascii="Segoe UI" w:eastAsia="Times New Roman" w:hAnsi="Segoe UI" w:cs="Segoe UI"/>
          <w:color w:val="212529"/>
          <w:sz w:val="24"/>
          <w:szCs w:val="24"/>
          <w:lang w:eastAsia="en-IN"/>
        </w:rPr>
        <w:t>Braungart</w:t>
      </w:r>
      <w:proofErr w:type="spellEnd"/>
      <w:r w:rsidRPr="00BE5F4F">
        <w:rPr>
          <w:rFonts w:ascii="Segoe UI" w:eastAsia="Times New Roman" w:hAnsi="Segoe UI" w:cs="Segoe UI"/>
          <w:color w:val="212529"/>
          <w:sz w:val="24"/>
          <w:szCs w:val="24"/>
          <w:lang w:eastAsia="en-IN"/>
        </w:rPr>
        <w:t xml:space="preserve"> and McDonough 2009). This perspective of the Circular Economy may therefore present it as benefitting businesses first and undertaking a narrower approach than that of sustainability which considers the impact on a wider range of societal stakeholders and environmental goals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Crane and Matten 2016; Moreno et al 2016).  However, whilst the Circular Economy undertakes business-centric approach, it also provides the opportunity for the impacts of this business model design and innovation to benefit other stakeholders and this </w:t>
      </w:r>
      <w:proofErr w:type="gramStart"/>
      <w:r w:rsidRPr="00BE5F4F">
        <w:rPr>
          <w:rFonts w:ascii="Segoe UI" w:eastAsia="Times New Roman" w:hAnsi="Segoe UI" w:cs="Segoe UI"/>
          <w:color w:val="212529"/>
          <w:sz w:val="24"/>
          <w:szCs w:val="24"/>
          <w:lang w:eastAsia="en-IN"/>
        </w:rPr>
        <w:t>will be explored</w:t>
      </w:r>
      <w:proofErr w:type="gramEnd"/>
      <w:r w:rsidRPr="00BE5F4F">
        <w:rPr>
          <w:rFonts w:ascii="Segoe UI" w:eastAsia="Times New Roman" w:hAnsi="Segoe UI" w:cs="Segoe UI"/>
          <w:color w:val="212529"/>
          <w:sz w:val="24"/>
          <w:szCs w:val="24"/>
          <w:lang w:eastAsia="en-IN"/>
        </w:rPr>
        <w:t xml:space="preserve"> in more detail in the second and third research objectives.</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4.2 Objective 2: To investigate the impacts of sustainability and the Circular Economy on business models and innovation.</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lastRenderedPageBreak/>
        <w:t>The impacts of sustainability and the Circular Economy on business models and innovations can undertake a number of impacts.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Firstly, the business model and innovation </w:t>
      </w:r>
      <w:proofErr w:type="gramStart"/>
      <w:r w:rsidRPr="00BE5F4F">
        <w:rPr>
          <w:rFonts w:ascii="Segoe UI" w:eastAsia="Times New Roman" w:hAnsi="Segoe UI" w:cs="Segoe UI"/>
          <w:color w:val="212529"/>
          <w:sz w:val="24"/>
          <w:szCs w:val="24"/>
          <w:lang w:eastAsia="en-IN"/>
        </w:rPr>
        <w:t>may be based</w:t>
      </w:r>
      <w:proofErr w:type="gramEnd"/>
      <w:r w:rsidRPr="00BE5F4F">
        <w:rPr>
          <w:rFonts w:ascii="Segoe UI" w:eastAsia="Times New Roman" w:hAnsi="Segoe UI" w:cs="Segoe UI"/>
          <w:color w:val="212529"/>
          <w:sz w:val="24"/>
          <w:szCs w:val="24"/>
          <w:lang w:eastAsia="en-IN"/>
        </w:rPr>
        <w:t xml:space="preserve"> upon the creation and capture of value which has a wider value proposition for the organisation and its stakeholders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This includes the ability to undertake a different business model based upon the use of technological developments such as the Internet of Things (Conner 2015). The Internet of Things provides a business with the opportunity to undertake a higher level of connectivity between itself and its customers which supports improvements in communication and performance (</w:t>
      </w:r>
      <w:proofErr w:type="spellStart"/>
      <w:r w:rsidRPr="00BE5F4F">
        <w:rPr>
          <w:rFonts w:ascii="Segoe UI" w:eastAsia="Times New Roman" w:hAnsi="Segoe UI" w:cs="Segoe UI"/>
          <w:color w:val="212529"/>
          <w:sz w:val="24"/>
          <w:szCs w:val="24"/>
          <w:lang w:eastAsia="en-IN"/>
        </w:rPr>
        <w:t>Trott</w:t>
      </w:r>
      <w:proofErr w:type="spellEnd"/>
      <w:r w:rsidRPr="00BE5F4F">
        <w:rPr>
          <w:rFonts w:ascii="Segoe UI" w:eastAsia="Times New Roman" w:hAnsi="Segoe UI" w:cs="Segoe UI"/>
          <w:color w:val="212529"/>
          <w:sz w:val="24"/>
          <w:szCs w:val="24"/>
          <w:lang w:eastAsia="en-IN"/>
        </w:rPr>
        <w:t xml:space="preserve"> 2017; Conner 2015).  One business which is currently using the Internet of Things as part of its business model is Bundles which operates a pay-per-use business model which enables customers to gain access to household goods, such as washing machines (Gilbert 2014). Bundles provides a household good, such as a washing machine, for free and charges its customers for its use which </w:t>
      </w:r>
      <w:proofErr w:type="gramStart"/>
      <w:r w:rsidRPr="00BE5F4F">
        <w:rPr>
          <w:rFonts w:ascii="Segoe UI" w:eastAsia="Times New Roman" w:hAnsi="Segoe UI" w:cs="Segoe UI"/>
          <w:color w:val="212529"/>
          <w:sz w:val="24"/>
          <w:szCs w:val="24"/>
          <w:lang w:eastAsia="en-IN"/>
        </w:rPr>
        <w:t>is monitored</w:t>
      </w:r>
      <w:proofErr w:type="gramEnd"/>
      <w:r w:rsidRPr="00BE5F4F">
        <w:rPr>
          <w:rFonts w:ascii="Segoe UI" w:eastAsia="Times New Roman" w:hAnsi="Segoe UI" w:cs="Segoe UI"/>
          <w:color w:val="212529"/>
          <w:sz w:val="24"/>
          <w:szCs w:val="24"/>
          <w:lang w:eastAsia="en-IN"/>
        </w:rPr>
        <w:t xml:space="preserve"> using the Internet of Things (Gilbert 2014).  This business model addresses the concept of sustainability in the following ways:</w:t>
      </w:r>
    </w:p>
    <w:p w:rsidR="00BE5F4F" w:rsidRPr="00BE5F4F" w:rsidRDefault="00BE5F4F" w:rsidP="00BE5F4F">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Provides access to a washing machine which </w:t>
      </w:r>
      <w:proofErr w:type="gramStart"/>
      <w:r w:rsidRPr="00BE5F4F">
        <w:rPr>
          <w:rFonts w:ascii="Segoe UI" w:eastAsia="Times New Roman" w:hAnsi="Segoe UI" w:cs="Segoe UI"/>
          <w:color w:val="212529"/>
          <w:sz w:val="24"/>
          <w:szCs w:val="24"/>
          <w:lang w:eastAsia="en-IN"/>
        </w:rPr>
        <w:t>is based</w:t>
      </w:r>
      <w:proofErr w:type="gramEnd"/>
      <w:r w:rsidRPr="00BE5F4F">
        <w:rPr>
          <w:rFonts w:ascii="Segoe UI" w:eastAsia="Times New Roman" w:hAnsi="Segoe UI" w:cs="Segoe UI"/>
          <w:color w:val="212529"/>
          <w:sz w:val="24"/>
          <w:szCs w:val="24"/>
          <w:lang w:eastAsia="en-IN"/>
        </w:rPr>
        <w:t xml:space="preserve"> upon the use of this, rather than the traditional ownership model. This shift from use-only from ownership addresses sustainability issues such as reducing the level of waste which </w:t>
      </w:r>
      <w:proofErr w:type="gramStart"/>
      <w:r w:rsidRPr="00BE5F4F">
        <w:rPr>
          <w:rFonts w:ascii="Segoe UI" w:eastAsia="Times New Roman" w:hAnsi="Segoe UI" w:cs="Segoe UI"/>
          <w:color w:val="212529"/>
          <w:sz w:val="24"/>
          <w:szCs w:val="24"/>
          <w:lang w:eastAsia="en-IN"/>
        </w:rPr>
        <w:t>may be created</w:t>
      </w:r>
      <w:proofErr w:type="gramEnd"/>
      <w:r w:rsidRPr="00BE5F4F">
        <w:rPr>
          <w:rFonts w:ascii="Segoe UI" w:eastAsia="Times New Roman" w:hAnsi="Segoe UI" w:cs="Segoe UI"/>
          <w:color w:val="212529"/>
          <w:sz w:val="24"/>
          <w:szCs w:val="24"/>
          <w:lang w:eastAsia="en-IN"/>
        </w:rPr>
        <w:t xml:space="preserve"> by the disposal of the machine or the failure of the owner in getting it repaired.</w:t>
      </w:r>
    </w:p>
    <w:p w:rsidR="00BE5F4F" w:rsidRPr="00BE5F4F" w:rsidRDefault="00BE5F4F" w:rsidP="00BE5F4F">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In addition to this, the monitoring and advice as to how the washing machine, or other household good </w:t>
      </w:r>
      <w:proofErr w:type="gramStart"/>
      <w:r w:rsidRPr="00BE5F4F">
        <w:rPr>
          <w:rFonts w:ascii="Segoe UI" w:eastAsia="Times New Roman" w:hAnsi="Segoe UI" w:cs="Segoe UI"/>
          <w:color w:val="212529"/>
          <w:sz w:val="24"/>
          <w:szCs w:val="24"/>
          <w:lang w:eastAsia="en-IN"/>
        </w:rPr>
        <w:t>can be used</w:t>
      </w:r>
      <w:proofErr w:type="gramEnd"/>
      <w:r w:rsidRPr="00BE5F4F">
        <w:rPr>
          <w:rFonts w:ascii="Segoe UI" w:eastAsia="Times New Roman" w:hAnsi="Segoe UI" w:cs="Segoe UI"/>
          <w:color w:val="212529"/>
          <w:sz w:val="24"/>
          <w:szCs w:val="24"/>
          <w:lang w:eastAsia="en-IN"/>
        </w:rPr>
        <w:t xml:space="preserve"> provides better energy use and lowers any potential emissions (Ellen MacArthur Foundation 2015).</w:t>
      </w:r>
    </w:p>
    <w:p w:rsidR="00BE5F4F" w:rsidRPr="00BE5F4F" w:rsidRDefault="00BE5F4F" w:rsidP="00BE5F4F">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Provides a higher level of access to households who may not be able to afford a high specification washing machine due to the initial costs of these. This addresses societal inequalities. </w:t>
      </w:r>
    </w:p>
    <w:p w:rsidR="00BE5F4F" w:rsidRPr="00BE5F4F" w:rsidRDefault="00BE5F4F" w:rsidP="00BE5F4F">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Supports increased levels of sustainability due to the machine being </w:t>
      </w:r>
      <w:proofErr w:type="gramStart"/>
      <w:r w:rsidRPr="00BE5F4F">
        <w:rPr>
          <w:rFonts w:ascii="Segoe UI" w:eastAsia="Times New Roman" w:hAnsi="Segoe UI" w:cs="Segoe UI"/>
          <w:color w:val="212529"/>
          <w:sz w:val="24"/>
          <w:szCs w:val="24"/>
          <w:lang w:eastAsia="en-IN"/>
        </w:rPr>
        <w:t>repaired</w:t>
      </w:r>
      <w:proofErr w:type="gramEnd"/>
      <w:r w:rsidRPr="00BE5F4F">
        <w:rPr>
          <w:rFonts w:ascii="Segoe UI" w:eastAsia="Times New Roman" w:hAnsi="Segoe UI" w:cs="Segoe UI"/>
          <w:color w:val="212529"/>
          <w:sz w:val="24"/>
          <w:szCs w:val="24"/>
          <w:lang w:eastAsia="en-IN"/>
        </w:rPr>
        <w:t xml:space="preserve"> rather than replaced.</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This business model addresses the circular economy in the following areas:</w:t>
      </w:r>
    </w:p>
    <w:p w:rsidR="00BE5F4F" w:rsidRPr="00BE5F4F" w:rsidRDefault="00BE5F4F" w:rsidP="00BE5F4F">
      <w:pPr>
        <w:numPr>
          <w:ilvl w:val="0"/>
          <w:numId w:val="4"/>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Bundles is able to restore and regenerate the household goods and thus the materials and resources of these remain within its business model (</w:t>
      </w:r>
      <w:proofErr w:type="spellStart"/>
      <w:r w:rsidRPr="00BE5F4F">
        <w:rPr>
          <w:rFonts w:ascii="Segoe UI" w:eastAsia="Times New Roman" w:hAnsi="Segoe UI" w:cs="Segoe UI"/>
          <w:color w:val="212529"/>
          <w:sz w:val="24"/>
          <w:szCs w:val="24"/>
          <w:lang w:eastAsia="en-IN"/>
        </w:rPr>
        <w:t>Braungart</w:t>
      </w:r>
      <w:proofErr w:type="spellEnd"/>
      <w:r w:rsidRPr="00BE5F4F">
        <w:rPr>
          <w:rFonts w:ascii="Segoe UI" w:eastAsia="Times New Roman" w:hAnsi="Segoe UI" w:cs="Segoe UI"/>
          <w:color w:val="212529"/>
          <w:sz w:val="24"/>
          <w:szCs w:val="24"/>
          <w:lang w:eastAsia="en-IN"/>
        </w:rPr>
        <w:t xml:space="preserve"> and McDonough 2009).</w:t>
      </w:r>
    </w:p>
    <w:p w:rsidR="00BE5F4F" w:rsidRPr="00BE5F4F" w:rsidRDefault="00BE5F4F" w:rsidP="00BE5F4F">
      <w:pPr>
        <w:numPr>
          <w:ilvl w:val="0"/>
          <w:numId w:val="4"/>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It also works with other business partners, such as Miele, which have the opportunity to receive household goods which </w:t>
      </w:r>
      <w:proofErr w:type="gramStart"/>
      <w:r w:rsidRPr="00BE5F4F">
        <w:rPr>
          <w:rFonts w:ascii="Segoe UI" w:eastAsia="Times New Roman" w:hAnsi="Segoe UI" w:cs="Segoe UI"/>
          <w:color w:val="212529"/>
          <w:sz w:val="24"/>
          <w:szCs w:val="24"/>
          <w:lang w:eastAsia="en-IN"/>
        </w:rPr>
        <w:t>are no longer being used</w:t>
      </w:r>
      <w:proofErr w:type="gramEnd"/>
      <w:r w:rsidRPr="00BE5F4F">
        <w:rPr>
          <w:rFonts w:ascii="Segoe UI" w:eastAsia="Times New Roman" w:hAnsi="Segoe UI" w:cs="Segoe UI"/>
          <w:color w:val="212529"/>
          <w:sz w:val="24"/>
          <w:szCs w:val="24"/>
          <w:lang w:eastAsia="en-IN"/>
        </w:rPr>
        <w:t>, and to either provide to other households or to reuse the materials in other washing machines (Ellen MacArthur Foundation 2015). </w:t>
      </w:r>
    </w:p>
    <w:p w:rsidR="00BE5F4F" w:rsidRPr="00BE5F4F" w:rsidRDefault="00BE5F4F" w:rsidP="00BE5F4F">
      <w:pPr>
        <w:numPr>
          <w:ilvl w:val="0"/>
          <w:numId w:val="4"/>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proofErr w:type="gramStart"/>
      <w:r w:rsidRPr="00BE5F4F">
        <w:rPr>
          <w:rFonts w:ascii="Segoe UI" w:eastAsia="Times New Roman" w:hAnsi="Segoe UI" w:cs="Segoe UI"/>
          <w:color w:val="212529"/>
          <w:sz w:val="24"/>
          <w:szCs w:val="24"/>
          <w:lang w:eastAsia="en-IN"/>
        </w:rPr>
        <w:t>The circular economy model is also supported by Miele washing machines being 100% recyclable or reusable materials</w:t>
      </w:r>
      <w:proofErr w:type="gramEnd"/>
      <w:r w:rsidRPr="00BE5F4F">
        <w:rPr>
          <w:rFonts w:ascii="Segoe UI" w:eastAsia="Times New Roman" w:hAnsi="Segoe UI" w:cs="Segoe UI"/>
          <w:color w:val="212529"/>
          <w:sz w:val="24"/>
          <w:szCs w:val="24"/>
          <w:lang w:eastAsia="en-IN"/>
        </w:rPr>
        <w:t xml:space="preserve"> and this demonstrates the need </w:t>
      </w:r>
      <w:r w:rsidRPr="00BE5F4F">
        <w:rPr>
          <w:rFonts w:ascii="Segoe UI" w:eastAsia="Times New Roman" w:hAnsi="Segoe UI" w:cs="Segoe UI"/>
          <w:color w:val="212529"/>
          <w:sz w:val="24"/>
          <w:szCs w:val="24"/>
          <w:lang w:eastAsia="en-IN"/>
        </w:rPr>
        <w:lastRenderedPageBreak/>
        <w:t>for collaboration between business stakeholders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Ellen MacArthur Foundation 2015). </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4.3 Objective 3: To evaluate the relationship between Sustainability and the Circular Economy</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relationship between Sustainability and the Circular Economy presented a number of different aspects. Firstly, for advocates of the Circular Economy, such as the Ellen MacArthur Foundation, there is the portrayal of a strong and interdependent relationship between sustainability and the Circular Economy and this </w:t>
      </w:r>
      <w:proofErr w:type="gramStart"/>
      <w:r w:rsidRPr="00BE5F4F">
        <w:rPr>
          <w:rFonts w:ascii="Segoe UI" w:eastAsia="Times New Roman" w:hAnsi="Segoe UI" w:cs="Segoe UI"/>
          <w:color w:val="212529"/>
          <w:sz w:val="24"/>
          <w:szCs w:val="24"/>
          <w:lang w:eastAsia="en-IN"/>
        </w:rPr>
        <w:t>is presented</w:t>
      </w:r>
      <w:proofErr w:type="gramEnd"/>
      <w:r w:rsidRPr="00BE5F4F">
        <w:rPr>
          <w:rFonts w:ascii="Segoe UI" w:eastAsia="Times New Roman" w:hAnsi="Segoe UI" w:cs="Segoe UI"/>
          <w:color w:val="212529"/>
          <w:sz w:val="24"/>
          <w:szCs w:val="24"/>
          <w:lang w:eastAsia="en-IN"/>
        </w:rPr>
        <w:t xml:space="preserve"> through the concept of the Circular Economy and the case studies of the organisations which have, or are trying to, implement these principles (</w:t>
      </w:r>
      <w:proofErr w:type="spellStart"/>
      <w:r w:rsidRPr="00BE5F4F">
        <w:rPr>
          <w:rFonts w:ascii="Segoe UI" w:eastAsia="Times New Roman" w:hAnsi="Segoe UI" w:cs="Segoe UI"/>
          <w:color w:val="212529"/>
          <w:sz w:val="24"/>
          <w:szCs w:val="24"/>
          <w:lang w:eastAsia="en-IN"/>
        </w:rPr>
        <w:t>Elllen</w:t>
      </w:r>
      <w:proofErr w:type="spellEnd"/>
      <w:r w:rsidRPr="00BE5F4F">
        <w:rPr>
          <w:rFonts w:ascii="Segoe UI" w:eastAsia="Times New Roman" w:hAnsi="Segoe UI" w:cs="Segoe UI"/>
          <w:color w:val="212529"/>
          <w:sz w:val="24"/>
          <w:szCs w:val="24"/>
          <w:lang w:eastAsia="en-IN"/>
        </w:rPr>
        <w:t xml:space="preserve"> MacArthur Foundation 2017a). The concept of the circular economy </w:t>
      </w:r>
      <w:proofErr w:type="gramStart"/>
      <w:r w:rsidRPr="00BE5F4F">
        <w:rPr>
          <w:rFonts w:ascii="Segoe UI" w:eastAsia="Times New Roman" w:hAnsi="Segoe UI" w:cs="Segoe UI"/>
          <w:color w:val="212529"/>
          <w:sz w:val="24"/>
          <w:szCs w:val="24"/>
          <w:lang w:eastAsia="en-IN"/>
        </w:rPr>
        <w:t>has been actively promoted</w:t>
      </w:r>
      <w:proofErr w:type="gramEnd"/>
      <w:r w:rsidRPr="00BE5F4F">
        <w:rPr>
          <w:rFonts w:ascii="Segoe UI" w:eastAsia="Times New Roman" w:hAnsi="Segoe UI" w:cs="Segoe UI"/>
          <w:color w:val="212529"/>
          <w:sz w:val="24"/>
          <w:szCs w:val="24"/>
          <w:lang w:eastAsia="en-IN"/>
        </w:rPr>
        <w:t xml:space="preserve"> by the Ellen MacArthur Foundation which has acted as a hub for increased levels of collaboration and information sharing between stakeholders (</w:t>
      </w:r>
      <w:proofErr w:type="spellStart"/>
      <w:r w:rsidRPr="00BE5F4F">
        <w:rPr>
          <w:rFonts w:ascii="Segoe UI" w:eastAsia="Times New Roman" w:hAnsi="Segoe UI" w:cs="Segoe UI"/>
          <w:color w:val="212529"/>
          <w:sz w:val="24"/>
          <w:szCs w:val="24"/>
          <w:lang w:eastAsia="en-IN"/>
        </w:rPr>
        <w:t>Elllen</w:t>
      </w:r>
      <w:proofErr w:type="spellEnd"/>
      <w:r w:rsidRPr="00BE5F4F">
        <w:rPr>
          <w:rFonts w:ascii="Segoe UI" w:eastAsia="Times New Roman" w:hAnsi="Segoe UI" w:cs="Segoe UI"/>
          <w:color w:val="212529"/>
          <w:sz w:val="24"/>
          <w:szCs w:val="24"/>
          <w:lang w:eastAsia="en-IN"/>
        </w:rPr>
        <w:t xml:space="preserve"> MacArthur Foundation 2017a). The foundation has also acted as a hub for examples of good practice and the adaptation and adaptation of Circular Economy principles by a variety of businesses undertaking a variety of approaches (</w:t>
      </w:r>
      <w:proofErr w:type="spellStart"/>
      <w:r w:rsidRPr="00BE5F4F">
        <w:rPr>
          <w:rFonts w:ascii="Segoe UI" w:eastAsia="Times New Roman" w:hAnsi="Segoe UI" w:cs="Segoe UI"/>
          <w:color w:val="212529"/>
          <w:sz w:val="24"/>
          <w:szCs w:val="24"/>
          <w:lang w:eastAsia="en-IN"/>
        </w:rPr>
        <w:t>Elllen</w:t>
      </w:r>
      <w:proofErr w:type="spellEnd"/>
      <w:r w:rsidRPr="00BE5F4F">
        <w:rPr>
          <w:rFonts w:ascii="Segoe UI" w:eastAsia="Times New Roman" w:hAnsi="Segoe UI" w:cs="Segoe UI"/>
          <w:color w:val="212529"/>
          <w:sz w:val="24"/>
          <w:szCs w:val="24"/>
          <w:lang w:eastAsia="en-IN"/>
        </w:rPr>
        <w:t xml:space="preserve"> MacArthur Foundation 2017a).</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For some organisations, there are areas of the business where there are higher levels of sustainability and the use of the Circular Economy than others and often this has seen a business undertake a remodelling of its business model (Pauli 2017). For other businesses, there is a model which has been built around the concept for the Circular Economy and Sustainability to directly address the pursuit of a competitive advantage, such as serving an underserved market or ensuring that its resources are reused and thus provide value for both the business and its stakeholders and an example of this can be seen in the case study of Natura Brazil (</w:t>
      </w:r>
      <w:proofErr w:type="spellStart"/>
      <w:r w:rsidRPr="00BE5F4F">
        <w:rPr>
          <w:rFonts w:ascii="Segoe UI" w:eastAsia="Times New Roman" w:hAnsi="Segoe UI" w:cs="Segoe UI"/>
          <w:color w:val="212529"/>
          <w:sz w:val="24"/>
          <w:szCs w:val="24"/>
          <w:lang w:eastAsia="en-IN"/>
        </w:rPr>
        <w:t>Elllen</w:t>
      </w:r>
      <w:proofErr w:type="spellEnd"/>
      <w:r w:rsidRPr="00BE5F4F">
        <w:rPr>
          <w:rFonts w:ascii="Segoe UI" w:eastAsia="Times New Roman" w:hAnsi="Segoe UI" w:cs="Segoe UI"/>
          <w:color w:val="212529"/>
          <w:sz w:val="24"/>
          <w:szCs w:val="24"/>
          <w:lang w:eastAsia="en-IN"/>
        </w:rPr>
        <w:t xml:space="preserve"> MacArthur Foundation 2017aa).</w:t>
      </w:r>
    </w:p>
    <w:p w:rsidR="00BE5F4F" w:rsidRPr="00BE5F4F" w:rsidRDefault="00BE5F4F" w:rsidP="00BE5F4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BE5F4F">
        <w:rPr>
          <w:rFonts w:ascii="Segoe UI" w:eastAsia="Times New Roman" w:hAnsi="Segoe UI" w:cs="Segoe UI"/>
          <w:color w:val="212529"/>
          <w:sz w:val="26"/>
          <w:szCs w:val="26"/>
          <w:lang w:eastAsia="en-IN"/>
        </w:rPr>
        <w:t>4.3.1 Natura Brazil</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Natura Brazil is a large cosmetics company and is reliant upon the biodiversity provided by Brazil’s natural resources (</w:t>
      </w:r>
      <w:proofErr w:type="spellStart"/>
      <w:r w:rsidRPr="00BE5F4F">
        <w:rPr>
          <w:rFonts w:ascii="Segoe UI" w:eastAsia="Times New Roman" w:hAnsi="Segoe UI" w:cs="Segoe UI"/>
          <w:color w:val="212529"/>
          <w:sz w:val="24"/>
          <w:szCs w:val="24"/>
          <w:lang w:eastAsia="en-IN"/>
        </w:rPr>
        <w:t>Elllen</w:t>
      </w:r>
      <w:proofErr w:type="spellEnd"/>
      <w:r w:rsidRPr="00BE5F4F">
        <w:rPr>
          <w:rFonts w:ascii="Segoe UI" w:eastAsia="Times New Roman" w:hAnsi="Segoe UI" w:cs="Segoe UI"/>
          <w:color w:val="212529"/>
          <w:sz w:val="24"/>
          <w:szCs w:val="24"/>
          <w:lang w:eastAsia="en-IN"/>
        </w:rPr>
        <w:t xml:space="preserve"> MacArthur Foundation 2017b).  Unfortunately, the demand for agricultural land has created social and environmental harm as large areas of forests </w:t>
      </w:r>
      <w:proofErr w:type="gramStart"/>
      <w:r w:rsidRPr="00BE5F4F">
        <w:rPr>
          <w:rFonts w:ascii="Segoe UI" w:eastAsia="Times New Roman" w:hAnsi="Segoe UI" w:cs="Segoe UI"/>
          <w:color w:val="212529"/>
          <w:sz w:val="24"/>
          <w:szCs w:val="24"/>
          <w:lang w:eastAsia="en-IN"/>
        </w:rPr>
        <w:t>are cleared</w:t>
      </w:r>
      <w:proofErr w:type="gramEnd"/>
      <w:r w:rsidRPr="00BE5F4F">
        <w:rPr>
          <w:rFonts w:ascii="Segoe UI" w:eastAsia="Times New Roman" w:hAnsi="Segoe UI" w:cs="Segoe UI"/>
          <w:color w:val="212529"/>
          <w:sz w:val="24"/>
          <w:szCs w:val="24"/>
          <w:lang w:eastAsia="en-IN"/>
        </w:rPr>
        <w:t xml:space="preserve"> and this has had a negative impact upon the levels of biodiversity; climate change and indigenous people who have been displaced from their lands (</w:t>
      </w:r>
      <w:proofErr w:type="spellStart"/>
      <w:r w:rsidRPr="00BE5F4F">
        <w:rPr>
          <w:rFonts w:ascii="Segoe UI" w:eastAsia="Times New Roman" w:hAnsi="Segoe UI" w:cs="Segoe UI"/>
          <w:color w:val="212529"/>
          <w:sz w:val="24"/>
          <w:szCs w:val="24"/>
          <w:lang w:eastAsia="en-IN"/>
        </w:rPr>
        <w:t>Elllen</w:t>
      </w:r>
      <w:proofErr w:type="spellEnd"/>
      <w:r w:rsidRPr="00BE5F4F">
        <w:rPr>
          <w:rFonts w:ascii="Segoe UI" w:eastAsia="Times New Roman" w:hAnsi="Segoe UI" w:cs="Segoe UI"/>
          <w:color w:val="212529"/>
          <w:sz w:val="24"/>
          <w:szCs w:val="24"/>
          <w:lang w:eastAsia="en-IN"/>
        </w:rPr>
        <w:t xml:space="preserve"> MacArthur Foundation 2017b). To address the risk of the loss of the access to natural resources for its products, Natura Brazil have undertaken a strategy which uses the knowledge held by local communities as regards the benefit of the natural resources as part of its cosmetics production processes and also demonstrates the value of these natural resources, such as trees, as being greater if left, rather than being destroyed (</w:t>
      </w:r>
      <w:proofErr w:type="spellStart"/>
      <w:r w:rsidRPr="00BE5F4F">
        <w:rPr>
          <w:rFonts w:ascii="Segoe UI" w:eastAsia="Times New Roman" w:hAnsi="Segoe UI" w:cs="Segoe UI"/>
          <w:color w:val="212529"/>
          <w:sz w:val="24"/>
          <w:szCs w:val="24"/>
          <w:lang w:eastAsia="en-IN"/>
        </w:rPr>
        <w:t>Elllen</w:t>
      </w:r>
      <w:proofErr w:type="spellEnd"/>
      <w:r w:rsidRPr="00BE5F4F">
        <w:rPr>
          <w:rFonts w:ascii="Segoe UI" w:eastAsia="Times New Roman" w:hAnsi="Segoe UI" w:cs="Segoe UI"/>
          <w:color w:val="212529"/>
          <w:sz w:val="24"/>
          <w:szCs w:val="24"/>
          <w:lang w:eastAsia="en-IN"/>
        </w:rPr>
        <w:t xml:space="preserve"> MacArthur Foundation 2017b).  The economic benefits of this activity include employment for </w:t>
      </w:r>
      <w:r w:rsidRPr="00BE5F4F">
        <w:rPr>
          <w:rFonts w:ascii="Segoe UI" w:eastAsia="Times New Roman" w:hAnsi="Segoe UI" w:cs="Segoe UI"/>
          <w:color w:val="212529"/>
          <w:sz w:val="24"/>
          <w:szCs w:val="24"/>
          <w:lang w:eastAsia="en-IN"/>
        </w:rPr>
        <w:lastRenderedPageBreak/>
        <w:t>local communities and the protection of the natural resources which are fundamental to the sustainable success of Brazil Natura (</w:t>
      </w:r>
      <w:proofErr w:type="spellStart"/>
      <w:r w:rsidRPr="00BE5F4F">
        <w:rPr>
          <w:rFonts w:ascii="Segoe UI" w:eastAsia="Times New Roman" w:hAnsi="Segoe UI" w:cs="Segoe UI"/>
          <w:color w:val="212529"/>
          <w:sz w:val="24"/>
          <w:szCs w:val="24"/>
          <w:lang w:eastAsia="en-IN"/>
        </w:rPr>
        <w:t>Elllen</w:t>
      </w:r>
      <w:proofErr w:type="spellEnd"/>
      <w:r w:rsidRPr="00BE5F4F">
        <w:rPr>
          <w:rFonts w:ascii="Segoe UI" w:eastAsia="Times New Roman" w:hAnsi="Segoe UI" w:cs="Segoe UI"/>
          <w:color w:val="212529"/>
          <w:sz w:val="24"/>
          <w:szCs w:val="24"/>
          <w:lang w:eastAsia="en-IN"/>
        </w:rPr>
        <w:t xml:space="preserve"> MacArthur Foundation 2017b).</w:t>
      </w:r>
    </w:p>
    <w:p w:rsidR="00BE5F4F" w:rsidRPr="00BE5F4F" w:rsidRDefault="00BE5F4F" w:rsidP="00BE5F4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BE5F4F">
        <w:rPr>
          <w:rFonts w:ascii="Segoe UI" w:eastAsia="Times New Roman" w:hAnsi="Segoe UI" w:cs="Segoe UI"/>
          <w:color w:val="212529"/>
          <w:sz w:val="26"/>
          <w:szCs w:val="26"/>
          <w:lang w:eastAsia="en-IN"/>
        </w:rPr>
        <w:t>4.3.2 Renault</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 case study of Renault is focused upon a particular aspect of its manufacturing processes which addresses the need to address the use of recycled plastic to both reduce the costs of this resource and to provide higher levels of supply chain resilience whilst also reducing the environmental impact of the production of plastic and the waste products from this (Ellen MacArthur Foundation 2017c). To address this issue, Renault collaborated with a number of stakeholders to develop a closed loop process to retain plastics within its manufacturing processes (</w:t>
      </w:r>
      <w:proofErr w:type="spellStart"/>
      <w:r w:rsidRPr="00BE5F4F">
        <w:rPr>
          <w:rFonts w:ascii="Segoe UI" w:eastAsia="Times New Roman" w:hAnsi="Segoe UI" w:cs="Segoe UI"/>
          <w:color w:val="212529"/>
          <w:sz w:val="24"/>
          <w:szCs w:val="24"/>
          <w:lang w:eastAsia="en-IN"/>
        </w:rPr>
        <w:t>Elllen</w:t>
      </w:r>
      <w:proofErr w:type="spellEnd"/>
      <w:r w:rsidRPr="00BE5F4F">
        <w:rPr>
          <w:rFonts w:ascii="Segoe UI" w:eastAsia="Times New Roman" w:hAnsi="Segoe UI" w:cs="Segoe UI"/>
          <w:color w:val="212529"/>
          <w:sz w:val="24"/>
          <w:szCs w:val="24"/>
          <w:lang w:eastAsia="en-IN"/>
        </w:rPr>
        <w:t xml:space="preserve"> MacArthur Foundation 2017c).  This closed loop undertook a process of adapting existing systems, rather than developing a new one, and was therefore relatively straightforward to implement (</w:t>
      </w:r>
      <w:proofErr w:type="spellStart"/>
      <w:r w:rsidRPr="00BE5F4F">
        <w:rPr>
          <w:rFonts w:ascii="Segoe UI" w:eastAsia="Times New Roman" w:hAnsi="Segoe UI" w:cs="Segoe UI"/>
          <w:color w:val="212529"/>
          <w:sz w:val="24"/>
          <w:szCs w:val="24"/>
          <w:lang w:eastAsia="en-IN"/>
        </w:rPr>
        <w:t>Elllen</w:t>
      </w:r>
      <w:proofErr w:type="spellEnd"/>
      <w:r w:rsidRPr="00BE5F4F">
        <w:rPr>
          <w:rFonts w:ascii="Segoe UI" w:eastAsia="Times New Roman" w:hAnsi="Segoe UI" w:cs="Segoe UI"/>
          <w:color w:val="212529"/>
          <w:sz w:val="24"/>
          <w:szCs w:val="24"/>
          <w:lang w:eastAsia="en-IN"/>
        </w:rPr>
        <w:t xml:space="preserve"> MacArthur Foundation 2017c).</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different approaches undertaken by these selected organisations indicate some of the decision-making processes which </w:t>
      </w:r>
      <w:proofErr w:type="gramStart"/>
      <w:r w:rsidRPr="00BE5F4F">
        <w:rPr>
          <w:rFonts w:ascii="Segoe UI" w:eastAsia="Times New Roman" w:hAnsi="Segoe UI" w:cs="Segoe UI"/>
          <w:color w:val="212529"/>
          <w:sz w:val="24"/>
          <w:szCs w:val="24"/>
          <w:lang w:eastAsia="en-IN"/>
        </w:rPr>
        <w:t>are undertaken</w:t>
      </w:r>
      <w:proofErr w:type="gramEnd"/>
      <w:r w:rsidRPr="00BE5F4F">
        <w:rPr>
          <w:rFonts w:ascii="Segoe UI" w:eastAsia="Times New Roman" w:hAnsi="Segoe UI" w:cs="Segoe UI"/>
          <w:color w:val="212529"/>
          <w:sz w:val="24"/>
          <w:szCs w:val="24"/>
          <w:lang w:eastAsia="en-IN"/>
        </w:rPr>
        <w:t xml:space="preserve"> by an organisation in response to issues of sustainability which include resource security and the prevention of environmental degradation (George et al 2016; </w:t>
      </w:r>
      <w:proofErr w:type="spellStart"/>
      <w:r w:rsidRPr="00BE5F4F">
        <w:rPr>
          <w:rFonts w:ascii="Segoe UI" w:eastAsia="Times New Roman" w:hAnsi="Segoe UI" w:cs="Segoe UI"/>
          <w:color w:val="212529"/>
          <w:sz w:val="24"/>
          <w:szCs w:val="24"/>
          <w:lang w:eastAsia="en-IN"/>
        </w:rPr>
        <w:t>Bocken</w:t>
      </w:r>
      <w:proofErr w:type="spellEnd"/>
      <w:r w:rsidRPr="00BE5F4F">
        <w:rPr>
          <w:rFonts w:ascii="Segoe UI" w:eastAsia="Times New Roman" w:hAnsi="Segoe UI" w:cs="Segoe UI"/>
          <w:color w:val="212529"/>
          <w:sz w:val="24"/>
          <w:szCs w:val="24"/>
          <w:lang w:eastAsia="en-IN"/>
        </w:rPr>
        <w:t xml:space="preserve"> et al 2016). The application of the circular economy can therefore provide a means to increase the level of sustainability within a business activity, but this may undertake a business-centric approach by increasing the level of security within the supply chain (Jacobs and Chase 2017; Slack et al 2016). This implementation of the circular economy for Renault undertook an operations approach by seeking to reduce the amount of waste and arguably has elements of operations and quality management initiatives such as Total Quality Management with its focus on zero waste production and manufacturing (Jacobs and Chase 2017; Slack et al 2016).  These case studies show how the focus on resource security to ensure that a vital resource is protected for the organisation thus focusing on the economic perspective and the environmental one, but also the additional value which this created for societal stakeholders in the area, such as the focus on the environment and societal stakeholders undertaken by Brazil Natura (</w:t>
      </w:r>
      <w:proofErr w:type="spellStart"/>
      <w:r w:rsidRPr="00BE5F4F">
        <w:rPr>
          <w:rFonts w:ascii="Segoe UI" w:eastAsia="Times New Roman" w:hAnsi="Segoe UI" w:cs="Segoe UI"/>
          <w:color w:val="212529"/>
          <w:sz w:val="24"/>
          <w:szCs w:val="24"/>
          <w:lang w:eastAsia="en-IN"/>
        </w:rPr>
        <w:t>Elllen</w:t>
      </w:r>
      <w:proofErr w:type="spellEnd"/>
      <w:r w:rsidRPr="00BE5F4F">
        <w:rPr>
          <w:rFonts w:ascii="Segoe UI" w:eastAsia="Times New Roman" w:hAnsi="Segoe UI" w:cs="Segoe UI"/>
          <w:color w:val="212529"/>
          <w:sz w:val="24"/>
          <w:szCs w:val="24"/>
          <w:lang w:eastAsia="en-IN"/>
        </w:rPr>
        <w:t xml:space="preserve"> MacArthur Foundation 2017b, 2017c).</w:t>
      </w:r>
    </w:p>
    <w:p w:rsidR="00BE5F4F" w:rsidRPr="00BE5F4F" w:rsidRDefault="00BE5F4F" w:rsidP="00BE5F4F">
      <w:pPr>
        <w:shd w:val="clear" w:color="auto" w:fill="FFFFFF"/>
        <w:spacing w:after="144" w:line="240" w:lineRule="auto"/>
        <w:outlineLvl w:val="1"/>
        <w:rPr>
          <w:rFonts w:ascii="Segoe UI" w:eastAsia="Times New Roman" w:hAnsi="Segoe UI" w:cs="Segoe UI"/>
          <w:color w:val="071D37"/>
          <w:sz w:val="36"/>
          <w:szCs w:val="36"/>
          <w:lang w:eastAsia="en-IN"/>
        </w:rPr>
      </w:pPr>
      <w:r w:rsidRPr="00BE5F4F">
        <w:rPr>
          <w:rFonts w:ascii="Segoe UI" w:eastAsia="Times New Roman" w:hAnsi="Segoe UI" w:cs="Segoe UI"/>
          <w:color w:val="071D37"/>
          <w:sz w:val="36"/>
          <w:szCs w:val="36"/>
          <w:lang w:eastAsia="en-IN"/>
        </w:rPr>
        <w:t>Chapter 5: Conclusion</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5.1 Research aim</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 aim of the research was to build on the current level of research to explore the relationship between sustainability and the Circular Economy by considering its impacts on business models and innovation. This was addressed by providing an overview of the concepts of sustainability and the Circular Economy which focused on the economic, societal and environmental challenges which these concepts needed to address (Lewis and Maslin 2018; George et al 2016).</w:t>
      </w:r>
    </w:p>
    <w:p w:rsidR="00BE5F4F" w:rsidRPr="00BE5F4F" w:rsidRDefault="00BE5F4F" w:rsidP="00BE5F4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BE5F4F">
        <w:rPr>
          <w:rFonts w:ascii="Segoe UI" w:eastAsia="Times New Roman" w:hAnsi="Segoe UI" w:cs="Segoe UI"/>
          <w:color w:val="212529"/>
          <w:sz w:val="26"/>
          <w:szCs w:val="26"/>
          <w:lang w:eastAsia="en-IN"/>
        </w:rPr>
        <w:lastRenderedPageBreak/>
        <w:t>5.1.1 Objective 1: To examine the similarities and differences between sustainability and the Circular Economy</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similarities and differences between sustainability ad the Circular Economy </w:t>
      </w:r>
      <w:proofErr w:type="gramStart"/>
      <w:r w:rsidRPr="00BE5F4F">
        <w:rPr>
          <w:rFonts w:ascii="Segoe UI" w:eastAsia="Times New Roman" w:hAnsi="Segoe UI" w:cs="Segoe UI"/>
          <w:color w:val="212529"/>
          <w:sz w:val="24"/>
          <w:szCs w:val="24"/>
          <w:lang w:eastAsia="en-IN"/>
        </w:rPr>
        <w:t>were evaluated</w:t>
      </w:r>
      <w:proofErr w:type="gramEnd"/>
      <w:r w:rsidRPr="00BE5F4F">
        <w:rPr>
          <w:rFonts w:ascii="Segoe UI" w:eastAsia="Times New Roman" w:hAnsi="Segoe UI" w:cs="Segoe UI"/>
          <w:color w:val="212529"/>
          <w:sz w:val="24"/>
          <w:szCs w:val="24"/>
          <w:lang w:eastAsia="en-IN"/>
        </w:rPr>
        <w:t xml:space="preserve"> to assess the overlaps between the two concepts, but to also clarify the different approaches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One of the main differences between sustainability and the Circular Economy relates to the focus of the concepts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It was found that the focus of sustainability relates to the push for an increased level of integration within the relationship between economy, society and the environment (Lewis and Maslin 2018;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In contrast, the Circular Economy undertook an economic perspective which had a subsequent impact upon society and the environment, although both </w:t>
      </w:r>
      <w:proofErr w:type="spellStart"/>
      <w:r w:rsidRPr="00BE5F4F">
        <w:rPr>
          <w:rFonts w:ascii="Segoe UI" w:eastAsia="Times New Roman" w:hAnsi="Segoe UI" w:cs="Segoe UI"/>
          <w:color w:val="212529"/>
          <w:sz w:val="24"/>
          <w:szCs w:val="24"/>
          <w:lang w:eastAsia="en-IN"/>
        </w:rPr>
        <w:t>f</w:t>
      </w:r>
      <w:proofErr w:type="spellEnd"/>
      <w:r w:rsidRPr="00BE5F4F">
        <w:rPr>
          <w:rFonts w:ascii="Segoe UI" w:eastAsia="Times New Roman" w:hAnsi="Segoe UI" w:cs="Segoe UI"/>
          <w:color w:val="212529"/>
          <w:sz w:val="24"/>
          <w:szCs w:val="24"/>
          <w:lang w:eastAsia="en-IN"/>
        </w:rPr>
        <w:t xml:space="preserve"> these factors were evaluated during the decision-making process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w:t>
      </w:r>
    </w:p>
    <w:p w:rsidR="00BE5F4F" w:rsidRPr="00BE5F4F" w:rsidRDefault="00BE5F4F" w:rsidP="00BE5F4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BE5F4F">
        <w:rPr>
          <w:rFonts w:ascii="Segoe UI" w:eastAsia="Times New Roman" w:hAnsi="Segoe UI" w:cs="Segoe UI"/>
          <w:color w:val="212529"/>
          <w:sz w:val="26"/>
          <w:szCs w:val="26"/>
          <w:lang w:eastAsia="en-IN"/>
        </w:rPr>
        <w:t>5.1.2 Objective 2: To investigate the impacts of sustainability and the Circular Economy on business models and innovation</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 investigation of these impacts included a range of business initiatives with some businesses focusing on undertaking more sustainable practices which delivered higher levels of value to its economic, societal and environmental responsibilities, such as Unilever (Unilever 2019). Other case studies demonstrated how business models had been adapted to become more sustainable, in terms of resource use, such as the closed loop recycling at Renault (</w:t>
      </w:r>
      <w:proofErr w:type="spellStart"/>
      <w:r w:rsidRPr="00BE5F4F">
        <w:rPr>
          <w:rFonts w:ascii="Segoe UI" w:eastAsia="Times New Roman" w:hAnsi="Segoe UI" w:cs="Segoe UI"/>
          <w:color w:val="212529"/>
          <w:sz w:val="24"/>
          <w:szCs w:val="24"/>
          <w:lang w:eastAsia="en-IN"/>
        </w:rPr>
        <w:t>Elllen</w:t>
      </w:r>
      <w:proofErr w:type="spellEnd"/>
      <w:r w:rsidRPr="00BE5F4F">
        <w:rPr>
          <w:rFonts w:ascii="Segoe UI" w:eastAsia="Times New Roman" w:hAnsi="Segoe UI" w:cs="Segoe UI"/>
          <w:color w:val="212529"/>
          <w:sz w:val="24"/>
          <w:szCs w:val="24"/>
          <w:lang w:eastAsia="en-IN"/>
        </w:rPr>
        <w:t xml:space="preserve"> MacArthur Foundation 2017ab). Both of these case studies revealed that there was a willingness and motivation to develop and change business models and to innovate to improve sustainable practices and to implement models such as the Circular Economy.</w:t>
      </w:r>
    </w:p>
    <w:p w:rsidR="00BE5F4F" w:rsidRPr="00BE5F4F" w:rsidRDefault="00BE5F4F" w:rsidP="00BE5F4F">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BE5F4F">
        <w:rPr>
          <w:rFonts w:ascii="Segoe UI" w:eastAsia="Times New Roman" w:hAnsi="Segoe UI" w:cs="Segoe UI"/>
          <w:color w:val="212529"/>
          <w:sz w:val="26"/>
          <w:szCs w:val="26"/>
          <w:lang w:eastAsia="en-IN"/>
        </w:rPr>
        <w:t>5.1.3 Objective 3: To evaluate the relationship between Sustainability and the Circular Economy</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This relationship </w:t>
      </w:r>
      <w:proofErr w:type="gramStart"/>
      <w:r w:rsidRPr="00BE5F4F">
        <w:rPr>
          <w:rFonts w:ascii="Segoe UI" w:eastAsia="Times New Roman" w:hAnsi="Segoe UI" w:cs="Segoe UI"/>
          <w:color w:val="212529"/>
          <w:sz w:val="24"/>
          <w:szCs w:val="24"/>
          <w:lang w:eastAsia="en-IN"/>
        </w:rPr>
        <w:t>can be seen</w:t>
      </w:r>
      <w:proofErr w:type="gramEnd"/>
      <w:r w:rsidRPr="00BE5F4F">
        <w:rPr>
          <w:rFonts w:ascii="Segoe UI" w:eastAsia="Times New Roman" w:hAnsi="Segoe UI" w:cs="Segoe UI"/>
          <w:color w:val="212529"/>
          <w:sz w:val="24"/>
          <w:szCs w:val="24"/>
          <w:lang w:eastAsia="en-IN"/>
        </w:rPr>
        <w:t xml:space="preserve"> as being context-specific to the organisation in terms of its strategic priorities and this is reflected in the business-friendly SDGs and the business focus of the Circular Economy (United Nations SDGs 2019; Pauli 2017). This relationship is seen as important for businesses to address, and for some researchers this is becoming more time sensitive given the scale and the urgency of the economic, societal and environmental challenges being faced (Lewis and Maslin 2018; George et al 2016).  However, this relationship has a number of tensions including the perceived trade-offs between economic, societal and environmental factors and the concept of time (Lewis and Maslin 2018;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w:t>
      </w:r>
      <w:proofErr w:type="spellStart"/>
      <w:r w:rsidRPr="00BE5F4F">
        <w:rPr>
          <w:rFonts w:ascii="Segoe UI" w:eastAsia="Times New Roman" w:hAnsi="Segoe UI" w:cs="Segoe UI"/>
          <w:color w:val="212529"/>
          <w:sz w:val="24"/>
          <w:szCs w:val="24"/>
          <w:lang w:eastAsia="en-IN"/>
        </w:rPr>
        <w:t>Rockstrom</w:t>
      </w:r>
      <w:proofErr w:type="spellEnd"/>
      <w:r w:rsidRPr="00BE5F4F">
        <w:rPr>
          <w:rFonts w:ascii="Segoe UI" w:eastAsia="Times New Roman" w:hAnsi="Segoe UI" w:cs="Segoe UI"/>
          <w:color w:val="212529"/>
          <w:sz w:val="24"/>
          <w:szCs w:val="24"/>
          <w:lang w:eastAsia="en-IN"/>
        </w:rPr>
        <w:t xml:space="preserve"> et al 2009). Whilst there is a recognition of the need to undertake some form of activity, there are different levels of willingness and this may see sustainable practices being undertaken which may not use Circular Economy principles and vice versa. In this context, the relationship between sustainability and the Circular </w:t>
      </w:r>
      <w:r w:rsidRPr="00BE5F4F">
        <w:rPr>
          <w:rFonts w:ascii="Segoe UI" w:eastAsia="Times New Roman" w:hAnsi="Segoe UI" w:cs="Segoe UI"/>
          <w:color w:val="212529"/>
          <w:sz w:val="24"/>
          <w:szCs w:val="24"/>
          <w:lang w:eastAsia="en-IN"/>
        </w:rPr>
        <w:lastRenderedPageBreak/>
        <w:t xml:space="preserve">Economy maybe weaker or less defined. This relationship may therefore be different across a range of contexts, but these relationships can also demonstrate how a negative relationship between business activities and the impact of these on society and the environment can also become more positive (Lewis and Maslin 2018; </w:t>
      </w:r>
      <w:proofErr w:type="spellStart"/>
      <w:r w:rsidRPr="00BE5F4F">
        <w:rPr>
          <w:rFonts w:ascii="Segoe UI" w:eastAsia="Times New Roman" w:hAnsi="Segoe UI" w:cs="Segoe UI"/>
          <w:color w:val="212529"/>
          <w:sz w:val="24"/>
          <w:szCs w:val="24"/>
          <w:lang w:eastAsia="en-IN"/>
        </w:rPr>
        <w:t>Elllen</w:t>
      </w:r>
      <w:proofErr w:type="spellEnd"/>
      <w:r w:rsidRPr="00BE5F4F">
        <w:rPr>
          <w:rFonts w:ascii="Segoe UI" w:eastAsia="Times New Roman" w:hAnsi="Segoe UI" w:cs="Segoe UI"/>
          <w:color w:val="212529"/>
          <w:sz w:val="24"/>
          <w:szCs w:val="24"/>
          <w:lang w:eastAsia="en-IN"/>
        </w:rPr>
        <w:t xml:space="preserve"> MacArthur Foundation 2017a).</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5.2 Research limitations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research limitations include the lack of primary data which could have sought to gain a more detailed perspective of the relationship between sustainability and the Circular Economy by addressing issues such as the motivational factors for this. Another research limitation relates to the scope of the dissertation which has undertaken a snapshot of the current level of academic activity and business implementation in this area. Given the long-term view of sustainability and the Circular Economy, any future research may want to undertake a longitudinal approach to assess how the relationship between sustainability and the Circular Economy evolves and develop over time. This would also include addressing the time lags between innovations in sustainable practices and the implementation of these by businesses and any regulatory or political changes (Lewis and Maslin 2018; </w:t>
      </w:r>
      <w:proofErr w:type="spellStart"/>
      <w:r w:rsidRPr="00BE5F4F">
        <w:rPr>
          <w:rFonts w:ascii="Segoe UI" w:eastAsia="Times New Roman" w:hAnsi="Segoe UI" w:cs="Segoe UI"/>
          <w:color w:val="212529"/>
          <w:sz w:val="24"/>
          <w:szCs w:val="24"/>
          <w:lang w:eastAsia="en-IN"/>
        </w:rPr>
        <w:t>Trott</w:t>
      </w:r>
      <w:proofErr w:type="spellEnd"/>
      <w:r w:rsidRPr="00BE5F4F">
        <w:rPr>
          <w:rFonts w:ascii="Segoe UI" w:eastAsia="Times New Roman" w:hAnsi="Segoe UI" w:cs="Segoe UI"/>
          <w:color w:val="212529"/>
          <w:sz w:val="24"/>
          <w:szCs w:val="24"/>
          <w:lang w:eastAsia="en-IN"/>
        </w:rPr>
        <w:t xml:space="preserve"> 2017; Dobson 2016).</w:t>
      </w:r>
    </w:p>
    <w:p w:rsidR="00BE5F4F" w:rsidRPr="00BE5F4F" w:rsidRDefault="00BE5F4F" w:rsidP="00BE5F4F">
      <w:pPr>
        <w:shd w:val="clear" w:color="auto" w:fill="FFFFFF"/>
        <w:spacing w:after="96" w:line="240" w:lineRule="auto"/>
        <w:outlineLvl w:val="2"/>
        <w:rPr>
          <w:rFonts w:ascii="Segoe UI" w:eastAsia="Times New Roman" w:hAnsi="Segoe UI" w:cs="Segoe UI"/>
          <w:color w:val="212529"/>
          <w:sz w:val="31"/>
          <w:szCs w:val="31"/>
          <w:lang w:eastAsia="en-IN"/>
        </w:rPr>
      </w:pPr>
      <w:r w:rsidRPr="00BE5F4F">
        <w:rPr>
          <w:rFonts w:ascii="Segoe UI" w:eastAsia="Times New Roman" w:hAnsi="Segoe UI" w:cs="Segoe UI"/>
          <w:color w:val="212529"/>
          <w:sz w:val="31"/>
          <w:szCs w:val="31"/>
          <w:lang w:eastAsia="en-IN"/>
        </w:rPr>
        <w:t>5.3 Future research areas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The future research areas include a number of potential areas. Firstly, further research is needed on the relationship between sustainability and the Circular Economy and this will need to address how this can be better understood to help support innovation in business models and supply chains to deliver higher levels of positive impacts and value for a greater number of stakeholders (Lewis and Maslin 2018;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Pauli 2017). Another future research area includes the need to assess emerging concepts relating to the increased level of sustainability and the adaptation of the Circular Economy and </w:t>
      </w:r>
      <w:proofErr w:type="gramStart"/>
      <w:r w:rsidRPr="00BE5F4F">
        <w:rPr>
          <w:rFonts w:ascii="Segoe UI" w:eastAsia="Times New Roman" w:hAnsi="Segoe UI" w:cs="Segoe UI"/>
          <w:color w:val="212529"/>
          <w:sz w:val="24"/>
          <w:szCs w:val="24"/>
          <w:lang w:eastAsia="en-IN"/>
        </w:rPr>
        <w:t xml:space="preserve">these are being supported by government stakeholders and being implemented by businesses (European Union 2019;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w:t>
      </w:r>
      <w:proofErr w:type="spellStart"/>
      <w:r w:rsidRPr="00BE5F4F">
        <w:rPr>
          <w:rFonts w:ascii="Segoe UI" w:eastAsia="Times New Roman" w:hAnsi="Segoe UI" w:cs="Segoe UI"/>
          <w:color w:val="212529"/>
          <w:sz w:val="24"/>
          <w:szCs w:val="24"/>
          <w:lang w:eastAsia="en-IN"/>
        </w:rPr>
        <w:t>Bocken</w:t>
      </w:r>
      <w:proofErr w:type="spellEnd"/>
      <w:r w:rsidRPr="00BE5F4F">
        <w:rPr>
          <w:rFonts w:ascii="Segoe UI" w:eastAsia="Times New Roman" w:hAnsi="Segoe UI" w:cs="Segoe UI"/>
          <w:color w:val="212529"/>
          <w:sz w:val="24"/>
          <w:szCs w:val="24"/>
          <w:lang w:eastAsia="en-IN"/>
        </w:rPr>
        <w:t xml:space="preserve"> et al 2016)</w:t>
      </w:r>
      <w:proofErr w:type="gramEnd"/>
      <w:r w:rsidRPr="00BE5F4F">
        <w:rPr>
          <w:rFonts w:ascii="Segoe UI" w:eastAsia="Times New Roman" w:hAnsi="Segoe UI" w:cs="Segoe UI"/>
          <w:color w:val="212529"/>
          <w:sz w:val="24"/>
          <w:szCs w:val="24"/>
          <w:lang w:eastAsia="en-IN"/>
        </w:rPr>
        <w:t>. The potential of this increased level of activity as regards sustainable practices and the Circular Economy will also need to include how these activities are being evaluated and measured using tools such as the triple bottom line and assessing the changes in production and consumption patterns (</w:t>
      </w: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et al 2017; </w:t>
      </w:r>
      <w:proofErr w:type="spellStart"/>
      <w:r w:rsidRPr="00BE5F4F">
        <w:rPr>
          <w:rFonts w:ascii="Segoe UI" w:eastAsia="Times New Roman" w:hAnsi="Segoe UI" w:cs="Segoe UI"/>
          <w:color w:val="212529"/>
          <w:sz w:val="24"/>
          <w:szCs w:val="24"/>
          <w:lang w:eastAsia="en-IN"/>
        </w:rPr>
        <w:t>Bocken</w:t>
      </w:r>
      <w:proofErr w:type="spellEnd"/>
      <w:r w:rsidRPr="00BE5F4F">
        <w:rPr>
          <w:rFonts w:ascii="Segoe UI" w:eastAsia="Times New Roman" w:hAnsi="Segoe UI" w:cs="Segoe UI"/>
          <w:color w:val="212529"/>
          <w:sz w:val="24"/>
          <w:szCs w:val="24"/>
          <w:lang w:eastAsia="en-IN"/>
        </w:rPr>
        <w:t xml:space="preserve"> et al 2016).</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The final area for future research is related to the role of the public sector in undertaking higher levels of sustainability and the Circular Economy and this is currently underexplored as the emphasis of sustainability and Circular Economy research has been on private businesses (</w:t>
      </w: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xml:space="preserve"> and Harris Ali 2017; Crane and Matten 2016; </w:t>
      </w:r>
      <w:proofErr w:type="spellStart"/>
      <w:r w:rsidRPr="00BE5F4F">
        <w:rPr>
          <w:rFonts w:ascii="Segoe UI" w:eastAsia="Times New Roman" w:hAnsi="Segoe UI" w:cs="Segoe UI"/>
          <w:color w:val="212529"/>
          <w:sz w:val="24"/>
          <w:szCs w:val="24"/>
          <w:lang w:eastAsia="en-IN"/>
        </w:rPr>
        <w:t>Blowfield</w:t>
      </w:r>
      <w:proofErr w:type="spellEnd"/>
      <w:r w:rsidRPr="00BE5F4F">
        <w:rPr>
          <w:rFonts w:ascii="Segoe UI" w:eastAsia="Times New Roman" w:hAnsi="Segoe UI" w:cs="Segoe UI"/>
          <w:color w:val="212529"/>
          <w:sz w:val="24"/>
          <w:szCs w:val="24"/>
          <w:lang w:eastAsia="en-IN"/>
        </w:rPr>
        <w:t xml:space="preserve"> and Murray 2014).</w:t>
      </w:r>
    </w:p>
    <w:p w:rsidR="00BE5F4F" w:rsidRPr="00BE5F4F" w:rsidRDefault="00BE5F4F" w:rsidP="00BE5F4F">
      <w:pPr>
        <w:shd w:val="clear" w:color="auto" w:fill="FFFFFF"/>
        <w:spacing w:after="144" w:line="240" w:lineRule="auto"/>
        <w:outlineLvl w:val="1"/>
        <w:rPr>
          <w:rFonts w:ascii="Segoe UI" w:eastAsia="Times New Roman" w:hAnsi="Segoe UI" w:cs="Segoe UI"/>
          <w:color w:val="071D37"/>
          <w:sz w:val="36"/>
          <w:szCs w:val="36"/>
          <w:lang w:eastAsia="en-IN"/>
        </w:rPr>
      </w:pPr>
      <w:r w:rsidRPr="00BE5F4F">
        <w:rPr>
          <w:rFonts w:ascii="Segoe UI" w:eastAsia="Times New Roman" w:hAnsi="Segoe UI" w:cs="Segoe UI"/>
          <w:color w:val="071D37"/>
          <w:sz w:val="36"/>
          <w:szCs w:val="36"/>
          <w:lang w:eastAsia="en-IN"/>
        </w:rPr>
        <w:lastRenderedPageBreak/>
        <w:t>References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Beder</w:t>
      </w:r>
      <w:proofErr w:type="spellEnd"/>
      <w:r w:rsidRPr="00BE5F4F">
        <w:rPr>
          <w:rFonts w:ascii="Segoe UI" w:eastAsia="Times New Roman" w:hAnsi="Segoe UI" w:cs="Segoe UI"/>
          <w:color w:val="212529"/>
          <w:sz w:val="24"/>
          <w:szCs w:val="24"/>
          <w:lang w:eastAsia="en-IN"/>
        </w:rPr>
        <w:t>, S (2006) </w:t>
      </w:r>
      <w:r w:rsidRPr="00BE5F4F">
        <w:rPr>
          <w:rFonts w:ascii="Segoe UI" w:eastAsia="Times New Roman" w:hAnsi="Segoe UI" w:cs="Segoe UI"/>
          <w:i/>
          <w:iCs/>
          <w:color w:val="212529"/>
          <w:sz w:val="24"/>
          <w:szCs w:val="24"/>
          <w:lang w:eastAsia="en-IN"/>
        </w:rPr>
        <w:t>Environmental Principles and Policies – An interdisciplinary introduction</w:t>
      </w:r>
      <w:r w:rsidRPr="00BE5F4F">
        <w:rPr>
          <w:rFonts w:ascii="Segoe UI" w:eastAsia="Times New Roman" w:hAnsi="Segoe UI" w:cs="Segoe UI"/>
          <w:color w:val="212529"/>
          <w:sz w:val="24"/>
          <w:szCs w:val="24"/>
          <w:lang w:eastAsia="en-IN"/>
        </w:rPr>
        <w:t> (1</w:t>
      </w:r>
      <w:r w:rsidRPr="00BE5F4F">
        <w:rPr>
          <w:rFonts w:ascii="Segoe UI" w:eastAsia="Times New Roman" w:hAnsi="Segoe UI" w:cs="Segoe UI"/>
          <w:color w:val="212529"/>
          <w:sz w:val="18"/>
          <w:szCs w:val="18"/>
          <w:vertAlign w:val="superscript"/>
          <w:lang w:eastAsia="en-IN"/>
        </w:rPr>
        <w:t>st</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xml:space="preserve">.) London: </w:t>
      </w:r>
      <w:proofErr w:type="spellStart"/>
      <w:r w:rsidRPr="00BE5F4F">
        <w:rPr>
          <w:rFonts w:ascii="Segoe UI" w:eastAsia="Times New Roman" w:hAnsi="Segoe UI" w:cs="Segoe UI"/>
          <w:color w:val="212529"/>
          <w:sz w:val="24"/>
          <w:szCs w:val="24"/>
          <w:lang w:eastAsia="en-IN"/>
        </w:rPr>
        <w:t>Earthscan</w:t>
      </w:r>
      <w:proofErr w:type="spellEnd"/>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Benyus</w:t>
      </w:r>
      <w:proofErr w:type="spellEnd"/>
      <w:r w:rsidRPr="00BE5F4F">
        <w:rPr>
          <w:rFonts w:ascii="Segoe UI" w:eastAsia="Times New Roman" w:hAnsi="Segoe UI" w:cs="Segoe UI"/>
          <w:color w:val="212529"/>
          <w:sz w:val="24"/>
          <w:szCs w:val="24"/>
          <w:lang w:eastAsia="en-IN"/>
        </w:rPr>
        <w:t>, J.M. (2002) </w:t>
      </w:r>
      <w:r w:rsidRPr="00BE5F4F">
        <w:rPr>
          <w:rFonts w:ascii="Segoe UI" w:eastAsia="Times New Roman" w:hAnsi="Segoe UI" w:cs="Segoe UI"/>
          <w:i/>
          <w:iCs/>
          <w:color w:val="212529"/>
          <w:sz w:val="24"/>
          <w:szCs w:val="24"/>
          <w:lang w:eastAsia="en-IN"/>
        </w:rPr>
        <w:t>Biomimicry.</w:t>
      </w:r>
      <w:r w:rsidRPr="00BE5F4F">
        <w:rPr>
          <w:rFonts w:ascii="Segoe UI" w:eastAsia="Times New Roman" w:hAnsi="Segoe UI" w:cs="Segoe UI"/>
          <w:color w:val="212529"/>
          <w:sz w:val="24"/>
          <w:szCs w:val="24"/>
          <w:lang w:eastAsia="en-IN"/>
        </w:rPr>
        <w:t> (1</w:t>
      </w:r>
      <w:r w:rsidRPr="00BE5F4F">
        <w:rPr>
          <w:rFonts w:ascii="Segoe UI" w:eastAsia="Times New Roman" w:hAnsi="Segoe UI" w:cs="Segoe UI"/>
          <w:color w:val="212529"/>
          <w:sz w:val="18"/>
          <w:szCs w:val="18"/>
          <w:vertAlign w:val="superscript"/>
          <w:lang w:eastAsia="en-IN"/>
        </w:rPr>
        <w:t>st</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Harper Perennial, New York.</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Blowfield</w:t>
      </w:r>
      <w:proofErr w:type="spellEnd"/>
      <w:r w:rsidRPr="00BE5F4F">
        <w:rPr>
          <w:rFonts w:ascii="Segoe UI" w:eastAsia="Times New Roman" w:hAnsi="Segoe UI" w:cs="Segoe UI"/>
          <w:color w:val="212529"/>
          <w:sz w:val="24"/>
          <w:szCs w:val="24"/>
          <w:lang w:eastAsia="en-IN"/>
        </w:rPr>
        <w:t>, M. and Murray, A. (2014) </w:t>
      </w:r>
      <w:r w:rsidRPr="00BE5F4F">
        <w:rPr>
          <w:rFonts w:ascii="Segoe UI" w:eastAsia="Times New Roman" w:hAnsi="Segoe UI" w:cs="Segoe UI"/>
          <w:i/>
          <w:iCs/>
          <w:color w:val="212529"/>
          <w:sz w:val="24"/>
          <w:szCs w:val="24"/>
          <w:lang w:eastAsia="en-IN"/>
        </w:rPr>
        <w:t>Corporate responsibility</w:t>
      </w:r>
      <w:r w:rsidRPr="00BE5F4F">
        <w:rPr>
          <w:rFonts w:ascii="Segoe UI" w:eastAsia="Times New Roman" w:hAnsi="Segoe UI" w:cs="Segoe UI"/>
          <w:color w:val="212529"/>
          <w:sz w:val="24"/>
          <w:szCs w:val="24"/>
          <w:lang w:eastAsia="en-IN"/>
        </w:rPr>
        <w:t> (3</w:t>
      </w:r>
      <w:r w:rsidRPr="00BE5F4F">
        <w:rPr>
          <w:rFonts w:ascii="Segoe UI" w:eastAsia="Times New Roman" w:hAnsi="Segoe UI" w:cs="Segoe UI"/>
          <w:color w:val="212529"/>
          <w:sz w:val="18"/>
          <w:szCs w:val="18"/>
          <w:vertAlign w:val="superscript"/>
          <w:lang w:eastAsia="en-IN"/>
        </w:rPr>
        <w:t>rd</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Oxford: Oxford University Press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Bocken</w:t>
      </w:r>
      <w:proofErr w:type="spellEnd"/>
      <w:r w:rsidRPr="00BE5F4F">
        <w:rPr>
          <w:rFonts w:ascii="Segoe UI" w:eastAsia="Times New Roman" w:hAnsi="Segoe UI" w:cs="Segoe UI"/>
          <w:color w:val="212529"/>
          <w:sz w:val="24"/>
          <w:szCs w:val="24"/>
          <w:lang w:eastAsia="en-IN"/>
        </w:rPr>
        <w:t xml:space="preserve">, N.M.P., de </w:t>
      </w:r>
      <w:proofErr w:type="spellStart"/>
      <w:r w:rsidRPr="00BE5F4F">
        <w:rPr>
          <w:rFonts w:ascii="Segoe UI" w:eastAsia="Times New Roman" w:hAnsi="Segoe UI" w:cs="Segoe UI"/>
          <w:color w:val="212529"/>
          <w:sz w:val="24"/>
          <w:szCs w:val="24"/>
          <w:lang w:eastAsia="en-IN"/>
        </w:rPr>
        <w:t>Pauw</w:t>
      </w:r>
      <w:proofErr w:type="spellEnd"/>
      <w:r w:rsidRPr="00BE5F4F">
        <w:rPr>
          <w:rFonts w:ascii="Segoe UI" w:eastAsia="Times New Roman" w:hAnsi="Segoe UI" w:cs="Segoe UI"/>
          <w:color w:val="212529"/>
          <w:sz w:val="24"/>
          <w:szCs w:val="24"/>
          <w:lang w:eastAsia="en-IN"/>
        </w:rPr>
        <w:t xml:space="preserve">, I., Bakker, C. and van der </w:t>
      </w:r>
      <w:proofErr w:type="spellStart"/>
      <w:r w:rsidRPr="00BE5F4F">
        <w:rPr>
          <w:rFonts w:ascii="Segoe UI" w:eastAsia="Times New Roman" w:hAnsi="Segoe UI" w:cs="Segoe UI"/>
          <w:color w:val="212529"/>
          <w:sz w:val="24"/>
          <w:szCs w:val="24"/>
          <w:lang w:eastAsia="en-IN"/>
        </w:rPr>
        <w:t>Grinten</w:t>
      </w:r>
      <w:proofErr w:type="spellEnd"/>
      <w:r w:rsidRPr="00BE5F4F">
        <w:rPr>
          <w:rFonts w:ascii="Segoe UI" w:eastAsia="Times New Roman" w:hAnsi="Segoe UI" w:cs="Segoe UI"/>
          <w:color w:val="212529"/>
          <w:sz w:val="24"/>
          <w:szCs w:val="24"/>
          <w:lang w:eastAsia="en-IN"/>
        </w:rPr>
        <w:t>, B., (2016) ‘Product design and business model strategies for a circular economy.’</w:t>
      </w:r>
      <w:r w:rsidRPr="00BE5F4F">
        <w:rPr>
          <w:rFonts w:ascii="Segoe UI" w:eastAsia="Times New Roman" w:hAnsi="Segoe UI" w:cs="Segoe UI"/>
          <w:i/>
          <w:iCs/>
          <w:color w:val="212529"/>
          <w:sz w:val="24"/>
          <w:szCs w:val="24"/>
          <w:lang w:eastAsia="en-IN"/>
        </w:rPr>
        <w:t> Journal of Industrial Product Engineering </w:t>
      </w:r>
      <w:r w:rsidRPr="00BE5F4F">
        <w:rPr>
          <w:rFonts w:ascii="Segoe UI" w:eastAsia="Times New Roman" w:hAnsi="Segoe UI" w:cs="Segoe UI"/>
          <w:color w:val="212529"/>
          <w:sz w:val="24"/>
          <w:szCs w:val="24"/>
          <w:lang w:eastAsia="en-IN"/>
        </w:rPr>
        <w:t>Vol.33 (5), pp.308–320.</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Braungart</w:t>
      </w:r>
      <w:proofErr w:type="spellEnd"/>
      <w:r w:rsidRPr="00BE5F4F">
        <w:rPr>
          <w:rFonts w:ascii="Segoe UI" w:eastAsia="Times New Roman" w:hAnsi="Segoe UI" w:cs="Segoe UI"/>
          <w:color w:val="212529"/>
          <w:sz w:val="24"/>
          <w:szCs w:val="24"/>
          <w:lang w:eastAsia="en-IN"/>
        </w:rPr>
        <w:t>, M. and McDonough, W. (2009) </w:t>
      </w:r>
      <w:r w:rsidRPr="00BE5F4F">
        <w:rPr>
          <w:rFonts w:ascii="Segoe UI" w:eastAsia="Times New Roman" w:hAnsi="Segoe UI" w:cs="Segoe UI"/>
          <w:i/>
          <w:iCs/>
          <w:color w:val="212529"/>
          <w:sz w:val="24"/>
          <w:szCs w:val="24"/>
          <w:lang w:eastAsia="en-IN"/>
        </w:rPr>
        <w:t>Cradle to Cradle: Remaking the way we make things </w:t>
      </w:r>
      <w:r w:rsidRPr="00BE5F4F">
        <w:rPr>
          <w:rFonts w:ascii="Segoe UI" w:eastAsia="Times New Roman" w:hAnsi="Segoe UI" w:cs="Segoe UI"/>
          <w:color w:val="212529"/>
          <w:sz w:val="24"/>
          <w:szCs w:val="24"/>
          <w:lang w:eastAsia="en-IN"/>
        </w:rPr>
        <w:t>(2</w:t>
      </w:r>
      <w:r w:rsidRPr="00BE5F4F">
        <w:rPr>
          <w:rFonts w:ascii="Segoe UI" w:eastAsia="Times New Roman" w:hAnsi="Segoe UI" w:cs="Segoe UI"/>
          <w:color w:val="212529"/>
          <w:sz w:val="18"/>
          <w:szCs w:val="18"/>
          <w:vertAlign w:val="superscript"/>
          <w:lang w:eastAsia="en-IN"/>
        </w:rPr>
        <w:t>nd</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London: Vintage</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Bryman, A. and Bell, E. (2015) </w:t>
      </w:r>
      <w:r w:rsidRPr="00BE5F4F">
        <w:rPr>
          <w:rFonts w:ascii="Segoe UI" w:eastAsia="Times New Roman" w:hAnsi="Segoe UI" w:cs="Segoe UI"/>
          <w:i/>
          <w:iCs/>
          <w:color w:val="212529"/>
          <w:sz w:val="24"/>
          <w:szCs w:val="24"/>
          <w:lang w:eastAsia="en-IN"/>
        </w:rPr>
        <w:t>Business Research Methods.</w:t>
      </w:r>
      <w:r w:rsidRPr="00BE5F4F">
        <w:rPr>
          <w:rFonts w:ascii="Segoe UI" w:eastAsia="Times New Roman" w:hAnsi="Segoe UI" w:cs="Segoe UI"/>
          <w:color w:val="212529"/>
          <w:sz w:val="24"/>
          <w:szCs w:val="24"/>
          <w:lang w:eastAsia="en-IN"/>
        </w:rPr>
        <w:t> (4</w:t>
      </w:r>
      <w:r w:rsidRPr="00BE5F4F">
        <w:rPr>
          <w:rFonts w:ascii="Segoe UI" w:eastAsia="Times New Roman" w:hAnsi="Segoe UI" w:cs="Segoe UI"/>
          <w:color w:val="212529"/>
          <w:sz w:val="18"/>
          <w:szCs w:val="18"/>
          <w:vertAlign w:val="superscript"/>
          <w:lang w:eastAsia="en-IN"/>
        </w:rPr>
        <w:t>th</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Oxford: Oxford University Press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Collis, J. and Hussey, R. (2014) </w:t>
      </w:r>
      <w:r w:rsidRPr="00BE5F4F">
        <w:rPr>
          <w:rFonts w:ascii="Segoe UI" w:eastAsia="Times New Roman" w:hAnsi="Segoe UI" w:cs="Segoe UI"/>
          <w:i/>
          <w:iCs/>
          <w:color w:val="212529"/>
          <w:sz w:val="24"/>
          <w:szCs w:val="24"/>
          <w:lang w:eastAsia="en-IN"/>
        </w:rPr>
        <w:t>Business Research: A Practical Guide for Undergraduate and Postgraduate Students (</w:t>
      </w:r>
      <w:r w:rsidRPr="00BE5F4F">
        <w:rPr>
          <w:rFonts w:ascii="Segoe UI" w:eastAsia="Times New Roman" w:hAnsi="Segoe UI" w:cs="Segoe UI"/>
          <w:color w:val="212529"/>
          <w:sz w:val="24"/>
          <w:szCs w:val="24"/>
          <w:lang w:eastAsia="en-IN"/>
        </w:rPr>
        <w:t>4</w:t>
      </w:r>
      <w:r w:rsidRPr="00BE5F4F">
        <w:rPr>
          <w:rFonts w:ascii="Segoe UI" w:eastAsia="Times New Roman" w:hAnsi="Segoe UI" w:cs="Segoe UI"/>
          <w:color w:val="212529"/>
          <w:sz w:val="18"/>
          <w:szCs w:val="18"/>
          <w:vertAlign w:val="superscript"/>
          <w:lang w:eastAsia="en-IN"/>
        </w:rPr>
        <w:t>th</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Hampshire: Palgrave MacMillan</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Conner, P. (2015) ‘Internet of Things Presents Opportunities for Social Entrepreneurs’ [online] Available from </w:t>
      </w:r>
      <w:hyperlink r:id="rId11" w:tgtFrame="_blank" w:history="1">
        <w:r w:rsidRPr="00BE5F4F">
          <w:rPr>
            <w:rFonts w:ascii="Segoe UI" w:eastAsia="Times New Roman" w:hAnsi="Segoe UI" w:cs="Segoe UI"/>
            <w:color w:val="0B57A8"/>
            <w:sz w:val="24"/>
            <w:szCs w:val="24"/>
            <w:u w:val="single"/>
            <w:lang w:eastAsia="en-IN"/>
          </w:rPr>
          <w:t>http://archive.skoll.org/2015/09/11/internet-of-things-presents-opportunities-for-social-entrepreneurs/</w:t>
        </w:r>
      </w:hyperlink>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Cosimato</w:t>
      </w:r>
      <w:proofErr w:type="spellEnd"/>
      <w:r w:rsidRPr="00BE5F4F">
        <w:rPr>
          <w:rFonts w:ascii="Segoe UI" w:eastAsia="Times New Roman" w:hAnsi="Segoe UI" w:cs="Segoe UI"/>
          <w:color w:val="212529"/>
          <w:sz w:val="24"/>
          <w:szCs w:val="24"/>
          <w:lang w:eastAsia="en-IN"/>
        </w:rPr>
        <w:t xml:space="preserve">, S. and </w:t>
      </w:r>
      <w:proofErr w:type="spellStart"/>
      <w:r w:rsidRPr="00BE5F4F">
        <w:rPr>
          <w:rFonts w:ascii="Segoe UI" w:eastAsia="Times New Roman" w:hAnsi="Segoe UI" w:cs="Segoe UI"/>
          <w:color w:val="212529"/>
          <w:sz w:val="24"/>
          <w:szCs w:val="24"/>
          <w:lang w:eastAsia="en-IN"/>
        </w:rPr>
        <w:t>Troisi</w:t>
      </w:r>
      <w:proofErr w:type="spellEnd"/>
      <w:r w:rsidRPr="00BE5F4F">
        <w:rPr>
          <w:rFonts w:ascii="Segoe UI" w:eastAsia="Times New Roman" w:hAnsi="Segoe UI" w:cs="Segoe UI"/>
          <w:color w:val="212529"/>
          <w:sz w:val="24"/>
          <w:szCs w:val="24"/>
          <w:lang w:eastAsia="en-IN"/>
        </w:rPr>
        <w:t>, O. (2015) ‘Green supply chain management’ </w:t>
      </w:r>
      <w:r w:rsidRPr="00BE5F4F">
        <w:rPr>
          <w:rFonts w:ascii="Segoe UI" w:eastAsia="Times New Roman" w:hAnsi="Segoe UI" w:cs="Segoe UI"/>
          <w:i/>
          <w:iCs/>
          <w:color w:val="212529"/>
          <w:sz w:val="24"/>
          <w:szCs w:val="24"/>
          <w:lang w:eastAsia="en-IN"/>
        </w:rPr>
        <w:t>The TQM Journal</w:t>
      </w:r>
      <w:r w:rsidRPr="00BE5F4F">
        <w:rPr>
          <w:rFonts w:ascii="Segoe UI" w:eastAsia="Times New Roman" w:hAnsi="Segoe UI" w:cs="Segoe UI"/>
          <w:color w:val="212529"/>
          <w:sz w:val="24"/>
          <w:szCs w:val="24"/>
          <w:lang w:eastAsia="en-IN"/>
        </w:rPr>
        <w:t xml:space="preserve">, </w:t>
      </w:r>
      <w:proofErr w:type="gramStart"/>
      <w:r w:rsidRPr="00BE5F4F">
        <w:rPr>
          <w:rFonts w:ascii="Segoe UI" w:eastAsia="Times New Roman" w:hAnsi="Segoe UI" w:cs="Segoe UI"/>
          <w:color w:val="212529"/>
          <w:sz w:val="24"/>
          <w:szCs w:val="24"/>
          <w:lang w:eastAsia="en-IN"/>
        </w:rPr>
        <w:t>Vol.27(</w:t>
      </w:r>
      <w:proofErr w:type="gramEnd"/>
      <w:r w:rsidRPr="00BE5F4F">
        <w:rPr>
          <w:rFonts w:ascii="Segoe UI" w:eastAsia="Times New Roman" w:hAnsi="Segoe UI" w:cs="Segoe UI"/>
          <w:color w:val="212529"/>
          <w:sz w:val="24"/>
          <w:szCs w:val="24"/>
          <w:lang w:eastAsia="en-IN"/>
        </w:rPr>
        <w:t>2), pp.256-276</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Crane, A. and Matten, D. (2016) </w:t>
      </w:r>
      <w:r w:rsidRPr="00BE5F4F">
        <w:rPr>
          <w:rFonts w:ascii="Segoe UI" w:eastAsia="Times New Roman" w:hAnsi="Segoe UI" w:cs="Segoe UI"/>
          <w:i/>
          <w:iCs/>
          <w:color w:val="212529"/>
          <w:sz w:val="24"/>
          <w:szCs w:val="24"/>
          <w:lang w:eastAsia="en-IN"/>
        </w:rPr>
        <w:t>Business ethics: Managing Corporate Citizenship and Sustainability in the Age of Globalisation</w:t>
      </w:r>
      <w:r w:rsidRPr="00BE5F4F">
        <w:rPr>
          <w:rFonts w:ascii="Segoe UI" w:eastAsia="Times New Roman" w:hAnsi="Segoe UI" w:cs="Segoe UI"/>
          <w:color w:val="212529"/>
          <w:sz w:val="24"/>
          <w:szCs w:val="24"/>
          <w:lang w:eastAsia="en-IN"/>
        </w:rPr>
        <w:t> (4</w:t>
      </w:r>
      <w:r w:rsidRPr="00BE5F4F">
        <w:rPr>
          <w:rFonts w:ascii="Segoe UI" w:eastAsia="Times New Roman" w:hAnsi="Segoe UI" w:cs="Segoe UI"/>
          <w:color w:val="212529"/>
          <w:sz w:val="18"/>
          <w:szCs w:val="18"/>
          <w:vertAlign w:val="superscript"/>
          <w:lang w:eastAsia="en-IN"/>
        </w:rPr>
        <w:t>th</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Oxford: Oxford University Press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xml:space="preserve">, J.W. and </w:t>
      </w:r>
      <w:proofErr w:type="spellStart"/>
      <w:r w:rsidRPr="00BE5F4F">
        <w:rPr>
          <w:rFonts w:ascii="Segoe UI" w:eastAsia="Times New Roman" w:hAnsi="Segoe UI" w:cs="Segoe UI"/>
          <w:color w:val="212529"/>
          <w:sz w:val="24"/>
          <w:szCs w:val="24"/>
          <w:lang w:eastAsia="en-IN"/>
        </w:rPr>
        <w:t>Cresswell</w:t>
      </w:r>
      <w:proofErr w:type="spellEnd"/>
      <w:r w:rsidRPr="00BE5F4F">
        <w:rPr>
          <w:rFonts w:ascii="Segoe UI" w:eastAsia="Times New Roman" w:hAnsi="Segoe UI" w:cs="Segoe UI"/>
          <w:color w:val="212529"/>
          <w:sz w:val="24"/>
          <w:szCs w:val="24"/>
          <w:lang w:eastAsia="en-IN"/>
        </w:rPr>
        <w:t>, J.D. (2018) </w:t>
      </w:r>
      <w:r w:rsidRPr="00BE5F4F">
        <w:rPr>
          <w:rFonts w:ascii="Segoe UI" w:eastAsia="Times New Roman" w:hAnsi="Segoe UI" w:cs="Segoe UI"/>
          <w:i/>
          <w:iCs/>
          <w:color w:val="212529"/>
          <w:sz w:val="24"/>
          <w:szCs w:val="24"/>
          <w:lang w:eastAsia="en-IN"/>
        </w:rPr>
        <w:t>Research Design: Qualitative, Quantitative and Mixed Method Approaches</w:t>
      </w:r>
      <w:r w:rsidRPr="00BE5F4F">
        <w:rPr>
          <w:rFonts w:ascii="Segoe UI" w:eastAsia="Times New Roman" w:hAnsi="Segoe UI" w:cs="Segoe UI"/>
          <w:color w:val="212529"/>
          <w:sz w:val="24"/>
          <w:szCs w:val="24"/>
          <w:lang w:eastAsia="en-IN"/>
        </w:rPr>
        <w:t> (5</w:t>
      </w:r>
      <w:r w:rsidRPr="00BE5F4F">
        <w:rPr>
          <w:rFonts w:ascii="Segoe UI" w:eastAsia="Times New Roman" w:hAnsi="Segoe UI" w:cs="Segoe UI"/>
          <w:color w:val="212529"/>
          <w:sz w:val="18"/>
          <w:szCs w:val="18"/>
          <w:vertAlign w:val="superscript"/>
          <w:lang w:eastAsia="en-IN"/>
        </w:rPr>
        <w:t>th</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London: Sage</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Dobson, A. (2016) </w:t>
      </w:r>
      <w:r w:rsidRPr="00BE5F4F">
        <w:rPr>
          <w:rFonts w:ascii="Segoe UI" w:eastAsia="Times New Roman" w:hAnsi="Segoe UI" w:cs="Segoe UI"/>
          <w:i/>
          <w:iCs/>
          <w:color w:val="212529"/>
          <w:sz w:val="24"/>
          <w:szCs w:val="24"/>
          <w:lang w:eastAsia="en-IN"/>
        </w:rPr>
        <w:t>Environmental politics: a very short introduction</w:t>
      </w:r>
      <w:r w:rsidRPr="00BE5F4F">
        <w:rPr>
          <w:rFonts w:ascii="Segoe UI" w:eastAsia="Times New Roman" w:hAnsi="Segoe UI" w:cs="Segoe UI"/>
          <w:color w:val="212529"/>
          <w:sz w:val="24"/>
          <w:szCs w:val="24"/>
          <w:lang w:eastAsia="en-IN"/>
        </w:rPr>
        <w:t> Oxford: Oxford University Press.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Dul</w:t>
      </w:r>
      <w:proofErr w:type="spellEnd"/>
      <w:r w:rsidRPr="00BE5F4F">
        <w:rPr>
          <w:rFonts w:ascii="Segoe UI" w:eastAsia="Times New Roman" w:hAnsi="Segoe UI" w:cs="Segoe UI"/>
          <w:color w:val="212529"/>
          <w:sz w:val="24"/>
          <w:szCs w:val="24"/>
          <w:lang w:eastAsia="en-IN"/>
        </w:rPr>
        <w:t xml:space="preserve">, J. and </w:t>
      </w:r>
      <w:proofErr w:type="spellStart"/>
      <w:r w:rsidRPr="00BE5F4F">
        <w:rPr>
          <w:rFonts w:ascii="Segoe UI" w:eastAsia="Times New Roman" w:hAnsi="Segoe UI" w:cs="Segoe UI"/>
          <w:color w:val="212529"/>
          <w:sz w:val="24"/>
          <w:szCs w:val="24"/>
          <w:lang w:eastAsia="en-IN"/>
        </w:rPr>
        <w:t>Hak</w:t>
      </w:r>
      <w:proofErr w:type="spellEnd"/>
      <w:r w:rsidRPr="00BE5F4F">
        <w:rPr>
          <w:rFonts w:ascii="Segoe UI" w:eastAsia="Times New Roman" w:hAnsi="Segoe UI" w:cs="Segoe UI"/>
          <w:color w:val="212529"/>
          <w:sz w:val="24"/>
          <w:szCs w:val="24"/>
          <w:lang w:eastAsia="en-IN"/>
        </w:rPr>
        <w:t>, T. (2008) </w:t>
      </w:r>
      <w:r w:rsidRPr="00BE5F4F">
        <w:rPr>
          <w:rFonts w:ascii="Segoe UI" w:eastAsia="Times New Roman" w:hAnsi="Segoe UI" w:cs="Segoe UI"/>
          <w:i/>
          <w:iCs/>
          <w:color w:val="212529"/>
          <w:sz w:val="24"/>
          <w:szCs w:val="24"/>
          <w:lang w:eastAsia="en-IN"/>
        </w:rPr>
        <w:t>Case Study Methodology in Business Research</w:t>
      </w:r>
      <w:r w:rsidRPr="00BE5F4F">
        <w:rPr>
          <w:rFonts w:ascii="Segoe UI" w:eastAsia="Times New Roman" w:hAnsi="Segoe UI" w:cs="Segoe UI"/>
          <w:color w:val="212529"/>
          <w:sz w:val="24"/>
          <w:szCs w:val="24"/>
          <w:lang w:eastAsia="en-IN"/>
        </w:rPr>
        <w:t> (1</w:t>
      </w:r>
      <w:r w:rsidRPr="00BE5F4F">
        <w:rPr>
          <w:rFonts w:ascii="Segoe UI" w:eastAsia="Times New Roman" w:hAnsi="Segoe UI" w:cs="Segoe UI"/>
          <w:color w:val="212529"/>
          <w:sz w:val="18"/>
          <w:szCs w:val="18"/>
          <w:vertAlign w:val="superscript"/>
          <w:lang w:eastAsia="en-IN"/>
        </w:rPr>
        <w:t>st</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Butterworth- Oxford: Heinemann</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Eggleton</w:t>
      </w:r>
      <w:proofErr w:type="spellEnd"/>
      <w:r w:rsidRPr="00BE5F4F">
        <w:rPr>
          <w:rFonts w:ascii="Segoe UI" w:eastAsia="Times New Roman" w:hAnsi="Segoe UI" w:cs="Segoe UI"/>
          <w:color w:val="212529"/>
          <w:sz w:val="24"/>
          <w:szCs w:val="24"/>
          <w:lang w:eastAsia="en-IN"/>
        </w:rPr>
        <w:t>, T. (2013) </w:t>
      </w:r>
      <w:proofErr w:type="gramStart"/>
      <w:r w:rsidRPr="00BE5F4F">
        <w:rPr>
          <w:rFonts w:ascii="Segoe UI" w:eastAsia="Times New Roman" w:hAnsi="Segoe UI" w:cs="Segoe UI"/>
          <w:i/>
          <w:iCs/>
          <w:color w:val="212529"/>
          <w:sz w:val="24"/>
          <w:szCs w:val="24"/>
          <w:lang w:eastAsia="en-IN"/>
        </w:rPr>
        <w:t>A</w:t>
      </w:r>
      <w:proofErr w:type="gramEnd"/>
      <w:r w:rsidRPr="00BE5F4F">
        <w:rPr>
          <w:rFonts w:ascii="Segoe UI" w:eastAsia="Times New Roman" w:hAnsi="Segoe UI" w:cs="Segoe UI"/>
          <w:i/>
          <w:iCs/>
          <w:color w:val="212529"/>
          <w:sz w:val="24"/>
          <w:szCs w:val="24"/>
          <w:lang w:eastAsia="en-IN"/>
        </w:rPr>
        <w:t xml:space="preserve"> short introduction to climate change</w:t>
      </w:r>
      <w:r w:rsidRPr="00BE5F4F">
        <w:rPr>
          <w:rFonts w:ascii="Segoe UI" w:eastAsia="Times New Roman" w:hAnsi="Segoe UI" w:cs="Segoe UI"/>
          <w:color w:val="212529"/>
          <w:sz w:val="24"/>
          <w:szCs w:val="24"/>
          <w:lang w:eastAsia="en-IN"/>
        </w:rPr>
        <w:t> (1</w:t>
      </w:r>
      <w:r w:rsidRPr="00BE5F4F">
        <w:rPr>
          <w:rFonts w:ascii="Segoe UI" w:eastAsia="Times New Roman" w:hAnsi="Segoe UI" w:cs="Segoe UI"/>
          <w:color w:val="212529"/>
          <w:sz w:val="18"/>
          <w:szCs w:val="18"/>
          <w:vertAlign w:val="superscript"/>
          <w:lang w:eastAsia="en-IN"/>
        </w:rPr>
        <w:t>st</w:t>
      </w:r>
      <w:r w:rsidRPr="00BE5F4F">
        <w:rPr>
          <w:rFonts w:ascii="Segoe UI" w:eastAsia="Times New Roman" w:hAnsi="Segoe UI" w:cs="Segoe UI"/>
          <w:color w:val="212529"/>
          <w:sz w:val="24"/>
          <w:szCs w:val="24"/>
          <w:lang w:eastAsia="en-IN"/>
        </w:rPr>
        <w:t> ed.) Cambridge: Cambridge University Press.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lastRenderedPageBreak/>
        <w:t>Ellen MacArthur Foundation (2017a) ‘Concept’ [online] Available from </w:t>
      </w:r>
      <w:hyperlink r:id="rId12" w:tgtFrame="_blank" w:history="1">
        <w:r w:rsidRPr="00BE5F4F">
          <w:rPr>
            <w:rFonts w:ascii="Segoe UI" w:eastAsia="Times New Roman" w:hAnsi="Segoe UI" w:cs="Segoe UI"/>
            <w:color w:val="0B57A8"/>
            <w:sz w:val="24"/>
            <w:szCs w:val="24"/>
            <w:u w:val="single"/>
            <w:lang w:eastAsia="en-IN"/>
          </w:rPr>
          <w:t>https://www.ellenmacarthurfoundation.org/circular-economy/concept</w:t>
        </w:r>
      </w:hyperlink>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Ellen MacArthur Foundation (2017b) ‘Case Studies’ [online] Available from </w:t>
      </w:r>
      <w:hyperlink r:id="rId13" w:tgtFrame="_blank" w:history="1">
        <w:r w:rsidRPr="00BE5F4F">
          <w:rPr>
            <w:rFonts w:ascii="Segoe UI" w:eastAsia="Times New Roman" w:hAnsi="Segoe UI" w:cs="Segoe UI"/>
            <w:color w:val="0B57A8"/>
            <w:sz w:val="24"/>
            <w:szCs w:val="24"/>
            <w:u w:val="single"/>
            <w:lang w:eastAsia="en-IN"/>
          </w:rPr>
          <w:t>https://www.ellenmacarthurfoundation.org/case-studies/creating-a-regenerative-economy-in-the-amazon-forest</w:t>
        </w:r>
      </w:hyperlink>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Ellen MacArthur Foundation (2017c) ‘Case Studies’ [online] Available from </w:t>
      </w:r>
      <w:hyperlink r:id="rId14" w:tgtFrame="_blank" w:history="1">
        <w:r w:rsidRPr="00BE5F4F">
          <w:rPr>
            <w:rFonts w:ascii="Segoe UI" w:eastAsia="Times New Roman" w:hAnsi="Segoe UI" w:cs="Segoe UI"/>
            <w:color w:val="0B57A8"/>
            <w:sz w:val="24"/>
            <w:szCs w:val="24"/>
            <w:u w:val="single"/>
            <w:lang w:eastAsia="en-IN"/>
          </w:rPr>
          <w:t>https://www.ellenmacarthurfoundation.org/case-studies/short-loop-recycling-of-plastics-in-vehicle-manufacturing</w:t>
        </w:r>
      </w:hyperlink>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Ellen MacArthur Foundation (2015) ‘Case studies: Internet enabled pay per wash: a model offering multiple benefits’ [online] Available from </w:t>
      </w:r>
      <w:hyperlink r:id="rId15" w:tgtFrame="_blank" w:history="1">
        <w:r w:rsidRPr="00BE5F4F">
          <w:rPr>
            <w:rFonts w:ascii="Segoe UI" w:eastAsia="Times New Roman" w:hAnsi="Segoe UI" w:cs="Segoe UI"/>
            <w:color w:val="0B57A8"/>
            <w:sz w:val="24"/>
            <w:szCs w:val="24"/>
            <w:u w:val="single"/>
            <w:lang w:eastAsia="en-IN"/>
          </w:rPr>
          <w:t>https://www.ellenmacarthurfoundation.org/case-studies/internet-enabled-pay-per-wash-a-model-offering-multiple-benefits</w:t>
        </w:r>
      </w:hyperlink>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European Union (2019) ‘Towards a circular economy’ [online] Available from </w:t>
      </w:r>
      <w:hyperlink r:id="rId16" w:tgtFrame="_blank" w:history="1">
        <w:r w:rsidRPr="00BE5F4F">
          <w:rPr>
            <w:rFonts w:ascii="Segoe UI" w:eastAsia="Times New Roman" w:hAnsi="Segoe UI" w:cs="Segoe UI"/>
            <w:color w:val="0B57A8"/>
            <w:sz w:val="24"/>
            <w:szCs w:val="24"/>
            <w:u w:val="single"/>
            <w:lang w:eastAsia="en-IN"/>
          </w:rPr>
          <w:t>https://ec.europa.eu/commission/priorities/jobs-growth-and-investment/towards-circular-economy_en</w:t>
        </w:r>
      </w:hyperlink>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Feil</w:t>
      </w:r>
      <w:proofErr w:type="spellEnd"/>
      <w:r w:rsidRPr="00BE5F4F">
        <w:rPr>
          <w:rFonts w:ascii="Segoe UI" w:eastAsia="Times New Roman" w:hAnsi="Segoe UI" w:cs="Segoe UI"/>
          <w:color w:val="212529"/>
          <w:sz w:val="24"/>
          <w:szCs w:val="24"/>
          <w:lang w:eastAsia="en-IN"/>
        </w:rPr>
        <w:t xml:space="preserve">, A.A. and Schreiber, D. (2017) Sustainability and sustainable development: unravelling overlays and scope of their meanings. </w:t>
      </w:r>
      <w:proofErr w:type="spellStart"/>
      <w:r w:rsidRPr="00BE5F4F">
        <w:rPr>
          <w:rFonts w:ascii="Segoe UI" w:eastAsia="Times New Roman" w:hAnsi="Segoe UI" w:cs="Segoe UI"/>
          <w:color w:val="212529"/>
          <w:sz w:val="24"/>
          <w:szCs w:val="24"/>
          <w:lang w:eastAsia="en-IN"/>
        </w:rPr>
        <w:t>Cardenos</w:t>
      </w:r>
      <w:proofErr w:type="spellEnd"/>
      <w:r w:rsidRPr="00BE5F4F">
        <w:rPr>
          <w:rFonts w:ascii="Segoe UI" w:eastAsia="Times New Roman" w:hAnsi="Segoe UI" w:cs="Segoe UI"/>
          <w:color w:val="212529"/>
          <w:sz w:val="24"/>
          <w:szCs w:val="24"/>
          <w:lang w:eastAsia="en-IN"/>
        </w:rPr>
        <w:t xml:space="preserve"> Ebape.BR [online]. Available from: </w:t>
      </w:r>
      <w:hyperlink r:id="rId17" w:tgtFrame="_blank" w:history="1">
        <w:r w:rsidRPr="00BE5F4F">
          <w:rPr>
            <w:rFonts w:ascii="Segoe UI" w:eastAsia="Times New Roman" w:hAnsi="Segoe UI" w:cs="Segoe UI"/>
            <w:color w:val="0B57A8"/>
            <w:sz w:val="24"/>
            <w:szCs w:val="24"/>
            <w:u w:val="single"/>
            <w:lang w:eastAsia="en-IN"/>
          </w:rPr>
          <w:t>http://dx.doi.org/10.1590/1679- 395157473</w:t>
        </w:r>
      </w:hyperlink>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Galaz</w:t>
      </w:r>
      <w:proofErr w:type="spellEnd"/>
      <w:r w:rsidRPr="00BE5F4F">
        <w:rPr>
          <w:rFonts w:ascii="Segoe UI" w:eastAsia="Times New Roman" w:hAnsi="Segoe UI" w:cs="Segoe UI"/>
          <w:color w:val="212529"/>
          <w:sz w:val="24"/>
          <w:szCs w:val="24"/>
          <w:lang w:eastAsia="en-IN"/>
        </w:rPr>
        <w:t xml:space="preserve">, V., Biermann, F., </w:t>
      </w:r>
      <w:proofErr w:type="spellStart"/>
      <w:r w:rsidRPr="00BE5F4F">
        <w:rPr>
          <w:rFonts w:ascii="Segoe UI" w:eastAsia="Times New Roman" w:hAnsi="Segoe UI" w:cs="Segoe UI"/>
          <w:color w:val="212529"/>
          <w:sz w:val="24"/>
          <w:szCs w:val="24"/>
          <w:lang w:eastAsia="en-IN"/>
        </w:rPr>
        <w:t>Folke</w:t>
      </w:r>
      <w:proofErr w:type="spellEnd"/>
      <w:r w:rsidRPr="00BE5F4F">
        <w:rPr>
          <w:rFonts w:ascii="Segoe UI" w:eastAsia="Times New Roman" w:hAnsi="Segoe UI" w:cs="Segoe UI"/>
          <w:color w:val="212529"/>
          <w:sz w:val="24"/>
          <w:szCs w:val="24"/>
          <w:lang w:eastAsia="en-IN"/>
        </w:rPr>
        <w:t>, C., Nilsson, M. and Olsson, P. (2012) ‘Global environmental governance and planetary boundaries: An introduction’ </w:t>
      </w:r>
      <w:r w:rsidRPr="00BE5F4F">
        <w:rPr>
          <w:rFonts w:ascii="Segoe UI" w:eastAsia="Times New Roman" w:hAnsi="Segoe UI" w:cs="Segoe UI"/>
          <w:i/>
          <w:iCs/>
          <w:color w:val="212529"/>
          <w:sz w:val="24"/>
          <w:szCs w:val="24"/>
          <w:lang w:eastAsia="en-IN"/>
        </w:rPr>
        <w:t>Ecological Economics </w:t>
      </w:r>
      <w:r w:rsidRPr="00BE5F4F">
        <w:rPr>
          <w:rFonts w:ascii="Segoe UI" w:eastAsia="Times New Roman" w:hAnsi="Segoe UI" w:cs="Segoe UI"/>
          <w:color w:val="212529"/>
          <w:sz w:val="24"/>
          <w:szCs w:val="24"/>
          <w:lang w:eastAsia="en-IN"/>
        </w:rPr>
        <w:t>Vol. 81, pp. 1-3</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George, G., Howard-Grenville, J., Joshi, A., and </w:t>
      </w:r>
      <w:proofErr w:type="spellStart"/>
      <w:r w:rsidRPr="00BE5F4F">
        <w:rPr>
          <w:rFonts w:ascii="Segoe UI" w:eastAsia="Times New Roman" w:hAnsi="Segoe UI" w:cs="Segoe UI"/>
          <w:color w:val="212529"/>
          <w:sz w:val="24"/>
          <w:szCs w:val="24"/>
          <w:lang w:eastAsia="en-IN"/>
        </w:rPr>
        <w:t>Tihanyi</w:t>
      </w:r>
      <w:proofErr w:type="spellEnd"/>
      <w:r w:rsidRPr="00BE5F4F">
        <w:rPr>
          <w:rFonts w:ascii="Segoe UI" w:eastAsia="Times New Roman" w:hAnsi="Segoe UI" w:cs="Segoe UI"/>
          <w:color w:val="212529"/>
          <w:sz w:val="24"/>
          <w:szCs w:val="24"/>
          <w:lang w:eastAsia="en-IN"/>
        </w:rPr>
        <w:t xml:space="preserve">, L. (2016) ‘Understanding and Tackling Societal Grand Challenges through Management Research.’ Academy of Management Journal, </w:t>
      </w:r>
      <w:proofErr w:type="gramStart"/>
      <w:r w:rsidRPr="00BE5F4F">
        <w:rPr>
          <w:rFonts w:ascii="Segoe UI" w:eastAsia="Times New Roman" w:hAnsi="Segoe UI" w:cs="Segoe UI"/>
          <w:color w:val="212529"/>
          <w:sz w:val="24"/>
          <w:szCs w:val="24"/>
          <w:lang w:eastAsia="en-IN"/>
        </w:rPr>
        <w:t>Vol.59(</w:t>
      </w:r>
      <w:proofErr w:type="gramEnd"/>
      <w:r w:rsidRPr="00BE5F4F">
        <w:rPr>
          <w:rFonts w:ascii="Segoe UI" w:eastAsia="Times New Roman" w:hAnsi="Segoe UI" w:cs="Segoe UI"/>
          <w:color w:val="212529"/>
          <w:sz w:val="24"/>
          <w:szCs w:val="24"/>
          <w:lang w:eastAsia="en-IN"/>
        </w:rPr>
        <w:t>6), pp.1880-1895.</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Geissdoerfer</w:t>
      </w:r>
      <w:proofErr w:type="spellEnd"/>
      <w:r w:rsidRPr="00BE5F4F">
        <w:rPr>
          <w:rFonts w:ascii="Segoe UI" w:eastAsia="Times New Roman" w:hAnsi="Segoe UI" w:cs="Segoe UI"/>
          <w:color w:val="212529"/>
          <w:sz w:val="24"/>
          <w:szCs w:val="24"/>
          <w:lang w:eastAsia="en-IN"/>
        </w:rPr>
        <w:t xml:space="preserve">, M., </w:t>
      </w:r>
      <w:proofErr w:type="spellStart"/>
      <w:r w:rsidRPr="00BE5F4F">
        <w:rPr>
          <w:rFonts w:ascii="Segoe UI" w:eastAsia="Times New Roman" w:hAnsi="Segoe UI" w:cs="Segoe UI"/>
          <w:color w:val="212529"/>
          <w:sz w:val="24"/>
          <w:szCs w:val="24"/>
          <w:lang w:eastAsia="en-IN"/>
        </w:rPr>
        <w:t>Savaget</w:t>
      </w:r>
      <w:proofErr w:type="spellEnd"/>
      <w:r w:rsidRPr="00BE5F4F">
        <w:rPr>
          <w:rFonts w:ascii="Segoe UI" w:eastAsia="Times New Roman" w:hAnsi="Segoe UI" w:cs="Segoe UI"/>
          <w:color w:val="212529"/>
          <w:sz w:val="24"/>
          <w:szCs w:val="24"/>
          <w:lang w:eastAsia="en-IN"/>
        </w:rPr>
        <w:t xml:space="preserve">, P., </w:t>
      </w:r>
      <w:proofErr w:type="spellStart"/>
      <w:r w:rsidRPr="00BE5F4F">
        <w:rPr>
          <w:rFonts w:ascii="Segoe UI" w:eastAsia="Times New Roman" w:hAnsi="Segoe UI" w:cs="Segoe UI"/>
          <w:color w:val="212529"/>
          <w:sz w:val="24"/>
          <w:szCs w:val="24"/>
          <w:lang w:eastAsia="en-IN"/>
        </w:rPr>
        <w:t>Bocken</w:t>
      </w:r>
      <w:proofErr w:type="spellEnd"/>
      <w:r w:rsidRPr="00BE5F4F">
        <w:rPr>
          <w:rFonts w:ascii="Segoe UI" w:eastAsia="Times New Roman" w:hAnsi="Segoe UI" w:cs="Segoe UI"/>
          <w:color w:val="212529"/>
          <w:sz w:val="24"/>
          <w:szCs w:val="24"/>
          <w:lang w:eastAsia="en-IN"/>
        </w:rPr>
        <w:t xml:space="preserve">, N.M.P. and </w:t>
      </w:r>
      <w:proofErr w:type="spellStart"/>
      <w:r w:rsidRPr="00BE5F4F">
        <w:rPr>
          <w:rFonts w:ascii="Segoe UI" w:eastAsia="Times New Roman" w:hAnsi="Segoe UI" w:cs="Segoe UI"/>
          <w:color w:val="212529"/>
          <w:sz w:val="24"/>
          <w:szCs w:val="24"/>
          <w:lang w:eastAsia="en-IN"/>
        </w:rPr>
        <w:t>Hultink</w:t>
      </w:r>
      <w:proofErr w:type="spellEnd"/>
      <w:r w:rsidRPr="00BE5F4F">
        <w:rPr>
          <w:rFonts w:ascii="Segoe UI" w:eastAsia="Times New Roman" w:hAnsi="Segoe UI" w:cs="Segoe UI"/>
          <w:color w:val="212529"/>
          <w:sz w:val="24"/>
          <w:szCs w:val="24"/>
          <w:lang w:eastAsia="en-IN"/>
        </w:rPr>
        <w:t>, E.J. (2017) ‘The Circular Economy: A new sustainability paradigm?’ </w:t>
      </w:r>
      <w:r w:rsidRPr="00BE5F4F">
        <w:rPr>
          <w:rFonts w:ascii="Segoe UI" w:eastAsia="Times New Roman" w:hAnsi="Segoe UI" w:cs="Segoe UI"/>
          <w:i/>
          <w:iCs/>
          <w:color w:val="212529"/>
          <w:sz w:val="24"/>
          <w:szCs w:val="24"/>
          <w:lang w:eastAsia="en-IN"/>
        </w:rPr>
        <w:t>Journal of Cleaner Production</w:t>
      </w:r>
      <w:r w:rsidRPr="00BE5F4F">
        <w:rPr>
          <w:rFonts w:ascii="Segoe UI" w:eastAsia="Times New Roman" w:hAnsi="Segoe UI" w:cs="Segoe UI"/>
          <w:color w:val="212529"/>
          <w:sz w:val="24"/>
          <w:szCs w:val="24"/>
          <w:lang w:eastAsia="en-IN"/>
        </w:rPr>
        <w:t>, Vol.143, pp.757-768</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Gilbert, G. (2014) ‘Home </w:t>
      </w:r>
      <w:proofErr w:type="gramStart"/>
      <w:r w:rsidRPr="00BE5F4F">
        <w:rPr>
          <w:rFonts w:ascii="Segoe UI" w:eastAsia="Times New Roman" w:hAnsi="Segoe UI" w:cs="Segoe UI"/>
          <w:color w:val="212529"/>
          <w:sz w:val="24"/>
          <w:szCs w:val="24"/>
          <w:lang w:eastAsia="en-IN"/>
        </w:rPr>
        <w:t>Washing</w:t>
      </w:r>
      <w:proofErr w:type="gramEnd"/>
      <w:r w:rsidRPr="00BE5F4F">
        <w:rPr>
          <w:rFonts w:ascii="Segoe UI" w:eastAsia="Times New Roman" w:hAnsi="Segoe UI" w:cs="Segoe UI"/>
          <w:color w:val="212529"/>
          <w:sz w:val="24"/>
          <w:szCs w:val="24"/>
          <w:lang w:eastAsia="en-IN"/>
        </w:rPr>
        <w:t xml:space="preserve"> machine is pay-per-use’ </w:t>
      </w:r>
      <w:r w:rsidRPr="00BE5F4F">
        <w:rPr>
          <w:rFonts w:ascii="Segoe UI" w:eastAsia="Times New Roman" w:hAnsi="Segoe UI" w:cs="Segoe UI"/>
          <w:i/>
          <w:iCs/>
          <w:color w:val="212529"/>
          <w:sz w:val="24"/>
          <w:szCs w:val="24"/>
          <w:lang w:eastAsia="en-IN"/>
        </w:rPr>
        <w:t>Forum for the Future</w:t>
      </w:r>
      <w:r w:rsidRPr="00BE5F4F">
        <w:rPr>
          <w:rFonts w:ascii="Segoe UI" w:eastAsia="Times New Roman" w:hAnsi="Segoe UI" w:cs="Segoe UI"/>
          <w:color w:val="212529"/>
          <w:sz w:val="24"/>
          <w:szCs w:val="24"/>
          <w:lang w:eastAsia="en-IN"/>
        </w:rPr>
        <w:t>, April 4, [online] Available from https://www.forumforthefuture.org/blog/home-washing-machine-pay-use</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Gill, J. and Johnson, P. (2010) </w:t>
      </w:r>
      <w:r w:rsidRPr="00BE5F4F">
        <w:rPr>
          <w:rFonts w:ascii="Segoe UI" w:eastAsia="Times New Roman" w:hAnsi="Segoe UI" w:cs="Segoe UI"/>
          <w:i/>
          <w:iCs/>
          <w:color w:val="212529"/>
          <w:sz w:val="24"/>
          <w:szCs w:val="24"/>
          <w:lang w:eastAsia="en-IN"/>
        </w:rPr>
        <w:t>Research Methods for Managers</w:t>
      </w:r>
      <w:r w:rsidRPr="00BE5F4F">
        <w:rPr>
          <w:rFonts w:ascii="Segoe UI" w:eastAsia="Times New Roman" w:hAnsi="Segoe UI" w:cs="Segoe UI"/>
          <w:color w:val="212529"/>
          <w:sz w:val="24"/>
          <w:szCs w:val="24"/>
          <w:lang w:eastAsia="en-IN"/>
        </w:rPr>
        <w:t> (4</w:t>
      </w:r>
      <w:r w:rsidRPr="00BE5F4F">
        <w:rPr>
          <w:rFonts w:ascii="Segoe UI" w:eastAsia="Times New Roman" w:hAnsi="Segoe UI" w:cs="Segoe UI"/>
          <w:color w:val="212529"/>
          <w:sz w:val="18"/>
          <w:szCs w:val="18"/>
          <w:vertAlign w:val="superscript"/>
          <w:lang w:eastAsia="en-IN"/>
        </w:rPr>
        <w:t>th</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London: Sage</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Gov.UK (2018) ‘Carrier bags: Why there’s a charge’ [online] Available from </w:t>
      </w:r>
      <w:hyperlink r:id="rId18" w:tgtFrame="_blank" w:history="1">
        <w:r w:rsidRPr="00BE5F4F">
          <w:rPr>
            <w:rFonts w:ascii="Segoe UI" w:eastAsia="Times New Roman" w:hAnsi="Segoe UI" w:cs="Segoe UI"/>
            <w:color w:val="0B57A8"/>
            <w:sz w:val="24"/>
            <w:szCs w:val="24"/>
            <w:u w:val="single"/>
            <w:lang w:eastAsia="en-IN"/>
          </w:rPr>
          <w:t>https://www.gov.uk/government/publications/single-use-plastic-carrier-bags-why-were-introducing-the-charge/carrier-bags-why-theres-a-5p-charge</w:t>
        </w:r>
      </w:hyperlink>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lastRenderedPageBreak/>
        <w:t>Govindan</w:t>
      </w:r>
      <w:proofErr w:type="spellEnd"/>
      <w:r w:rsidRPr="00BE5F4F">
        <w:rPr>
          <w:rFonts w:ascii="Segoe UI" w:eastAsia="Times New Roman" w:hAnsi="Segoe UI" w:cs="Segoe UI"/>
          <w:color w:val="212529"/>
          <w:sz w:val="24"/>
          <w:szCs w:val="24"/>
          <w:lang w:eastAsia="en-IN"/>
        </w:rPr>
        <w:t xml:space="preserve">, K., </w:t>
      </w:r>
      <w:proofErr w:type="spellStart"/>
      <w:r w:rsidRPr="00BE5F4F">
        <w:rPr>
          <w:rFonts w:ascii="Segoe UI" w:eastAsia="Times New Roman" w:hAnsi="Segoe UI" w:cs="Segoe UI"/>
          <w:color w:val="212529"/>
          <w:sz w:val="24"/>
          <w:szCs w:val="24"/>
          <w:lang w:eastAsia="en-IN"/>
        </w:rPr>
        <w:t>Soleimani</w:t>
      </w:r>
      <w:proofErr w:type="spellEnd"/>
      <w:r w:rsidRPr="00BE5F4F">
        <w:rPr>
          <w:rFonts w:ascii="Segoe UI" w:eastAsia="Times New Roman" w:hAnsi="Segoe UI" w:cs="Segoe UI"/>
          <w:color w:val="212529"/>
          <w:sz w:val="24"/>
          <w:szCs w:val="24"/>
          <w:lang w:eastAsia="en-IN"/>
        </w:rPr>
        <w:t>, H. and Kannan, D. (2015) ‘Reverse logistics and closed-loop supply chain: A comprehensive review to explore the future.’ </w:t>
      </w:r>
      <w:r w:rsidRPr="00BE5F4F">
        <w:rPr>
          <w:rFonts w:ascii="Segoe UI" w:eastAsia="Times New Roman" w:hAnsi="Segoe UI" w:cs="Segoe UI"/>
          <w:i/>
          <w:iCs/>
          <w:color w:val="212529"/>
          <w:sz w:val="24"/>
          <w:szCs w:val="24"/>
          <w:lang w:eastAsia="en-IN"/>
        </w:rPr>
        <w:t>European Journal of Operational Research</w:t>
      </w:r>
      <w:r w:rsidRPr="00BE5F4F">
        <w:rPr>
          <w:rFonts w:ascii="Segoe UI" w:eastAsia="Times New Roman" w:hAnsi="Segoe UI" w:cs="Segoe UI"/>
          <w:color w:val="212529"/>
          <w:sz w:val="24"/>
          <w:szCs w:val="24"/>
          <w:lang w:eastAsia="en-IN"/>
        </w:rPr>
        <w:t>. Vol.240 (3), pp.603–626.</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Jankowicz</w:t>
      </w:r>
      <w:proofErr w:type="spellEnd"/>
      <w:r w:rsidRPr="00BE5F4F">
        <w:rPr>
          <w:rFonts w:ascii="Segoe UI" w:eastAsia="Times New Roman" w:hAnsi="Segoe UI" w:cs="Segoe UI"/>
          <w:color w:val="212529"/>
          <w:sz w:val="24"/>
          <w:szCs w:val="24"/>
          <w:lang w:eastAsia="en-IN"/>
        </w:rPr>
        <w:t>, A.D. (2005) </w:t>
      </w:r>
      <w:r w:rsidRPr="00BE5F4F">
        <w:rPr>
          <w:rFonts w:ascii="Segoe UI" w:eastAsia="Times New Roman" w:hAnsi="Segoe UI" w:cs="Segoe UI"/>
          <w:i/>
          <w:iCs/>
          <w:color w:val="212529"/>
          <w:sz w:val="24"/>
          <w:szCs w:val="24"/>
          <w:lang w:eastAsia="en-IN"/>
        </w:rPr>
        <w:t>Business research projects</w:t>
      </w:r>
      <w:r w:rsidRPr="00BE5F4F">
        <w:rPr>
          <w:rFonts w:ascii="Segoe UI" w:eastAsia="Times New Roman" w:hAnsi="Segoe UI" w:cs="Segoe UI"/>
          <w:color w:val="212529"/>
          <w:sz w:val="24"/>
          <w:szCs w:val="24"/>
          <w:lang w:eastAsia="en-IN"/>
        </w:rPr>
        <w:t> (4</w:t>
      </w:r>
      <w:r w:rsidRPr="00BE5F4F">
        <w:rPr>
          <w:rFonts w:ascii="Segoe UI" w:eastAsia="Times New Roman" w:hAnsi="Segoe UI" w:cs="Segoe UI"/>
          <w:color w:val="212529"/>
          <w:sz w:val="18"/>
          <w:szCs w:val="18"/>
          <w:vertAlign w:val="superscript"/>
          <w:lang w:eastAsia="en-IN"/>
        </w:rPr>
        <w:t>th</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London: Thornton Learning</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Jacobs, F.R. and Chase, R.B. (2017) Operations and Supply Chain Management (4th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New York: McGraw Hill</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Lee, N. and Lings, I. (2008) </w:t>
      </w:r>
      <w:r w:rsidRPr="00BE5F4F">
        <w:rPr>
          <w:rFonts w:ascii="Segoe UI" w:eastAsia="Times New Roman" w:hAnsi="Segoe UI" w:cs="Segoe UI"/>
          <w:i/>
          <w:iCs/>
          <w:color w:val="212529"/>
          <w:sz w:val="24"/>
          <w:szCs w:val="24"/>
          <w:lang w:eastAsia="en-IN"/>
        </w:rPr>
        <w:t>Doing Business Research: A Guide to Theory and Practice</w:t>
      </w:r>
      <w:r w:rsidRPr="00BE5F4F">
        <w:rPr>
          <w:rFonts w:ascii="Segoe UI" w:eastAsia="Times New Roman" w:hAnsi="Segoe UI" w:cs="Segoe UI"/>
          <w:color w:val="212529"/>
          <w:sz w:val="24"/>
          <w:szCs w:val="24"/>
          <w:lang w:eastAsia="en-IN"/>
        </w:rPr>
        <w:t> (1</w:t>
      </w:r>
      <w:r w:rsidRPr="00BE5F4F">
        <w:rPr>
          <w:rFonts w:ascii="Segoe UI" w:eastAsia="Times New Roman" w:hAnsi="Segoe UI" w:cs="Segoe UI"/>
          <w:color w:val="212529"/>
          <w:sz w:val="18"/>
          <w:szCs w:val="18"/>
          <w:vertAlign w:val="superscript"/>
          <w:lang w:eastAsia="en-IN"/>
        </w:rPr>
        <w:t>st</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London: Sage Publications Limited</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Lee-</w:t>
      </w:r>
      <w:proofErr w:type="spellStart"/>
      <w:r w:rsidRPr="00BE5F4F">
        <w:rPr>
          <w:rFonts w:ascii="Segoe UI" w:eastAsia="Times New Roman" w:hAnsi="Segoe UI" w:cs="Segoe UI"/>
          <w:color w:val="212529"/>
          <w:sz w:val="24"/>
          <w:szCs w:val="24"/>
          <w:lang w:eastAsia="en-IN"/>
        </w:rPr>
        <w:t>Treweek</w:t>
      </w:r>
      <w:proofErr w:type="spellEnd"/>
      <w:r w:rsidRPr="00BE5F4F">
        <w:rPr>
          <w:rFonts w:ascii="Segoe UI" w:eastAsia="Times New Roman" w:hAnsi="Segoe UI" w:cs="Segoe UI"/>
          <w:color w:val="212529"/>
          <w:sz w:val="24"/>
          <w:szCs w:val="24"/>
          <w:lang w:eastAsia="en-IN"/>
        </w:rPr>
        <w:t xml:space="preserve">, G. and </w:t>
      </w:r>
      <w:proofErr w:type="spellStart"/>
      <w:r w:rsidRPr="00BE5F4F">
        <w:rPr>
          <w:rFonts w:ascii="Segoe UI" w:eastAsia="Times New Roman" w:hAnsi="Segoe UI" w:cs="Segoe UI"/>
          <w:color w:val="212529"/>
          <w:sz w:val="24"/>
          <w:szCs w:val="24"/>
          <w:lang w:eastAsia="en-IN"/>
        </w:rPr>
        <w:t>Linkogle</w:t>
      </w:r>
      <w:proofErr w:type="spellEnd"/>
      <w:r w:rsidRPr="00BE5F4F">
        <w:rPr>
          <w:rFonts w:ascii="Segoe UI" w:eastAsia="Times New Roman" w:hAnsi="Segoe UI" w:cs="Segoe UI"/>
          <w:color w:val="212529"/>
          <w:sz w:val="24"/>
          <w:szCs w:val="24"/>
          <w:lang w:eastAsia="en-IN"/>
        </w:rPr>
        <w:t>, S. (eds.) (2000) </w:t>
      </w:r>
      <w:r w:rsidRPr="00BE5F4F">
        <w:rPr>
          <w:rFonts w:ascii="Segoe UI" w:eastAsia="Times New Roman" w:hAnsi="Segoe UI" w:cs="Segoe UI"/>
          <w:i/>
          <w:iCs/>
          <w:color w:val="212529"/>
          <w:sz w:val="24"/>
          <w:szCs w:val="24"/>
          <w:lang w:eastAsia="en-IN"/>
        </w:rPr>
        <w:t>Danger in the Field: Risk and Ethics in Social Research</w:t>
      </w:r>
      <w:r w:rsidRPr="00BE5F4F">
        <w:rPr>
          <w:rFonts w:ascii="Segoe UI" w:eastAsia="Times New Roman" w:hAnsi="Segoe UI" w:cs="Segoe UI"/>
          <w:color w:val="212529"/>
          <w:sz w:val="24"/>
          <w:szCs w:val="24"/>
          <w:lang w:eastAsia="en-IN"/>
        </w:rPr>
        <w:t>, (1</w:t>
      </w:r>
      <w:r w:rsidRPr="00BE5F4F">
        <w:rPr>
          <w:rFonts w:ascii="Segoe UI" w:eastAsia="Times New Roman" w:hAnsi="Segoe UI" w:cs="Segoe UI"/>
          <w:color w:val="212529"/>
          <w:sz w:val="18"/>
          <w:szCs w:val="18"/>
          <w:vertAlign w:val="superscript"/>
          <w:lang w:eastAsia="en-IN"/>
        </w:rPr>
        <w:t>st</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London: Routledge</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Lewis, S.L. and Maslin, M.A. (2018) </w:t>
      </w:r>
      <w:proofErr w:type="gramStart"/>
      <w:r w:rsidRPr="00BE5F4F">
        <w:rPr>
          <w:rFonts w:ascii="Segoe UI" w:eastAsia="Times New Roman" w:hAnsi="Segoe UI" w:cs="Segoe UI"/>
          <w:i/>
          <w:iCs/>
          <w:color w:val="212529"/>
          <w:sz w:val="24"/>
          <w:szCs w:val="24"/>
          <w:lang w:eastAsia="en-IN"/>
        </w:rPr>
        <w:t>The</w:t>
      </w:r>
      <w:proofErr w:type="gramEnd"/>
      <w:r w:rsidRPr="00BE5F4F">
        <w:rPr>
          <w:rFonts w:ascii="Segoe UI" w:eastAsia="Times New Roman" w:hAnsi="Segoe UI" w:cs="Segoe UI"/>
          <w:i/>
          <w:iCs/>
          <w:color w:val="212529"/>
          <w:sz w:val="24"/>
          <w:szCs w:val="24"/>
          <w:lang w:eastAsia="en-IN"/>
        </w:rPr>
        <w:t xml:space="preserve"> human planet: How we created the Anthropocene</w:t>
      </w:r>
      <w:r w:rsidRPr="00BE5F4F">
        <w:rPr>
          <w:rFonts w:ascii="Segoe UI" w:eastAsia="Times New Roman" w:hAnsi="Segoe UI" w:cs="Segoe UI"/>
          <w:color w:val="212529"/>
          <w:sz w:val="24"/>
          <w:szCs w:val="24"/>
          <w:lang w:eastAsia="en-IN"/>
        </w:rPr>
        <w:t> (1</w:t>
      </w:r>
      <w:r w:rsidRPr="00BE5F4F">
        <w:rPr>
          <w:rFonts w:ascii="Segoe UI" w:eastAsia="Times New Roman" w:hAnsi="Segoe UI" w:cs="Segoe UI"/>
          <w:color w:val="212529"/>
          <w:sz w:val="18"/>
          <w:szCs w:val="18"/>
          <w:vertAlign w:val="superscript"/>
          <w:lang w:eastAsia="en-IN"/>
        </w:rPr>
        <w:t>st</w:t>
      </w:r>
      <w:r w:rsidRPr="00BE5F4F">
        <w:rPr>
          <w:rFonts w:ascii="Segoe UI" w:eastAsia="Times New Roman" w:hAnsi="Segoe UI" w:cs="Segoe UI"/>
          <w:color w:val="212529"/>
          <w:sz w:val="24"/>
          <w:szCs w:val="24"/>
          <w:lang w:eastAsia="en-IN"/>
        </w:rPr>
        <w:t> ed.) London: Pelican</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Markard</w:t>
      </w:r>
      <w:proofErr w:type="spellEnd"/>
      <w:r w:rsidRPr="00BE5F4F">
        <w:rPr>
          <w:rFonts w:ascii="Segoe UI" w:eastAsia="Times New Roman" w:hAnsi="Segoe UI" w:cs="Segoe UI"/>
          <w:color w:val="212529"/>
          <w:sz w:val="24"/>
          <w:szCs w:val="24"/>
          <w:lang w:eastAsia="en-IN"/>
        </w:rPr>
        <w:t xml:space="preserve">, J., Raven, R. and </w:t>
      </w:r>
      <w:proofErr w:type="spellStart"/>
      <w:r w:rsidRPr="00BE5F4F">
        <w:rPr>
          <w:rFonts w:ascii="Segoe UI" w:eastAsia="Times New Roman" w:hAnsi="Segoe UI" w:cs="Segoe UI"/>
          <w:color w:val="212529"/>
          <w:sz w:val="24"/>
          <w:szCs w:val="24"/>
          <w:lang w:eastAsia="en-IN"/>
        </w:rPr>
        <w:t>Truffer</w:t>
      </w:r>
      <w:proofErr w:type="spellEnd"/>
      <w:r w:rsidRPr="00BE5F4F">
        <w:rPr>
          <w:rFonts w:ascii="Segoe UI" w:eastAsia="Times New Roman" w:hAnsi="Segoe UI" w:cs="Segoe UI"/>
          <w:color w:val="212529"/>
          <w:sz w:val="24"/>
          <w:szCs w:val="24"/>
          <w:lang w:eastAsia="en-IN"/>
        </w:rPr>
        <w:t>, B. (2012) ‘Sustainability transitions: An emerging</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gramStart"/>
      <w:r w:rsidRPr="00BE5F4F">
        <w:rPr>
          <w:rFonts w:ascii="Segoe UI" w:eastAsia="Times New Roman" w:hAnsi="Segoe UI" w:cs="Segoe UI"/>
          <w:color w:val="212529"/>
          <w:sz w:val="24"/>
          <w:szCs w:val="24"/>
          <w:lang w:eastAsia="en-IN"/>
        </w:rPr>
        <w:t>field</w:t>
      </w:r>
      <w:proofErr w:type="gramEnd"/>
      <w:r w:rsidRPr="00BE5F4F">
        <w:rPr>
          <w:rFonts w:ascii="Segoe UI" w:eastAsia="Times New Roman" w:hAnsi="Segoe UI" w:cs="Segoe UI"/>
          <w:color w:val="212529"/>
          <w:sz w:val="24"/>
          <w:szCs w:val="24"/>
          <w:lang w:eastAsia="en-IN"/>
        </w:rPr>
        <w:t xml:space="preserve"> of research and its prospects.’ </w:t>
      </w:r>
      <w:r w:rsidRPr="00BE5F4F">
        <w:rPr>
          <w:rFonts w:ascii="Segoe UI" w:eastAsia="Times New Roman" w:hAnsi="Segoe UI" w:cs="Segoe UI"/>
          <w:i/>
          <w:iCs/>
          <w:color w:val="212529"/>
          <w:sz w:val="24"/>
          <w:szCs w:val="24"/>
          <w:lang w:eastAsia="en-IN"/>
        </w:rPr>
        <w:t>Research Policy</w:t>
      </w:r>
      <w:r w:rsidRPr="00BE5F4F">
        <w:rPr>
          <w:rFonts w:ascii="Segoe UI" w:eastAsia="Times New Roman" w:hAnsi="Segoe UI" w:cs="Segoe UI"/>
          <w:color w:val="212529"/>
          <w:sz w:val="24"/>
          <w:szCs w:val="24"/>
          <w:lang w:eastAsia="en-IN"/>
        </w:rPr>
        <w:t> Vol.41 (6), pp.955–967.</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Molina-</w:t>
      </w:r>
      <w:proofErr w:type="spellStart"/>
      <w:r w:rsidRPr="00BE5F4F">
        <w:rPr>
          <w:rFonts w:ascii="Segoe UI" w:eastAsia="Times New Roman" w:hAnsi="Segoe UI" w:cs="Segoe UI"/>
          <w:color w:val="212529"/>
          <w:sz w:val="24"/>
          <w:szCs w:val="24"/>
          <w:lang w:eastAsia="en-IN"/>
        </w:rPr>
        <w:t>Azorin</w:t>
      </w:r>
      <w:proofErr w:type="spellEnd"/>
      <w:r w:rsidRPr="00BE5F4F">
        <w:rPr>
          <w:rFonts w:ascii="Segoe UI" w:eastAsia="Times New Roman" w:hAnsi="Segoe UI" w:cs="Segoe UI"/>
          <w:color w:val="212529"/>
          <w:sz w:val="24"/>
          <w:szCs w:val="24"/>
          <w:lang w:eastAsia="en-IN"/>
        </w:rPr>
        <w:t>, J. and Cameron, R. (2010) ‘The Application of Mixed Methods in Organisational Research: A Literature Review’ </w:t>
      </w:r>
      <w:r w:rsidRPr="00BE5F4F">
        <w:rPr>
          <w:rFonts w:ascii="Segoe UI" w:eastAsia="Times New Roman" w:hAnsi="Segoe UI" w:cs="Segoe UI"/>
          <w:i/>
          <w:iCs/>
          <w:color w:val="212529"/>
          <w:sz w:val="24"/>
          <w:szCs w:val="24"/>
          <w:lang w:eastAsia="en-IN"/>
        </w:rPr>
        <w:t>Journal of Business Research Methods</w:t>
      </w:r>
      <w:r w:rsidRPr="00BE5F4F">
        <w:rPr>
          <w:rFonts w:ascii="Segoe UI" w:eastAsia="Times New Roman" w:hAnsi="Segoe UI" w:cs="Segoe UI"/>
          <w:color w:val="212529"/>
          <w:sz w:val="24"/>
          <w:szCs w:val="24"/>
          <w:lang w:eastAsia="en-IN"/>
        </w:rPr>
        <w:t xml:space="preserve">, </w:t>
      </w:r>
      <w:proofErr w:type="gramStart"/>
      <w:r w:rsidRPr="00BE5F4F">
        <w:rPr>
          <w:rFonts w:ascii="Segoe UI" w:eastAsia="Times New Roman" w:hAnsi="Segoe UI" w:cs="Segoe UI"/>
          <w:color w:val="212529"/>
          <w:sz w:val="24"/>
          <w:szCs w:val="24"/>
          <w:lang w:eastAsia="en-IN"/>
        </w:rPr>
        <w:t>Vol.8(</w:t>
      </w:r>
      <w:proofErr w:type="gramEnd"/>
      <w:r w:rsidRPr="00BE5F4F">
        <w:rPr>
          <w:rFonts w:ascii="Segoe UI" w:eastAsia="Times New Roman" w:hAnsi="Segoe UI" w:cs="Segoe UI"/>
          <w:color w:val="212529"/>
          <w:sz w:val="24"/>
          <w:szCs w:val="24"/>
          <w:lang w:eastAsia="en-IN"/>
        </w:rPr>
        <w:t>2), pp.95-105</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Moreno, M., De </w:t>
      </w:r>
      <w:proofErr w:type="spellStart"/>
      <w:r w:rsidRPr="00BE5F4F">
        <w:rPr>
          <w:rFonts w:ascii="Segoe UI" w:eastAsia="Times New Roman" w:hAnsi="Segoe UI" w:cs="Segoe UI"/>
          <w:color w:val="212529"/>
          <w:sz w:val="24"/>
          <w:szCs w:val="24"/>
          <w:lang w:eastAsia="en-IN"/>
        </w:rPr>
        <w:t>Ios</w:t>
      </w:r>
      <w:proofErr w:type="spellEnd"/>
      <w:r w:rsidRPr="00BE5F4F">
        <w:rPr>
          <w:rFonts w:ascii="Segoe UI" w:eastAsia="Times New Roman" w:hAnsi="Segoe UI" w:cs="Segoe UI"/>
          <w:color w:val="212529"/>
          <w:sz w:val="24"/>
          <w:szCs w:val="24"/>
          <w:lang w:eastAsia="en-IN"/>
        </w:rPr>
        <w:t xml:space="preserve"> Rias, C., Rowe, Z. and </w:t>
      </w:r>
      <w:proofErr w:type="spellStart"/>
      <w:r w:rsidRPr="00BE5F4F">
        <w:rPr>
          <w:rFonts w:ascii="Segoe UI" w:eastAsia="Times New Roman" w:hAnsi="Segoe UI" w:cs="Segoe UI"/>
          <w:color w:val="212529"/>
          <w:sz w:val="24"/>
          <w:szCs w:val="24"/>
          <w:lang w:eastAsia="en-IN"/>
        </w:rPr>
        <w:t>Charnley</w:t>
      </w:r>
      <w:proofErr w:type="spellEnd"/>
      <w:r w:rsidRPr="00BE5F4F">
        <w:rPr>
          <w:rFonts w:ascii="Segoe UI" w:eastAsia="Times New Roman" w:hAnsi="Segoe UI" w:cs="Segoe UI"/>
          <w:color w:val="212529"/>
          <w:sz w:val="24"/>
          <w:szCs w:val="24"/>
          <w:lang w:eastAsia="en-IN"/>
        </w:rPr>
        <w:t>, F. (2016) ‘A conceptual framework for circular design’ </w:t>
      </w:r>
      <w:r w:rsidRPr="00BE5F4F">
        <w:rPr>
          <w:rFonts w:ascii="Segoe UI" w:eastAsia="Times New Roman" w:hAnsi="Segoe UI" w:cs="Segoe UI"/>
          <w:i/>
          <w:iCs/>
          <w:color w:val="212529"/>
          <w:sz w:val="24"/>
          <w:szCs w:val="24"/>
          <w:lang w:eastAsia="en-IN"/>
        </w:rPr>
        <w:t>Sustainability</w:t>
      </w:r>
      <w:r w:rsidRPr="00BE5F4F">
        <w:rPr>
          <w:rFonts w:ascii="Segoe UI" w:eastAsia="Times New Roman" w:hAnsi="Segoe UI" w:cs="Segoe UI"/>
          <w:color w:val="212529"/>
          <w:sz w:val="24"/>
          <w:szCs w:val="24"/>
          <w:lang w:eastAsia="en-IN"/>
        </w:rPr>
        <w:t xml:space="preserve">, </w:t>
      </w:r>
      <w:proofErr w:type="gramStart"/>
      <w:r w:rsidRPr="00BE5F4F">
        <w:rPr>
          <w:rFonts w:ascii="Segoe UI" w:eastAsia="Times New Roman" w:hAnsi="Segoe UI" w:cs="Segoe UI"/>
          <w:color w:val="212529"/>
          <w:sz w:val="24"/>
          <w:szCs w:val="24"/>
          <w:lang w:eastAsia="en-IN"/>
        </w:rPr>
        <w:t>Vol.8(</w:t>
      </w:r>
      <w:proofErr w:type="gramEnd"/>
      <w:r w:rsidRPr="00BE5F4F">
        <w:rPr>
          <w:rFonts w:ascii="Segoe UI" w:eastAsia="Times New Roman" w:hAnsi="Segoe UI" w:cs="Segoe UI"/>
          <w:color w:val="212529"/>
          <w:sz w:val="24"/>
          <w:szCs w:val="24"/>
          <w:lang w:eastAsia="en-IN"/>
        </w:rPr>
        <w:t>9), pp.937-952</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Mulvihill</w:t>
      </w:r>
      <w:proofErr w:type="spellEnd"/>
      <w:r w:rsidRPr="00BE5F4F">
        <w:rPr>
          <w:rFonts w:ascii="Segoe UI" w:eastAsia="Times New Roman" w:hAnsi="Segoe UI" w:cs="Segoe UI"/>
          <w:color w:val="212529"/>
          <w:sz w:val="24"/>
          <w:szCs w:val="24"/>
          <w:lang w:eastAsia="en-IN"/>
        </w:rPr>
        <w:t>, P.R. and Harris Ali, S. (2017) </w:t>
      </w:r>
      <w:r w:rsidRPr="00BE5F4F">
        <w:rPr>
          <w:rFonts w:ascii="Segoe UI" w:eastAsia="Times New Roman" w:hAnsi="Segoe UI" w:cs="Segoe UI"/>
          <w:i/>
          <w:iCs/>
          <w:color w:val="212529"/>
          <w:sz w:val="24"/>
          <w:szCs w:val="24"/>
          <w:lang w:eastAsia="en-IN"/>
        </w:rPr>
        <w:t>Environmental Management: Critical Thinking and Emerging Practices. </w:t>
      </w:r>
      <w:r w:rsidRPr="00BE5F4F">
        <w:rPr>
          <w:rFonts w:ascii="Segoe UI" w:eastAsia="Times New Roman" w:hAnsi="Segoe UI" w:cs="Segoe UI"/>
          <w:color w:val="212529"/>
          <w:sz w:val="24"/>
          <w:szCs w:val="24"/>
          <w:lang w:eastAsia="en-IN"/>
        </w:rPr>
        <w:t>(1</w:t>
      </w:r>
      <w:r w:rsidRPr="00BE5F4F">
        <w:rPr>
          <w:rFonts w:ascii="Segoe UI" w:eastAsia="Times New Roman" w:hAnsi="Segoe UI" w:cs="Segoe UI"/>
          <w:color w:val="212529"/>
          <w:sz w:val="18"/>
          <w:szCs w:val="18"/>
          <w:vertAlign w:val="superscript"/>
          <w:lang w:eastAsia="en-IN"/>
        </w:rPr>
        <w:t>st</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Abingdon: Routledge</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Neuman</w:t>
      </w:r>
      <w:proofErr w:type="spellEnd"/>
      <w:r w:rsidRPr="00BE5F4F">
        <w:rPr>
          <w:rFonts w:ascii="Segoe UI" w:eastAsia="Times New Roman" w:hAnsi="Segoe UI" w:cs="Segoe UI"/>
          <w:color w:val="212529"/>
          <w:sz w:val="24"/>
          <w:szCs w:val="24"/>
          <w:lang w:eastAsia="en-IN"/>
        </w:rPr>
        <w:t>, W. L. (2013) </w:t>
      </w:r>
      <w:r w:rsidRPr="00BE5F4F">
        <w:rPr>
          <w:rFonts w:ascii="Segoe UI" w:eastAsia="Times New Roman" w:hAnsi="Segoe UI" w:cs="Segoe UI"/>
          <w:i/>
          <w:iCs/>
          <w:color w:val="212529"/>
          <w:sz w:val="24"/>
          <w:szCs w:val="24"/>
          <w:lang w:eastAsia="en-IN"/>
        </w:rPr>
        <w:t>Social research methods: Qualitative and quantitative approaches </w:t>
      </w:r>
      <w:r w:rsidRPr="00BE5F4F">
        <w:rPr>
          <w:rFonts w:ascii="Segoe UI" w:eastAsia="Times New Roman" w:hAnsi="Segoe UI" w:cs="Segoe UI"/>
          <w:color w:val="212529"/>
          <w:sz w:val="24"/>
          <w:szCs w:val="24"/>
          <w:lang w:eastAsia="en-IN"/>
        </w:rPr>
        <w:t>(1</w:t>
      </w:r>
      <w:r w:rsidRPr="00BE5F4F">
        <w:rPr>
          <w:rFonts w:ascii="Segoe UI" w:eastAsia="Times New Roman" w:hAnsi="Segoe UI" w:cs="Segoe UI"/>
          <w:color w:val="212529"/>
          <w:sz w:val="18"/>
          <w:szCs w:val="18"/>
          <w:vertAlign w:val="superscript"/>
          <w:lang w:eastAsia="en-IN"/>
        </w:rPr>
        <w:t>st</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London: Pearson Education Ltd</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Osterwalder</w:t>
      </w:r>
      <w:proofErr w:type="spellEnd"/>
      <w:r w:rsidRPr="00BE5F4F">
        <w:rPr>
          <w:rFonts w:ascii="Segoe UI" w:eastAsia="Times New Roman" w:hAnsi="Segoe UI" w:cs="Segoe UI"/>
          <w:color w:val="212529"/>
          <w:sz w:val="24"/>
          <w:szCs w:val="24"/>
          <w:lang w:eastAsia="en-IN"/>
        </w:rPr>
        <w:t xml:space="preserve">, A. and </w:t>
      </w:r>
      <w:proofErr w:type="spellStart"/>
      <w:r w:rsidRPr="00BE5F4F">
        <w:rPr>
          <w:rFonts w:ascii="Segoe UI" w:eastAsia="Times New Roman" w:hAnsi="Segoe UI" w:cs="Segoe UI"/>
          <w:color w:val="212529"/>
          <w:sz w:val="24"/>
          <w:szCs w:val="24"/>
          <w:lang w:eastAsia="en-IN"/>
        </w:rPr>
        <w:t>Pigneur</w:t>
      </w:r>
      <w:proofErr w:type="spellEnd"/>
      <w:r w:rsidRPr="00BE5F4F">
        <w:rPr>
          <w:rFonts w:ascii="Segoe UI" w:eastAsia="Times New Roman" w:hAnsi="Segoe UI" w:cs="Segoe UI"/>
          <w:color w:val="212529"/>
          <w:sz w:val="24"/>
          <w:szCs w:val="24"/>
          <w:lang w:eastAsia="en-IN"/>
        </w:rPr>
        <w:t>, Y. (2010) </w:t>
      </w:r>
      <w:r w:rsidRPr="00BE5F4F">
        <w:rPr>
          <w:rFonts w:ascii="Segoe UI" w:eastAsia="Times New Roman" w:hAnsi="Segoe UI" w:cs="Segoe UI"/>
          <w:i/>
          <w:iCs/>
          <w:color w:val="212529"/>
          <w:sz w:val="24"/>
          <w:szCs w:val="24"/>
          <w:lang w:eastAsia="en-IN"/>
        </w:rPr>
        <w:t>Business Model Generation</w:t>
      </w:r>
      <w:r w:rsidRPr="00BE5F4F">
        <w:rPr>
          <w:rFonts w:ascii="Segoe UI" w:eastAsia="Times New Roman" w:hAnsi="Segoe UI" w:cs="Segoe UI"/>
          <w:color w:val="212529"/>
          <w:sz w:val="24"/>
          <w:szCs w:val="24"/>
          <w:lang w:eastAsia="en-IN"/>
        </w:rPr>
        <w:t> (1</w:t>
      </w:r>
      <w:r w:rsidRPr="00BE5F4F">
        <w:rPr>
          <w:rFonts w:ascii="Segoe UI" w:eastAsia="Times New Roman" w:hAnsi="Segoe UI" w:cs="Segoe UI"/>
          <w:color w:val="212529"/>
          <w:sz w:val="18"/>
          <w:szCs w:val="18"/>
          <w:vertAlign w:val="superscript"/>
          <w:lang w:eastAsia="en-IN"/>
        </w:rPr>
        <w:t>st</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New Jersey: John Wiley and Sons Inc.</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Pauli, G. (2017) </w:t>
      </w:r>
      <w:proofErr w:type="gramStart"/>
      <w:r w:rsidRPr="00BE5F4F">
        <w:rPr>
          <w:rFonts w:ascii="Segoe UI" w:eastAsia="Times New Roman" w:hAnsi="Segoe UI" w:cs="Segoe UI"/>
          <w:i/>
          <w:iCs/>
          <w:color w:val="212529"/>
          <w:sz w:val="24"/>
          <w:szCs w:val="24"/>
          <w:lang w:eastAsia="en-IN"/>
        </w:rPr>
        <w:t>The</w:t>
      </w:r>
      <w:proofErr w:type="gramEnd"/>
      <w:r w:rsidRPr="00BE5F4F">
        <w:rPr>
          <w:rFonts w:ascii="Segoe UI" w:eastAsia="Times New Roman" w:hAnsi="Segoe UI" w:cs="Segoe UI"/>
          <w:i/>
          <w:iCs/>
          <w:color w:val="212529"/>
          <w:sz w:val="24"/>
          <w:szCs w:val="24"/>
          <w:lang w:eastAsia="en-IN"/>
        </w:rPr>
        <w:t xml:space="preserve"> blue economy systems approach</w:t>
      </w:r>
      <w:r w:rsidRPr="00BE5F4F">
        <w:rPr>
          <w:rFonts w:ascii="Segoe UI" w:eastAsia="Times New Roman" w:hAnsi="Segoe UI" w:cs="Segoe UI"/>
          <w:color w:val="212529"/>
          <w:sz w:val="24"/>
          <w:szCs w:val="24"/>
          <w:lang w:eastAsia="en-IN"/>
        </w:rPr>
        <w:t>. (2</w:t>
      </w:r>
      <w:r w:rsidRPr="00BE5F4F">
        <w:rPr>
          <w:rFonts w:ascii="Segoe UI" w:eastAsia="Times New Roman" w:hAnsi="Segoe UI" w:cs="Segoe UI"/>
          <w:color w:val="212529"/>
          <w:sz w:val="18"/>
          <w:szCs w:val="18"/>
          <w:vertAlign w:val="superscript"/>
          <w:lang w:eastAsia="en-IN"/>
        </w:rPr>
        <w:t>nd</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New York: The World Bank.</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Proctor, T. (2014) Creative Problem-Solving for Managers (4th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Abingdon: Routledge</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lastRenderedPageBreak/>
        <w:t>Resnik</w:t>
      </w:r>
      <w:proofErr w:type="spellEnd"/>
      <w:r w:rsidRPr="00BE5F4F">
        <w:rPr>
          <w:rFonts w:ascii="Segoe UI" w:eastAsia="Times New Roman" w:hAnsi="Segoe UI" w:cs="Segoe UI"/>
          <w:color w:val="212529"/>
          <w:sz w:val="24"/>
          <w:szCs w:val="24"/>
          <w:lang w:eastAsia="en-IN"/>
        </w:rPr>
        <w:t>, D.B. (2015) ‘What is Ethics in Research &amp; Why is it important.’ [</w:t>
      </w:r>
      <w:proofErr w:type="gramStart"/>
      <w:r w:rsidRPr="00BE5F4F">
        <w:rPr>
          <w:rFonts w:ascii="Segoe UI" w:eastAsia="Times New Roman" w:hAnsi="Segoe UI" w:cs="Segoe UI"/>
          <w:color w:val="212529"/>
          <w:sz w:val="24"/>
          <w:szCs w:val="24"/>
          <w:lang w:eastAsia="en-IN"/>
        </w:rPr>
        <w:t>online</w:t>
      </w:r>
      <w:proofErr w:type="gramEnd"/>
      <w:r w:rsidRPr="00BE5F4F">
        <w:rPr>
          <w:rFonts w:ascii="Segoe UI" w:eastAsia="Times New Roman" w:hAnsi="Segoe UI" w:cs="Segoe UI"/>
          <w:color w:val="212529"/>
          <w:sz w:val="24"/>
          <w:szCs w:val="24"/>
          <w:lang w:eastAsia="en-IN"/>
        </w:rPr>
        <w:t>] Available from: https://www.niehs.nih.gov/research/resources/bioethics/whatis/index.cfm</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 xml:space="preserve">Riley, M., Wood, R.C., Clark, M.A., </w:t>
      </w:r>
      <w:proofErr w:type="spellStart"/>
      <w:r w:rsidRPr="00BE5F4F">
        <w:rPr>
          <w:rFonts w:ascii="Segoe UI" w:eastAsia="Times New Roman" w:hAnsi="Segoe UI" w:cs="Segoe UI"/>
          <w:color w:val="212529"/>
          <w:sz w:val="24"/>
          <w:szCs w:val="24"/>
          <w:lang w:eastAsia="en-IN"/>
        </w:rPr>
        <w:t>Wilkie</w:t>
      </w:r>
      <w:proofErr w:type="spellEnd"/>
      <w:r w:rsidRPr="00BE5F4F">
        <w:rPr>
          <w:rFonts w:ascii="Segoe UI" w:eastAsia="Times New Roman" w:hAnsi="Segoe UI" w:cs="Segoe UI"/>
          <w:color w:val="212529"/>
          <w:sz w:val="24"/>
          <w:szCs w:val="24"/>
          <w:lang w:eastAsia="en-IN"/>
        </w:rPr>
        <w:t xml:space="preserve">, E. and </w:t>
      </w:r>
      <w:proofErr w:type="spellStart"/>
      <w:r w:rsidRPr="00BE5F4F">
        <w:rPr>
          <w:rFonts w:ascii="Segoe UI" w:eastAsia="Times New Roman" w:hAnsi="Segoe UI" w:cs="Segoe UI"/>
          <w:color w:val="212529"/>
          <w:sz w:val="24"/>
          <w:szCs w:val="24"/>
          <w:lang w:eastAsia="en-IN"/>
        </w:rPr>
        <w:t>Svisas</w:t>
      </w:r>
      <w:proofErr w:type="spellEnd"/>
      <w:r w:rsidRPr="00BE5F4F">
        <w:rPr>
          <w:rFonts w:ascii="Segoe UI" w:eastAsia="Times New Roman" w:hAnsi="Segoe UI" w:cs="Segoe UI"/>
          <w:color w:val="212529"/>
          <w:sz w:val="24"/>
          <w:szCs w:val="24"/>
          <w:lang w:eastAsia="en-IN"/>
        </w:rPr>
        <w:t>, E. (2000) </w:t>
      </w:r>
      <w:r w:rsidRPr="00BE5F4F">
        <w:rPr>
          <w:rFonts w:ascii="Segoe UI" w:eastAsia="Times New Roman" w:hAnsi="Segoe UI" w:cs="Segoe UI"/>
          <w:i/>
          <w:iCs/>
          <w:color w:val="212529"/>
          <w:sz w:val="24"/>
          <w:szCs w:val="24"/>
          <w:lang w:eastAsia="en-IN"/>
        </w:rPr>
        <w:t>Researching and Writing Dissertations in Business and Management</w:t>
      </w:r>
      <w:r w:rsidRPr="00BE5F4F">
        <w:rPr>
          <w:rFonts w:ascii="Segoe UI" w:eastAsia="Times New Roman" w:hAnsi="Segoe UI" w:cs="Segoe UI"/>
          <w:color w:val="212529"/>
          <w:sz w:val="24"/>
          <w:szCs w:val="24"/>
          <w:lang w:eastAsia="en-IN"/>
        </w:rPr>
        <w:t> (1</w:t>
      </w:r>
      <w:r w:rsidRPr="00BE5F4F">
        <w:rPr>
          <w:rFonts w:ascii="Segoe UI" w:eastAsia="Times New Roman" w:hAnsi="Segoe UI" w:cs="Segoe UI"/>
          <w:color w:val="212529"/>
          <w:sz w:val="18"/>
          <w:szCs w:val="18"/>
          <w:vertAlign w:val="superscript"/>
          <w:lang w:eastAsia="en-IN"/>
        </w:rPr>
        <w:t>st</w:t>
      </w:r>
      <w:r w:rsidRPr="00BE5F4F">
        <w:rPr>
          <w:rFonts w:ascii="Segoe UI" w:eastAsia="Times New Roman" w:hAnsi="Segoe UI" w:cs="Segoe UI"/>
          <w:color w:val="212529"/>
          <w:sz w:val="24"/>
          <w:szCs w:val="24"/>
          <w:lang w:eastAsia="en-IN"/>
        </w:rPr>
        <w:t> ed.) Hampshire: Cengage Learning EMEA</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Rockström</w:t>
      </w:r>
      <w:proofErr w:type="spellEnd"/>
      <w:r w:rsidRPr="00BE5F4F">
        <w:rPr>
          <w:rFonts w:ascii="Segoe UI" w:eastAsia="Times New Roman" w:hAnsi="Segoe UI" w:cs="Segoe UI"/>
          <w:color w:val="212529"/>
          <w:sz w:val="24"/>
          <w:szCs w:val="24"/>
          <w:lang w:eastAsia="en-IN"/>
        </w:rPr>
        <w:t xml:space="preserve">, J., W. Steffen, K. </w:t>
      </w:r>
      <w:proofErr w:type="spellStart"/>
      <w:r w:rsidRPr="00BE5F4F">
        <w:rPr>
          <w:rFonts w:ascii="Segoe UI" w:eastAsia="Times New Roman" w:hAnsi="Segoe UI" w:cs="Segoe UI"/>
          <w:color w:val="212529"/>
          <w:sz w:val="24"/>
          <w:szCs w:val="24"/>
          <w:lang w:eastAsia="en-IN"/>
        </w:rPr>
        <w:t>Noone</w:t>
      </w:r>
      <w:proofErr w:type="spellEnd"/>
      <w:r w:rsidRPr="00BE5F4F">
        <w:rPr>
          <w:rFonts w:ascii="Segoe UI" w:eastAsia="Times New Roman" w:hAnsi="Segoe UI" w:cs="Segoe UI"/>
          <w:color w:val="212529"/>
          <w:sz w:val="24"/>
          <w:szCs w:val="24"/>
          <w:lang w:eastAsia="en-IN"/>
        </w:rPr>
        <w:t xml:space="preserve">, Å. </w:t>
      </w:r>
      <w:proofErr w:type="spellStart"/>
      <w:r w:rsidRPr="00BE5F4F">
        <w:rPr>
          <w:rFonts w:ascii="Segoe UI" w:eastAsia="Times New Roman" w:hAnsi="Segoe UI" w:cs="Segoe UI"/>
          <w:color w:val="212529"/>
          <w:sz w:val="24"/>
          <w:szCs w:val="24"/>
          <w:lang w:eastAsia="en-IN"/>
        </w:rPr>
        <w:t>Persson</w:t>
      </w:r>
      <w:proofErr w:type="spellEnd"/>
      <w:r w:rsidRPr="00BE5F4F">
        <w:rPr>
          <w:rFonts w:ascii="Segoe UI" w:eastAsia="Times New Roman" w:hAnsi="Segoe UI" w:cs="Segoe UI"/>
          <w:color w:val="212529"/>
          <w:sz w:val="24"/>
          <w:szCs w:val="24"/>
          <w:lang w:eastAsia="en-IN"/>
        </w:rPr>
        <w:t xml:space="preserve">, F. S. Chapin, III, E. </w:t>
      </w:r>
      <w:proofErr w:type="spellStart"/>
      <w:r w:rsidRPr="00BE5F4F">
        <w:rPr>
          <w:rFonts w:ascii="Segoe UI" w:eastAsia="Times New Roman" w:hAnsi="Segoe UI" w:cs="Segoe UI"/>
          <w:color w:val="212529"/>
          <w:sz w:val="24"/>
          <w:szCs w:val="24"/>
          <w:lang w:eastAsia="en-IN"/>
        </w:rPr>
        <w:t>Lambin</w:t>
      </w:r>
      <w:proofErr w:type="spellEnd"/>
      <w:r w:rsidRPr="00BE5F4F">
        <w:rPr>
          <w:rFonts w:ascii="Segoe UI" w:eastAsia="Times New Roman" w:hAnsi="Segoe UI" w:cs="Segoe UI"/>
          <w:color w:val="212529"/>
          <w:sz w:val="24"/>
          <w:szCs w:val="24"/>
          <w:lang w:eastAsia="en-IN"/>
        </w:rPr>
        <w:t xml:space="preserve">, T. M. </w:t>
      </w:r>
      <w:proofErr w:type="spellStart"/>
      <w:r w:rsidRPr="00BE5F4F">
        <w:rPr>
          <w:rFonts w:ascii="Segoe UI" w:eastAsia="Times New Roman" w:hAnsi="Segoe UI" w:cs="Segoe UI"/>
          <w:color w:val="212529"/>
          <w:sz w:val="24"/>
          <w:szCs w:val="24"/>
          <w:lang w:eastAsia="en-IN"/>
        </w:rPr>
        <w:t>Lenton</w:t>
      </w:r>
      <w:proofErr w:type="spellEnd"/>
      <w:r w:rsidRPr="00BE5F4F">
        <w:rPr>
          <w:rFonts w:ascii="Segoe UI" w:eastAsia="Times New Roman" w:hAnsi="Segoe UI" w:cs="Segoe UI"/>
          <w:color w:val="212529"/>
          <w:sz w:val="24"/>
          <w:szCs w:val="24"/>
          <w:lang w:eastAsia="en-IN"/>
        </w:rPr>
        <w:t xml:space="preserve">, M. </w:t>
      </w:r>
      <w:proofErr w:type="spellStart"/>
      <w:r w:rsidRPr="00BE5F4F">
        <w:rPr>
          <w:rFonts w:ascii="Segoe UI" w:eastAsia="Times New Roman" w:hAnsi="Segoe UI" w:cs="Segoe UI"/>
          <w:color w:val="212529"/>
          <w:sz w:val="24"/>
          <w:szCs w:val="24"/>
          <w:lang w:eastAsia="en-IN"/>
        </w:rPr>
        <w:t>Scheffer</w:t>
      </w:r>
      <w:proofErr w:type="spellEnd"/>
      <w:r w:rsidRPr="00BE5F4F">
        <w:rPr>
          <w:rFonts w:ascii="Segoe UI" w:eastAsia="Times New Roman" w:hAnsi="Segoe UI" w:cs="Segoe UI"/>
          <w:color w:val="212529"/>
          <w:sz w:val="24"/>
          <w:szCs w:val="24"/>
          <w:lang w:eastAsia="en-IN"/>
        </w:rPr>
        <w:t xml:space="preserve">, C. </w:t>
      </w:r>
      <w:proofErr w:type="spellStart"/>
      <w:r w:rsidRPr="00BE5F4F">
        <w:rPr>
          <w:rFonts w:ascii="Segoe UI" w:eastAsia="Times New Roman" w:hAnsi="Segoe UI" w:cs="Segoe UI"/>
          <w:color w:val="212529"/>
          <w:sz w:val="24"/>
          <w:szCs w:val="24"/>
          <w:lang w:eastAsia="en-IN"/>
        </w:rPr>
        <w:t>Folke</w:t>
      </w:r>
      <w:proofErr w:type="spellEnd"/>
      <w:r w:rsidRPr="00BE5F4F">
        <w:rPr>
          <w:rFonts w:ascii="Segoe UI" w:eastAsia="Times New Roman" w:hAnsi="Segoe UI" w:cs="Segoe UI"/>
          <w:color w:val="212529"/>
          <w:sz w:val="24"/>
          <w:szCs w:val="24"/>
          <w:lang w:eastAsia="en-IN"/>
        </w:rPr>
        <w:t xml:space="preserve">, H. </w:t>
      </w:r>
      <w:proofErr w:type="spellStart"/>
      <w:r w:rsidRPr="00BE5F4F">
        <w:rPr>
          <w:rFonts w:ascii="Segoe UI" w:eastAsia="Times New Roman" w:hAnsi="Segoe UI" w:cs="Segoe UI"/>
          <w:color w:val="212529"/>
          <w:sz w:val="24"/>
          <w:szCs w:val="24"/>
          <w:lang w:eastAsia="en-IN"/>
        </w:rPr>
        <w:t>Schellnhuber</w:t>
      </w:r>
      <w:proofErr w:type="spellEnd"/>
      <w:r w:rsidRPr="00BE5F4F">
        <w:rPr>
          <w:rFonts w:ascii="Segoe UI" w:eastAsia="Times New Roman" w:hAnsi="Segoe UI" w:cs="Segoe UI"/>
          <w:color w:val="212529"/>
          <w:sz w:val="24"/>
          <w:szCs w:val="24"/>
          <w:lang w:eastAsia="en-IN"/>
        </w:rPr>
        <w:t xml:space="preserve">, B. </w:t>
      </w:r>
      <w:proofErr w:type="spellStart"/>
      <w:r w:rsidRPr="00BE5F4F">
        <w:rPr>
          <w:rFonts w:ascii="Segoe UI" w:eastAsia="Times New Roman" w:hAnsi="Segoe UI" w:cs="Segoe UI"/>
          <w:color w:val="212529"/>
          <w:sz w:val="24"/>
          <w:szCs w:val="24"/>
          <w:lang w:eastAsia="en-IN"/>
        </w:rPr>
        <w:t>Nykvist</w:t>
      </w:r>
      <w:proofErr w:type="spellEnd"/>
      <w:r w:rsidRPr="00BE5F4F">
        <w:rPr>
          <w:rFonts w:ascii="Segoe UI" w:eastAsia="Times New Roman" w:hAnsi="Segoe UI" w:cs="Segoe UI"/>
          <w:color w:val="212529"/>
          <w:sz w:val="24"/>
          <w:szCs w:val="24"/>
          <w:lang w:eastAsia="en-IN"/>
        </w:rPr>
        <w:t xml:space="preserve">, C. A. De Wit, T. Hughes, S. van der </w:t>
      </w:r>
      <w:proofErr w:type="spellStart"/>
      <w:r w:rsidRPr="00BE5F4F">
        <w:rPr>
          <w:rFonts w:ascii="Segoe UI" w:eastAsia="Times New Roman" w:hAnsi="Segoe UI" w:cs="Segoe UI"/>
          <w:color w:val="212529"/>
          <w:sz w:val="24"/>
          <w:szCs w:val="24"/>
          <w:lang w:eastAsia="en-IN"/>
        </w:rPr>
        <w:t>Leeuw</w:t>
      </w:r>
      <w:proofErr w:type="spellEnd"/>
      <w:r w:rsidRPr="00BE5F4F">
        <w:rPr>
          <w:rFonts w:ascii="Segoe UI" w:eastAsia="Times New Roman" w:hAnsi="Segoe UI" w:cs="Segoe UI"/>
          <w:color w:val="212529"/>
          <w:sz w:val="24"/>
          <w:szCs w:val="24"/>
          <w:lang w:eastAsia="en-IN"/>
        </w:rPr>
        <w:t xml:space="preserve">, H. Rodhe, S. </w:t>
      </w:r>
      <w:proofErr w:type="spellStart"/>
      <w:r w:rsidRPr="00BE5F4F">
        <w:rPr>
          <w:rFonts w:ascii="Segoe UI" w:eastAsia="Times New Roman" w:hAnsi="Segoe UI" w:cs="Segoe UI"/>
          <w:color w:val="212529"/>
          <w:sz w:val="24"/>
          <w:szCs w:val="24"/>
          <w:lang w:eastAsia="en-IN"/>
        </w:rPr>
        <w:t>Sörlin</w:t>
      </w:r>
      <w:proofErr w:type="spellEnd"/>
      <w:r w:rsidRPr="00BE5F4F">
        <w:rPr>
          <w:rFonts w:ascii="Segoe UI" w:eastAsia="Times New Roman" w:hAnsi="Segoe UI" w:cs="Segoe UI"/>
          <w:color w:val="212529"/>
          <w:sz w:val="24"/>
          <w:szCs w:val="24"/>
          <w:lang w:eastAsia="en-IN"/>
        </w:rPr>
        <w:t xml:space="preserve">, P. K. Snyder, R. </w:t>
      </w:r>
      <w:proofErr w:type="spellStart"/>
      <w:r w:rsidRPr="00BE5F4F">
        <w:rPr>
          <w:rFonts w:ascii="Segoe UI" w:eastAsia="Times New Roman" w:hAnsi="Segoe UI" w:cs="Segoe UI"/>
          <w:color w:val="212529"/>
          <w:sz w:val="24"/>
          <w:szCs w:val="24"/>
          <w:lang w:eastAsia="en-IN"/>
        </w:rPr>
        <w:t>Costanza</w:t>
      </w:r>
      <w:proofErr w:type="spellEnd"/>
      <w:r w:rsidRPr="00BE5F4F">
        <w:rPr>
          <w:rFonts w:ascii="Segoe UI" w:eastAsia="Times New Roman" w:hAnsi="Segoe UI" w:cs="Segoe UI"/>
          <w:color w:val="212529"/>
          <w:sz w:val="24"/>
          <w:szCs w:val="24"/>
          <w:lang w:eastAsia="en-IN"/>
        </w:rPr>
        <w:t xml:space="preserve">, U. </w:t>
      </w:r>
      <w:proofErr w:type="spellStart"/>
      <w:r w:rsidRPr="00BE5F4F">
        <w:rPr>
          <w:rFonts w:ascii="Segoe UI" w:eastAsia="Times New Roman" w:hAnsi="Segoe UI" w:cs="Segoe UI"/>
          <w:color w:val="212529"/>
          <w:sz w:val="24"/>
          <w:szCs w:val="24"/>
          <w:lang w:eastAsia="en-IN"/>
        </w:rPr>
        <w:t>Svedin</w:t>
      </w:r>
      <w:proofErr w:type="spellEnd"/>
      <w:r w:rsidRPr="00BE5F4F">
        <w:rPr>
          <w:rFonts w:ascii="Segoe UI" w:eastAsia="Times New Roman" w:hAnsi="Segoe UI" w:cs="Segoe UI"/>
          <w:color w:val="212529"/>
          <w:sz w:val="24"/>
          <w:szCs w:val="24"/>
          <w:lang w:eastAsia="en-IN"/>
        </w:rPr>
        <w:t xml:space="preserve">, M. </w:t>
      </w:r>
      <w:proofErr w:type="spellStart"/>
      <w:r w:rsidRPr="00BE5F4F">
        <w:rPr>
          <w:rFonts w:ascii="Segoe UI" w:eastAsia="Times New Roman" w:hAnsi="Segoe UI" w:cs="Segoe UI"/>
          <w:color w:val="212529"/>
          <w:sz w:val="24"/>
          <w:szCs w:val="24"/>
          <w:lang w:eastAsia="en-IN"/>
        </w:rPr>
        <w:t>Falkenmark</w:t>
      </w:r>
      <w:proofErr w:type="spellEnd"/>
      <w:r w:rsidRPr="00BE5F4F">
        <w:rPr>
          <w:rFonts w:ascii="Segoe UI" w:eastAsia="Times New Roman" w:hAnsi="Segoe UI" w:cs="Segoe UI"/>
          <w:color w:val="212529"/>
          <w:sz w:val="24"/>
          <w:szCs w:val="24"/>
          <w:lang w:eastAsia="en-IN"/>
        </w:rPr>
        <w:t xml:space="preserve">, L. Karlberg, R. W. </w:t>
      </w:r>
      <w:proofErr w:type="spellStart"/>
      <w:r w:rsidRPr="00BE5F4F">
        <w:rPr>
          <w:rFonts w:ascii="Segoe UI" w:eastAsia="Times New Roman" w:hAnsi="Segoe UI" w:cs="Segoe UI"/>
          <w:color w:val="212529"/>
          <w:sz w:val="24"/>
          <w:szCs w:val="24"/>
          <w:lang w:eastAsia="en-IN"/>
        </w:rPr>
        <w:t>Corell</w:t>
      </w:r>
      <w:proofErr w:type="spellEnd"/>
      <w:r w:rsidRPr="00BE5F4F">
        <w:rPr>
          <w:rFonts w:ascii="Segoe UI" w:eastAsia="Times New Roman" w:hAnsi="Segoe UI" w:cs="Segoe UI"/>
          <w:color w:val="212529"/>
          <w:sz w:val="24"/>
          <w:szCs w:val="24"/>
          <w:lang w:eastAsia="en-IN"/>
        </w:rPr>
        <w:t xml:space="preserve">, V. J. </w:t>
      </w:r>
      <w:proofErr w:type="spellStart"/>
      <w:r w:rsidRPr="00BE5F4F">
        <w:rPr>
          <w:rFonts w:ascii="Segoe UI" w:eastAsia="Times New Roman" w:hAnsi="Segoe UI" w:cs="Segoe UI"/>
          <w:color w:val="212529"/>
          <w:sz w:val="24"/>
          <w:szCs w:val="24"/>
          <w:lang w:eastAsia="en-IN"/>
        </w:rPr>
        <w:t>Fabry</w:t>
      </w:r>
      <w:proofErr w:type="spellEnd"/>
      <w:r w:rsidRPr="00BE5F4F">
        <w:rPr>
          <w:rFonts w:ascii="Segoe UI" w:eastAsia="Times New Roman" w:hAnsi="Segoe UI" w:cs="Segoe UI"/>
          <w:color w:val="212529"/>
          <w:sz w:val="24"/>
          <w:szCs w:val="24"/>
          <w:lang w:eastAsia="en-IN"/>
        </w:rPr>
        <w:t xml:space="preserve">, J. Hansen, B. Walker, D. </w:t>
      </w:r>
      <w:proofErr w:type="spellStart"/>
      <w:r w:rsidRPr="00BE5F4F">
        <w:rPr>
          <w:rFonts w:ascii="Segoe UI" w:eastAsia="Times New Roman" w:hAnsi="Segoe UI" w:cs="Segoe UI"/>
          <w:color w:val="212529"/>
          <w:sz w:val="24"/>
          <w:szCs w:val="24"/>
          <w:lang w:eastAsia="en-IN"/>
        </w:rPr>
        <w:t>Liverman</w:t>
      </w:r>
      <w:proofErr w:type="spellEnd"/>
      <w:r w:rsidRPr="00BE5F4F">
        <w:rPr>
          <w:rFonts w:ascii="Segoe UI" w:eastAsia="Times New Roman" w:hAnsi="Segoe UI" w:cs="Segoe UI"/>
          <w:color w:val="212529"/>
          <w:sz w:val="24"/>
          <w:szCs w:val="24"/>
          <w:lang w:eastAsia="en-IN"/>
        </w:rPr>
        <w:t xml:space="preserve">, K. Richardson, P. </w:t>
      </w:r>
      <w:proofErr w:type="spellStart"/>
      <w:r w:rsidRPr="00BE5F4F">
        <w:rPr>
          <w:rFonts w:ascii="Segoe UI" w:eastAsia="Times New Roman" w:hAnsi="Segoe UI" w:cs="Segoe UI"/>
          <w:color w:val="212529"/>
          <w:sz w:val="24"/>
          <w:szCs w:val="24"/>
          <w:lang w:eastAsia="en-IN"/>
        </w:rPr>
        <w:t>Crutzen</w:t>
      </w:r>
      <w:proofErr w:type="spellEnd"/>
      <w:r w:rsidRPr="00BE5F4F">
        <w:rPr>
          <w:rFonts w:ascii="Segoe UI" w:eastAsia="Times New Roman" w:hAnsi="Segoe UI" w:cs="Segoe UI"/>
          <w:color w:val="212529"/>
          <w:sz w:val="24"/>
          <w:szCs w:val="24"/>
          <w:lang w:eastAsia="en-IN"/>
        </w:rPr>
        <w:t>, and J. Foley (2009) ‘Planetary boundaries: exploring the safe operating space for humanity,’ </w:t>
      </w:r>
      <w:r w:rsidRPr="00BE5F4F">
        <w:rPr>
          <w:rFonts w:ascii="Segoe UI" w:eastAsia="Times New Roman" w:hAnsi="Segoe UI" w:cs="Segoe UI"/>
          <w:i/>
          <w:iCs/>
          <w:color w:val="212529"/>
          <w:sz w:val="24"/>
          <w:szCs w:val="24"/>
          <w:lang w:eastAsia="en-IN"/>
        </w:rPr>
        <w:t>Ecology and Society</w:t>
      </w:r>
      <w:r w:rsidRPr="00BE5F4F">
        <w:rPr>
          <w:rFonts w:ascii="Segoe UI" w:eastAsia="Times New Roman" w:hAnsi="Segoe UI" w:cs="Segoe UI"/>
          <w:color w:val="212529"/>
          <w:sz w:val="24"/>
          <w:szCs w:val="24"/>
          <w:lang w:eastAsia="en-IN"/>
        </w:rPr>
        <w:t>, Vol. 14(2) [online] Available from </w:t>
      </w:r>
      <w:hyperlink r:id="rId19" w:tgtFrame="_blank" w:history="1">
        <w:r w:rsidRPr="00BE5F4F">
          <w:rPr>
            <w:rFonts w:ascii="Segoe UI" w:eastAsia="Times New Roman" w:hAnsi="Segoe UI" w:cs="Segoe UI"/>
            <w:color w:val="0B57A8"/>
            <w:sz w:val="24"/>
            <w:szCs w:val="24"/>
            <w:u w:val="single"/>
            <w:lang w:eastAsia="en-IN"/>
          </w:rPr>
          <w:t>http://mahb.stanford.edu/wp-content/uploads/2011/12/2009_Rockstrom-Planetary-Boundaries.pdf</w:t>
        </w:r>
      </w:hyperlink>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Saunders, M., Lewis, P. and Thornhill, A (2016) </w:t>
      </w:r>
      <w:r w:rsidRPr="00BE5F4F">
        <w:rPr>
          <w:rFonts w:ascii="Segoe UI" w:eastAsia="Times New Roman" w:hAnsi="Segoe UI" w:cs="Segoe UI"/>
          <w:i/>
          <w:iCs/>
          <w:color w:val="212529"/>
          <w:sz w:val="24"/>
          <w:szCs w:val="24"/>
          <w:lang w:eastAsia="en-IN"/>
        </w:rPr>
        <w:t>Research Methods for Business Students</w:t>
      </w:r>
      <w:r w:rsidRPr="00BE5F4F">
        <w:rPr>
          <w:rFonts w:ascii="Segoe UI" w:eastAsia="Times New Roman" w:hAnsi="Segoe UI" w:cs="Segoe UI"/>
          <w:color w:val="212529"/>
          <w:sz w:val="24"/>
          <w:szCs w:val="24"/>
          <w:lang w:eastAsia="en-IN"/>
        </w:rPr>
        <w:t> (7</w:t>
      </w:r>
      <w:r w:rsidRPr="00BE5F4F">
        <w:rPr>
          <w:rFonts w:ascii="Segoe UI" w:eastAsia="Times New Roman" w:hAnsi="Segoe UI" w:cs="Segoe UI"/>
          <w:color w:val="212529"/>
          <w:sz w:val="18"/>
          <w:szCs w:val="18"/>
          <w:vertAlign w:val="superscript"/>
          <w:lang w:eastAsia="en-IN"/>
        </w:rPr>
        <w:t>th</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Harlow: Pearson Education Ltd</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Sachs, J. (2015) </w:t>
      </w:r>
      <w:proofErr w:type="gramStart"/>
      <w:r w:rsidRPr="00BE5F4F">
        <w:rPr>
          <w:rFonts w:ascii="Segoe UI" w:eastAsia="Times New Roman" w:hAnsi="Segoe UI" w:cs="Segoe UI"/>
          <w:i/>
          <w:iCs/>
          <w:color w:val="212529"/>
          <w:sz w:val="24"/>
          <w:szCs w:val="24"/>
          <w:lang w:eastAsia="en-IN"/>
        </w:rPr>
        <w:t>The</w:t>
      </w:r>
      <w:proofErr w:type="gramEnd"/>
      <w:r w:rsidRPr="00BE5F4F">
        <w:rPr>
          <w:rFonts w:ascii="Segoe UI" w:eastAsia="Times New Roman" w:hAnsi="Segoe UI" w:cs="Segoe UI"/>
          <w:i/>
          <w:iCs/>
          <w:color w:val="212529"/>
          <w:sz w:val="24"/>
          <w:szCs w:val="24"/>
          <w:lang w:eastAsia="en-IN"/>
        </w:rPr>
        <w:t xml:space="preserve"> Age of Sustainable Development</w:t>
      </w:r>
      <w:r w:rsidRPr="00BE5F4F">
        <w:rPr>
          <w:rFonts w:ascii="Segoe UI" w:eastAsia="Times New Roman" w:hAnsi="Segoe UI" w:cs="Segoe UI"/>
          <w:color w:val="212529"/>
          <w:sz w:val="24"/>
          <w:szCs w:val="24"/>
          <w:lang w:eastAsia="en-IN"/>
        </w:rPr>
        <w:t> (1</w:t>
      </w:r>
      <w:r w:rsidRPr="00BE5F4F">
        <w:rPr>
          <w:rFonts w:ascii="Segoe UI" w:eastAsia="Times New Roman" w:hAnsi="Segoe UI" w:cs="Segoe UI"/>
          <w:color w:val="212529"/>
          <w:sz w:val="18"/>
          <w:szCs w:val="18"/>
          <w:vertAlign w:val="superscript"/>
          <w:lang w:eastAsia="en-IN"/>
        </w:rPr>
        <w:t>st</w:t>
      </w:r>
      <w:r w:rsidRPr="00BE5F4F">
        <w:rPr>
          <w:rFonts w:ascii="Segoe UI" w:eastAsia="Times New Roman" w:hAnsi="Segoe UI" w:cs="Segoe UI"/>
          <w:color w:val="212529"/>
          <w:sz w:val="24"/>
          <w:szCs w:val="24"/>
          <w:lang w:eastAsia="en-IN"/>
        </w:rPr>
        <w:t> ed.) USA: Columbia University Press.</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Slack, N., Brandon-Jones, A. and Johnston, R. (2016) </w:t>
      </w:r>
      <w:r w:rsidRPr="00BE5F4F">
        <w:rPr>
          <w:rFonts w:ascii="Segoe UI" w:eastAsia="Times New Roman" w:hAnsi="Segoe UI" w:cs="Segoe UI"/>
          <w:i/>
          <w:iCs/>
          <w:color w:val="212529"/>
          <w:sz w:val="24"/>
          <w:szCs w:val="24"/>
          <w:lang w:eastAsia="en-IN"/>
        </w:rPr>
        <w:t>Operations Management</w:t>
      </w:r>
      <w:r w:rsidRPr="00BE5F4F">
        <w:rPr>
          <w:rFonts w:ascii="Segoe UI" w:eastAsia="Times New Roman" w:hAnsi="Segoe UI" w:cs="Segoe UI"/>
          <w:color w:val="212529"/>
          <w:sz w:val="24"/>
          <w:szCs w:val="24"/>
          <w:lang w:eastAsia="en-IN"/>
        </w:rPr>
        <w:t xml:space="preserve"> (8th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Harlow: Pearson Education Ltd</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Stahel</w:t>
      </w:r>
      <w:proofErr w:type="spellEnd"/>
      <w:r w:rsidRPr="00BE5F4F">
        <w:rPr>
          <w:rFonts w:ascii="Segoe UI" w:eastAsia="Times New Roman" w:hAnsi="Segoe UI" w:cs="Segoe UI"/>
          <w:color w:val="212529"/>
          <w:sz w:val="24"/>
          <w:szCs w:val="24"/>
          <w:lang w:eastAsia="en-IN"/>
        </w:rPr>
        <w:t>, W. (2010) </w:t>
      </w:r>
      <w:proofErr w:type="gramStart"/>
      <w:r w:rsidRPr="00BE5F4F">
        <w:rPr>
          <w:rFonts w:ascii="Segoe UI" w:eastAsia="Times New Roman" w:hAnsi="Segoe UI" w:cs="Segoe UI"/>
          <w:i/>
          <w:iCs/>
          <w:color w:val="212529"/>
          <w:sz w:val="24"/>
          <w:szCs w:val="24"/>
          <w:lang w:eastAsia="en-IN"/>
        </w:rPr>
        <w:t>The</w:t>
      </w:r>
      <w:proofErr w:type="gramEnd"/>
      <w:r w:rsidRPr="00BE5F4F">
        <w:rPr>
          <w:rFonts w:ascii="Segoe UI" w:eastAsia="Times New Roman" w:hAnsi="Segoe UI" w:cs="Segoe UI"/>
          <w:i/>
          <w:iCs/>
          <w:color w:val="212529"/>
          <w:sz w:val="24"/>
          <w:szCs w:val="24"/>
          <w:lang w:eastAsia="en-IN"/>
        </w:rPr>
        <w:t xml:space="preserve"> performance economy</w:t>
      </w:r>
      <w:r w:rsidRPr="00BE5F4F">
        <w:rPr>
          <w:rFonts w:ascii="Segoe UI" w:eastAsia="Times New Roman" w:hAnsi="Segoe UI" w:cs="Segoe UI"/>
          <w:color w:val="212529"/>
          <w:sz w:val="24"/>
          <w:szCs w:val="24"/>
          <w:lang w:eastAsia="en-IN"/>
        </w:rPr>
        <w:t>. (1</w:t>
      </w:r>
      <w:r w:rsidRPr="00BE5F4F">
        <w:rPr>
          <w:rFonts w:ascii="Segoe UI" w:eastAsia="Times New Roman" w:hAnsi="Segoe UI" w:cs="Segoe UI"/>
          <w:color w:val="212529"/>
          <w:sz w:val="18"/>
          <w:szCs w:val="18"/>
          <w:vertAlign w:val="superscript"/>
          <w:lang w:eastAsia="en-IN"/>
        </w:rPr>
        <w:t>st</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London: Palgrave Macmillan.</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Tashakkori</w:t>
      </w:r>
      <w:proofErr w:type="spellEnd"/>
      <w:r w:rsidRPr="00BE5F4F">
        <w:rPr>
          <w:rFonts w:ascii="Segoe UI" w:eastAsia="Times New Roman" w:hAnsi="Segoe UI" w:cs="Segoe UI"/>
          <w:color w:val="212529"/>
          <w:sz w:val="24"/>
          <w:szCs w:val="24"/>
          <w:lang w:eastAsia="en-IN"/>
        </w:rPr>
        <w:t xml:space="preserve">, A. and </w:t>
      </w:r>
      <w:proofErr w:type="spellStart"/>
      <w:r w:rsidRPr="00BE5F4F">
        <w:rPr>
          <w:rFonts w:ascii="Segoe UI" w:eastAsia="Times New Roman" w:hAnsi="Segoe UI" w:cs="Segoe UI"/>
          <w:color w:val="212529"/>
          <w:sz w:val="24"/>
          <w:szCs w:val="24"/>
          <w:lang w:eastAsia="en-IN"/>
        </w:rPr>
        <w:t>Teddlie</w:t>
      </w:r>
      <w:proofErr w:type="spellEnd"/>
      <w:r w:rsidRPr="00BE5F4F">
        <w:rPr>
          <w:rFonts w:ascii="Segoe UI" w:eastAsia="Times New Roman" w:hAnsi="Segoe UI" w:cs="Segoe UI"/>
          <w:color w:val="212529"/>
          <w:sz w:val="24"/>
          <w:szCs w:val="24"/>
          <w:lang w:eastAsia="en-IN"/>
        </w:rPr>
        <w:t>, C. (2010) </w:t>
      </w:r>
      <w:r w:rsidRPr="00BE5F4F">
        <w:rPr>
          <w:rFonts w:ascii="Segoe UI" w:eastAsia="Times New Roman" w:hAnsi="Segoe UI" w:cs="Segoe UI"/>
          <w:i/>
          <w:iCs/>
          <w:color w:val="212529"/>
          <w:sz w:val="24"/>
          <w:szCs w:val="24"/>
          <w:lang w:eastAsia="en-IN"/>
        </w:rPr>
        <w:t>Handbook of Mixed Methods in Social and Behavioural Research</w:t>
      </w:r>
      <w:r w:rsidRPr="00BE5F4F">
        <w:rPr>
          <w:rFonts w:ascii="Segoe UI" w:eastAsia="Times New Roman" w:hAnsi="Segoe UI" w:cs="Segoe UI"/>
          <w:color w:val="212529"/>
          <w:sz w:val="24"/>
          <w:szCs w:val="24"/>
          <w:lang w:eastAsia="en-IN"/>
        </w:rPr>
        <w:t xml:space="preserve"> (revised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Thousand Oaks, California: Sage</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Teece</w:t>
      </w:r>
      <w:proofErr w:type="spellEnd"/>
      <w:r w:rsidRPr="00BE5F4F">
        <w:rPr>
          <w:rFonts w:ascii="Segoe UI" w:eastAsia="Times New Roman" w:hAnsi="Segoe UI" w:cs="Segoe UI"/>
          <w:color w:val="212529"/>
          <w:sz w:val="24"/>
          <w:szCs w:val="24"/>
          <w:lang w:eastAsia="en-IN"/>
        </w:rPr>
        <w:t>, D.J. (2010) ‘Business Models, Business Strategy and Innovation’ </w:t>
      </w:r>
      <w:r w:rsidRPr="00BE5F4F">
        <w:rPr>
          <w:rFonts w:ascii="Segoe UI" w:eastAsia="Times New Roman" w:hAnsi="Segoe UI" w:cs="Segoe UI"/>
          <w:i/>
          <w:iCs/>
          <w:color w:val="212529"/>
          <w:sz w:val="24"/>
          <w:szCs w:val="24"/>
          <w:lang w:eastAsia="en-IN"/>
        </w:rPr>
        <w:t>Long Range Planning</w:t>
      </w:r>
      <w:r w:rsidRPr="00BE5F4F">
        <w:rPr>
          <w:rFonts w:ascii="Segoe UI" w:eastAsia="Times New Roman" w:hAnsi="Segoe UI" w:cs="Segoe UI"/>
          <w:color w:val="212529"/>
          <w:sz w:val="24"/>
          <w:szCs w:val="24"/>
          <w:lang w:eastAsia="en-IN"/>
        </w:rPr>
        <w:t> Vol. 43, pp.172-194</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E5F4F">
        <w:rPr>
          <w:rFonts w:ascii="Segoe UI" w:eastAsia="Times New Roman" w:hAnsi="Segoe UI" w:cs="Segoe UI"/>
          <w:color w:val="212529"/>
          <w:sz w:val="24"/>
          <w:szCs w:val="24"/>
          <w:lang w:eastAsia="en-IN"/>
        </w:rPr>
        <w:t>Trott</w:t>
      </w:r>
      <w:proofErr w:type="spellEnd"/>
      <w:r w:rsidRPr="00BE5F4F">
        <w:rPr>
          <w:rFonts w:ascii="Segoe UI" w:eastAsia="Times New Roman" w:hAnsi="Segoe UI" w:cs="Segoe UI"/>
          <w:color w:val="212529"/>
          <w:sz w:val="24"/>
          <w:szCs w:val="24"/>
          <w:lang w:eastAsia="en-IN"/>
        </w:rPr>
        <w:t xml:space="preserve">, P. (2017) Innovation Management and New Product Development (6th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Harlow: Pearson Education Ltd</w:t>
      </w:r>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Unilever (2019) ‘Improving Health and Well-Being’ [online] Available from </w:t>
      </w:r>
      <w:hyperlink r:id="rId20" w:tgtFrame="_blank" w:history="1">
        <w:r w:rsidRPr="00BE5F4F">
          <w:rPr>
            <w:rFonts w:ascii="Segoe UI" w:eastAsia="Times New Roman" w:hAnsi="Segoe UI" w:cs="Segoe UI"/>
            <w:color w:val="0B57A8"/>
            <w:sz w:val="24"/>
            <w:szCs w:val="24"/>
            <w:u w:val="single"/>
            <w:lang w:eastAsia="en-IN"/>
          </w:rPr>
          <w:t>https://www.unilever.com/sustainable-living/improving-health-and-well-being/</w:t>
        </w:r>
      </w:hyperlink>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United Nations Climate Change (2019) ‘The Paris Agreement’ [online] Available from </w:t>
      </w:r>
      <w:hyperlink r:id="rId21" w:tgtFrame="_blank" w:history="1">
        <w:r w:rsidRPr="00BE5F4F">
          <w:rPr>
            <w:rFonts w:ascii="Segoe UI" w:eastAsia="Times New Roman" w:hAnsi="Segoe UI" w:cs="Segoe UI"/>
            <w:color w:val="0B57A8"/>
            <w:sz w:val="24"/>
            <w:szCs w:val="24"/>
            <w:u w:val="single"/>
            <w:lang w:eastAsia="en-IN"/>
          </w:rPr>
          <w:t>https://unfccc.int/process-and-meetings/the-paris-agreement/the-paris-agreement</w:t>
        </w:r>
      </w:hyperlink>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lastRenderedPageBreak/>
        <w:t>United Nations Sustainable Development Goals (2019) ‘Sustainable Development Goals’ [online] Available from </w:t>
      </w:r>
      <w:hyperlink r:id="rId22" w:tgtFrame="_blank" w:history="1">
        <w:r w:rsidRPr="00BE5F4F">
          <w:rPr>
            <w:rFonts w:ascii="Segoe UI" w:eastAsia="Times New Roman" w:hAnsi="Segoe UI" w:cs="Segoe UI"/>
            <w:color w:val="0B57A8"/>
            <w:sz w:val="24"/>
            <w:szCs w:val="24"/>
            <w:u w:val="single"/>
            <w:lang w:eastAsia="en-IN"/>
          </w:rPr>
          <w:t>https://www.un.org/sustainabledevelopment/sustainable-development-goals/</w:t>
        </w:r>
      </w:hyperlink>
    </w:p>
    <w:p w:rsidR="00BE5F4F" w:rsidRPr="00BE5F4F" w:rsidRDefault="00BE5F4F" w:rsidP="00BE5F4F">
      <w:pPr>
        <w:shd w:val="clear" w:color="auto" w:fill="FFFFFF"/>
        <w:spacing w:after="100" w:afterAutospacing="1" w:line="240" w:lineRule="auto"/>
        <w:rPr>
          <w:rFonts w:ascii="Segoe UI" w:eastAsia="Times New Roman" w:hAnsi="Segoe UI" w:cs="Segoe UI"/>
          <w:color w:val="212529"/>
          <w:sz w:val="24"/>
          <w:szCs w:val="24"/>
          <w:lang w:eastAsia="en-IN"/>
        </w:rPr>
      </w:pPr>
      <w:r w:rsidRPr="00BE5F4F">
        <w:rPr>
          <w:rFonts w:ascii="Segoe UI" w:eastAsia="Times New Roman" w:hAnsi="Segoe UI" w:cs="Segoe UI"/>
          <w:color w:val="212529"/>
          <w:sz w:val="24"/>
          <w:szCs w:val="24"/>
          <w:lang w:eastAsia="en-IN"/>
        </w:rPr>
        <w:t>Yin, R.K. (2018) </w:t>
      </w:r>
      <w:r w:rsidRPr="00BE5F4F">
        <w:rPr>
          <w:rFonts w:ascii="Segoe UI" w:eastAsia="Times New Roman" w:hAnsi="Segoe UI" w:cs="Segoe UI"/>
          <w:i/>
          <w:iCs/>
          <w:color w:val="212529"/>
          <w:sz w:val="24"/>
          <w:szCs w:val="24"/>
          <w:lang w:eastAsia="en-IN"/>
        </w:rPr>
        <w:t>Research and Applications: Design and Methods</w:t>
      </w:r>
      <w:r w:rsidRPr="00BE5F4F">
        <w:rPr>
          <w:rFonts w:ascii="Segoe UI" w:eastAsia="Times New Roman" w:hAnsi="Segoe UI" w:cs="Segoe UI"/>
          <w:color w:val="212529"/>
          <w:sz w:val="24"/>
          <w:szCs w:val="24"/>
          <w:lang w:eastAsia="en-IN"/>
        </w:rPr>
        <w:t> (6</w:t>
      </w:r>
      <w:r w:rsidRPr="00BE5F4F">
        <w:rPr>
          <w:rFonts w:ascii="Segoe UI" w:eastAsia="Times New Roman" w:hAnsi="Segoe UI" w:cs="Segoe UI"/>
          <w:color w:val="212529"/>
          <w:sz w:val="18"/>
          <w:szCs w:val="18"/>
          <w:vertAlign w:val="superscript"/>
          <w:lang w:eastAsia="en-IN"/>
        </w:rPr>
        <w:t>th</w:t>
      </w:r>
      <w:r w:rsidRPr="00BE5F4F">
        <w:rPr>
          <w:rFonts w:ascii="Segoe UI" w:eastAsia="Times New Roman" w:hAnsi="Segoe UI" w:cs="Segoe UI"/>
          <w:color w:val="212529"/>
          <w:sz w:val="24"/>
          <w:szCs w:val="24"/>
          <w:lang w:eastAsia="en-IN"/>
        </w:rPr>
        <w:t> </w:t>
      </w:r>
      <w:proofErr w:type="gramStart"/>
      <w:r w:rsidRPr="00BE5F4F">
        <w:rPr>
          <w:rFonts w:ascii="Segoe UI" w:eastAsia="Times New Roman" w:hAnsi="Segoe UI" w:cs="Segoe UI"/>
          <w:color w:val="212529"/>
          <w:sz w:val="24"/>
          <w:szCs w:val="24"/>
          <w:lang w:eastAsia="en-IN"/>
        </w:rPr>
        <w:t>ed</w:t>
      </w:r>
      <w:proofErr w:type="gramEnd"/>
      <w:r w:rsidRPr="00BE5F4F">
        <w:rPr>
          <w:rFonts w:ascii="Segoe UI" w:eastAsia="Times New Roman" w:hAnsi="Segoe UI" w:cs="Segoe UI"/>
          <w:color w:val="212529"/>
          <w:sz w:val="24"/>
          <w:szCs w:val="24"/>
          <w:lang w:eastAsia="en-IN"/>
        </w:rPr>
        <w:t>.) Thousand Oaks, CA: Sage</w:t>
      </w:r>
    </w:p>
    <w:p w:rsidR="00007578" w:rsidRDefault="00F76025">
      <w:bookmarkStart w:id="0" w:name="_GoBack"/>
      <w:r>
        <w:rPr>
          <w:noProof/>
          <w:lang w:eastAsia="en-IN"/>
        </w:rPr>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0075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C5597A"/>
    <w:multiLevelType w:val="multilevel"/>
    <w:tmpl w:val="EEEA4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F27E0E"/>
    <w:multiLevelType w:val="multilevel"/>
    <w:tmpl w:val="4E0A3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571443"/>
    <w:multiLevelType w:val="multilevel"/>
    <w:tmpl w:val="2424F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2B72CD2"/>
    <w:multiLevelType w:val="multilevel"/>
    <w:tmpl w:val="7D6E7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5F4F"/>
    <w:rsid w:val="00007578"/>
    <w:rsid w:val="00BE5F4F"/>
    <w:rsid w:val="00F7602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00AD44-55DD-4722-9CDA-1F1B36BAB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E5F4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BE5F4F"/>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BE5F4F"/>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E5F4F"/>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BE5F4F"/>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BE5F4F"/>
    <w:rPr>
      <w:rFonts w:ascii="Times New Roman" w:eastAsia="Times New Roman" w:hAnsi="Times New Roman" w:cs="Times New Roman"/>
      <w:b/>
      <w:bCs/>
      <w:sz w:val="24"/>
      <w:szCs w:val="24"/>
      <w:lang w:eastAsia="en-IN"/>
    </w:rPr>
  </w:style>
  <w:style w:type="character" w:styleId="Hyperlink">
    <w:name w:val="Hyperlink"/>
    <w:basedOn w:val="DefaultParagraphFont"/>
    <w:uiPriority w:val="99"/>
    <w:semiHidden/>
    <w:unhideWhenUsed/>
    <w:rsid w:val="00BE5F4F"/>
    <w:rPr>
      <w:color w:val="0000FF"/>
      <w:u w:val="single"/>
    </w:rPr>
  </w:style>
  <w:style w:type="paragraph" w:styleId="NormalWeb">
    <w:name w:val="Normal (Web)"/>
    <w:basedOn w:val="Normal"/>
    <w:uiPriority w:val="99"/>
    <w:semiHidden/>
    <w:unhideWhenUsed/>
    <w:rsid w:val="00BE5F4F"/>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lead">
    <w:name w:val="lead"/>
    <w:basedOn w:val="Normal"/>
    <w:rsid w:val="00BE5F4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BE5F4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034582">
      <w:bodyDiv w:val="1"/>
      <w:marLeft w:val="0"/>
      <w:marRight w:val="0"/>
      <w:marTop w:val="0"/>
      <w:marBottom w:val="0"/>
      <w:divBdr>
        <w:top w:val="none" w:sz="0" w:space="0" w:color="auto"/>
        <w:left w:val="none" w:sz="0" w:space="0" w:color="auto"/>
        <w:bottom w:val="none" w:sz="0" w:space="0" w:color="auto"/>
        <w:right w:val="none" w:sz="0" w:space="0" w:color="auto"/>
      </w:divBdr>
      <w:divsChild>
        <w:div w:id="414788059">
          <w:marLeft w:val="0"/>
          <w:marRight w:val="0"/>
          <w:marTop w:val="0"/>
          <w:marBottom w:val="0"/>
          <w:divBdr>
            <w:top w:val="none" w:sz="0" w:space="0" w:color="auto"/>
            <w:left w:val="none" w:sz="0" w:space="0" w:color="auto"/>
            <w:bottom w:val="none" w:sz="0" w:space="0" w:color="auto"/>
            <w:right w:val="none" w:sz="0" w:space="0" w:color="auto"/>
          </w:divBdr>
          <w:divsChild>
            <w:div w:id="649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kdiss.com/services/samples/merit-management-dissertation.php" TargetMode="External"/><Relationship Id="rId13" Type="http://schemas.openxmlformats.org/officeDocument/2006/relationships/hyperlink" Target="https://www.ellenmacarthurfoundation.org/case-studies/creating-a-regenerative-economy-in-the-amazon-forest" TargetMode="External"/><Relationship Id="rId18" Type="http://schemas.openxmlformats.org/officeDocument/2006/relationships/hyperlink" Target="https://www.gov.uk/government/publications/single-use-plastic-carrier-bags-why-were-introducing-the-charge/carrier-bags-why-theres-a-5p-charge" TargetMode="External"/><Relationship Id="rId3" Type="http://schemas.openxmlformats.org/officeDocument/2006/relationships/settings" Target="settings.xml"/><Relationship Id="rId21" Type="http://schemas.openxmlformats.org/officeDocument/2006/relationships/hyperlink" Target="https://unfccc.int/process-and-meetings/the-paris-agreement/the-paris-agreement" TargetMode="External"/><Relationship Id="rId7" Type="http://schemas.openxmlformats.org/officeDocument/2006/relationships/hyperlink" Target="https://ukdiss.com/services/samples/merit-management-dissertation.php" TargetMode="External"/><Relationship Id="rId12" Type="http://schemas.openxmlformats.org/officeDocument/2006/relationships/hyperlink" Target="https://www.ellenmacarthurfoundation.org/circular-economy/concept" TargetMode="External"/><Relationship Id="rId17" Type="http://schemas.openxmlformats.org/officeDocument/2006/relationships/hyperlink" Target="https://dx.doi.org/10.1590/1679-%20395157473"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ec.europa.eu/commission/priorities/jobs-growth-and-investment/towards-circular-economy_en" TargetMode="External"/><Relationship Id="rId20" Type="http://schemas.openxmlformats.org/officeDocument/2006/relationships/hyperlink" Target="https://www.unilever.com/sustainable-living/improving-health-and-well-being/" TargetMode="External"/><Relationship Id="rId1" Type="http://schemas.openxmlformats.org/officeDocument/2006/relationships/numbering" Target="numbering.xml"/><Relationship Id="rId6" Type="http://schemas.openxmlformats.org/officeDocument/2006/relationships/hyperlink" Target="https://ukdiss.com/services/samples/merit-management-dissertation.php" TargetMode="External"/><Relationship Id="rId11" Type="http://schemas.openxmlformats.org/officeDocument/2006/relationships/hyperlink" Target="http://archive.skoll.org/2015/09/11/internet-of-things-presents-opportunities-for-social-entrepreneurs/" TargetMode="External"/><Relationship Id="rId24" Type="http://schemas.openxmlformats.org/officeDocument/2006/relationships/fontTable" Target="fontTable.xml"/><Relationship Id="rId5" Type="http://schemas.openxmlformats.org/officeDocument/2006/relationships/hyperlink" Target="https://ukdiss.com/services/samples/merit-management-dissertation.php" TargetMode="External"/><Relationship Id="rId15" Type="http://schemas.openxmlformats.org/officeDocument/2006/relationships/hyperlink" Target="https://www.ellenmacarthurfoundation.org/case-studies/internet-enabled-pay-per-wash-a-model-offering-multiple-benefits" TargetMode="External"/><Relationship Id="rId23" Type="http://schemas.openxmlformats.org/officeDocument/2006/relationships/image" Target="media/image1.png"/><Relationship Id="rId10" Type="http://schemas.openxmlformats.org/officeDocument/2006/relationships/hyperlink" Target="https://ukdiss.com/services/samples/merit-management-dissertation.php" TargetMode="External"/><Relationship Id="rId19" Type="http://schemas.openxmlformats.org/officeDocument/2006/relationships/hyperlink" Target="http://mahb.stanford.edu/wp-content/uploads/2011/12/2009_Rockstrom-Planetary-Boundaries.pdf" TargetMode="External"/><Relationship Id="rId4" Type="http://schemas.openxmlformats.org/officeDocument/2006/relationships/webSettings" Target="webSettings.xml"/><Relationship Id="rId9" Type="http://schemas.openxmlformats.org/officeDocument/2006/relationships/hyperlink" Target="https://ukdiss.com/services/samples/merit-management-dissertation.php" TargetMode="External"/><Relationship Id="rId14" Type="http://schemas.openxmlformats.org/officeDocument/2006/relationships/hyperlink" Target="https://www.ellenmacarthurfoundation.org/case-studies/short-loop-recycling-of-plastics-in-vehicle-manufacturing" TargetMode="External"/><Relationship Id="rId22" Type="http://schemas.openxmlformats.org/officeDocument/2006/relationships/hyperlink" Target="https://www.un.org/sustainabledevelopment/sustainable-development-goa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24</Pages>
  <Words>9558</Words>
  <Characters>54487</Characters>
  <Application>Microsoft Office Word</Application>
  <DocSecurity>0</DocSecurity>
  <Lines>454</Lines>
  <Paragraphs>127</Paragraphs>
  <ScaleCrop>false</ScaleCrop>
  <Company/>
  <LinksUpToDate>false</LinksUpToDate>
  <CharactersWithSpaces>63918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2</cp:revision>
  <dcterms:created xsi:type="dcterms:W3CDTF">2021-12-04T04:52:00Z</dcterms:created>
  <dcterms:modified xsi:type="dcterms:W3CDTF">2021-12-04T04:59:00Z</dcterms:modified>
</cp:coreProperties>
</file>