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64B6" w:rsidRDefault="002564B6" w:rsidP="00B82DDF">
      <w:pPr>
        <w:spacing w:after="0" w:line="259" w:lineRule="auto"/>
        <w:ind w:left="0" w:firstLine="0"/>
        <w:jc w:val="left"/>
      </w:pPr>
    </w:p>
    <w:p w:rsidR="002564B6" w:rsidRDefault="0027769C">
      <w:pPr>
        <w:pStyle w:val="Heading1"/>
      </w:pPr>
      <w:bookmarkStart w:id="0" w:name="_GoBack"/>
      <w:r>
        <w:t>Scientific research in marketing dissertations: Posi</w:t>
      </w:r>
      <w:r w:rsidR="00B82DDF">
        <w:t>tive graduate school practices</w:t>
      </w:r>
    </w:p>
    <w:bookmarkEnd w:id="0"/>
    <w:p w:rsidR="002564B6" w:rsidRDefault="002564B6">
      <w:pPr>
        <w:spacing w:after="0" w:line="259" w:lineRule="auto"/>
        <w:ind w:firstLine="0"/>
        <w:jc w:val="left"/>
      </w:pPr>
    </w:p>
    <w:p w:rsidR="002564B6" w:rsidRDefault="0027769C">
      <w:pPr>
        <w:ind w:left="437"/>
      </w:pPr>
      <w:r>
        <w:t>Undergraduate students in Peru have limited experience in scientific research. For their bachelors’ dissertation, they often work on form</w:t>
      </w:r>
      <w:r>
        <w:t xml:space="preserve">ats free of scientific methodologies, such as business plans, marketing plans, processes reviewing to propose improvements, or lengthy monographic essays about a marketing subject. This limitation extends to several graduate school masters’ programs. </w:t>
      </w:r>
    </w:p>
    <w:p w:rsidR="002564B6" w:rsidRDefault="0027769C">
      <w:pPr>
        <w:spacing w:after="0" w:line="259" w:lineRule="auto"/>
        <w:ind w:firstLine="0"/>
        <w:jc w:val="left"/>
      </w:pPr>
      <w:r>
        <w:t xml:space="preserve">  </w:t>
      </w:r>
    </w:p>
    <w:p w:rsidR="002564B6" w:rsidRDefault="0027769C">
      <w:pPr>
        <w:ind w:left="437"/>
      </w:pPr>
      <w:r>
        <w:t>D</w:t>
      </w:r>
      <w:r>
        <w:t>uring their undergraduate education, students may have received a few seminars on research methodologies, and even training in using statistical software. However, they are framed in the bias of understanding research from a practitioner (Ginn, 2014) or co</w:t>
      </w:r>
      <w:r>
        <w:t>mmercial perspective as, for example, “market research”, or “researching competitors”. This scope is reinforced along their professional life, where the so-called research activities are carried out to plan company strategies, analyze business problems, ma</w:t>
      </w:r>
      <w:r>
        <w:t xml:space="preserve">nagerial reports, or write white papers to generate sales leads. (Schlee &amp; Harich, 2010; Vaughan &amp; Burnaford, 2016) </w:t>
      </w:r>
    </w:p>
    <w:p w:rsidR="002564B6" w:rsidRDefault="0027769C">
      <w:pPr>
        <w:spacing w:after="0" w:line="259" w:lineRule="auto"/>
        <w:ind w:left="1172" w:firstLine="0"/>
        <w:jc w:val="left"/>
      </w:pPr>
      <w:r>
        <w:t xml:space="preserve">  </w:t>
      </w:r>
    </w:p>
    <w:p w:rsidR="002564B6" w:rsidRDefault="0027769C">
      <w:pPr>
        <w:ind w:left="437"/>
      </w:pPr>
      <w:r>
        <w:t>Features of the scientific research process, such as the elaboration of research questions, the design of studies, apply methodologies, or constructing a literature review, remains a distant reality. Even sometimes, they belittle it due to its apparent lac</w:t>
      </w:r>
      <w:r>
        <w:t xml:space="preserve">k of practicality for marketing or sales purposes. (Kieser, Nicolai, &amp; Seidl, 2015) </w:t>
      </w:r>
    </w:p>
    <w:p w:rsidR="002564B6" w:rsidRDefault="0027769C">
      <w:pPr>
        <w:spacing w:after="0" w:line="259" w:lineRule="auto"/>
        <w:ind w:left="1172" w:firstLine="0"/>
        <w:jc w:val="left"/>
      </w:pPr>
      <w:r>
        <w:t xml:space="preserve">  </w:t>
      </w:r>
    </w:p>
    <w:p w:rsidR="002564B6" w:rsidRDefault="0027769C">
      <w:pPr>
        <w:ind w:left="437"/>
      </w:pPr>
      <w:r>
        <w:t>However, education in the logic and rigor of scientific research adds relevant value to the student’s training (Kind &amp; Osborne, 2017). Teaching the scientific method, a</w:t>
      </w:r>
      <w:r>
        <w:t>nd its application on a project, allow students to develop different skills, such as analytical thinking, abstract problem analysis and solving, learning to process large volumes of information, convey complex ideas in a structured manner, or reading and w</w:t>
      </w:r>
      <w:r>
        <w:t xml:space="preserve">riting skills and academic literacy. (Shaw &amp; le Roux, 2017) </w:t>
      </w:r>
    </w:p>
    <w:p w:rsidR="002564B6" w:rsidRDefault="0027769C">
      <w:pPr>
        <w:spacing w:after="0" w:line="259" w:lineRule="auto"/>
        <w:ind w:left="1172" w:firstLine="0"/>
        <w:jc w:val="left"/>
      </w:pPr>
      <w:r>
        <w:t xml:space="preserve">  </w:t>
      </w:r>
    </w:p>
    <w:p w:rsidR="002564B6" w:rsidRDefault="0027769C">
      <w:pPr>
        <w:ind w:left="437"/>
      </w:pPr>
      <w:r>
        <w:t>With these educational benefits in mind, at the University of Lima’s Graduate School (Peru), we set out to promote dissertations that use the scientific method among graduate students. For thi</w:t>
      </w:r>
      <w:r>
        <w:t>s project, we identified three main problems. First, we found that students are used to concentrating their intellectual effort on describing reality and its phenomena. As a result, they limit their final product to transcribing observable facts or data. I</w:t>
      </w:r>
      <w:r>
        <w:t xml:space="preserve">t Is common to find work similar to extended news coverage on a marketing topic, but with quotations formatted in APA style. </w:t>
      </w:r>
    </w:p>
    <w:p w:rsidR="002564B6" w:rsidRDefault="0027769C">
      <w:pPr>
        <w:spacing w:after="0" w:line="259" w:lineRule="auto"/>
        <w:ind w:left="1172" w:firstLine="0"/>
        <w:jc w:val="left"/>
      </w:pPr>
      <w:r>
        <w:t xml:space="preserve">  </w:t>
      </w:r>
    </w:p>
    <w:p w:rsidR="002564B6" w:rsidRDefault="0027769C">
      <w:pPr>
        <w:ind w:left="437"/>
      </w:pPr>
      <w:r>
        <w:t>Second, students assume finding causality is an effort of serious intuition and that it depends on a few variables. As a conseq</w:t>
      </w:r>
      <w:r>
        <w:t>uence, students simplify reality and make categorical statements without logical strictness. It also predisposes them to make generalized thoughts, as for example, blanket thoughts about of “brands”, “consumer purchase decisions”, “engagement scores” or th</w:t>
      </w:r>
      <w:r>
        <w:t xml:space="preserve">e like.  </w:t>
      </w:r>
    </w:p>
    <w:p w:rsidR="002564B6" w:rsidRDefault="0027769C">
      <w:pPr>
        <w:spacing w:after="600" w:line="259" w:lineRule="auto"/>
        <w:ind w:left="1172" w:firstLine="0"/>
        <w:jc w:val="left"/>
      </w:pPr>
      <w:r>
        <w:t xml:space="preserve">  </w:t>
      </w:r>
    </w:p>
    <w:p w:rsidR="002564B6" w:rsidRDefault="0027769C">
      <w:pPr>
        <w:spacing w:after="0" w:line="259" w:lineRule="auto"/>
        <w:ind w:firstLine="0"/>
        <w:jc w:val="left"/>
      </w:pPr>
      <w:r>
        <w:t xml:space="preserve"> </w:t>
      </w:r>
    </w:p>
    <w:p w:rsidR="002564B6" w:rsidRDefault="0027769C">
      <w:pPr>
        <w:ind w:left="437"/>
      </w:pPr>
      <w:r>
        <w:t xml:space="preserve">Third, they are predisposed to think the only marketing problems that need study, are those exhibited by industry media, or the ones discussed the most in social media. Such a </w:t>
      </w:r>
      <w:r>
        <w:lastRenderedPageBreak/>
        <w:t xml:space="preserve">framed scope limits their possibility of finding different needs </w:t>
      </w:r>
      <w:r>
        <w:t xml:space="preserve">and topics, or even distinguish a research problem when they pass near one. </w:t>
      </w:r>
    </w:p>
    <w:p w:rsidR="002564B6" w:rsidRDefault="0027769C">
      <w:pPr>
        <w:spacing w:after="0" w:line="259" w:lineRule="auto"/>
        <w:ind w:left="1172" w:firstLine="0"/>
        <w:jc w:val="left"/>
      </w:pPr>
      <w:r>
        <w:t xml:space="preserve">  </w:t>
      </w:r>
    </w:p>
    <w:p w:rsidR="002564B6" w:rsidRDefault="0027769C">
      <w:pPr>
        <w:spacing w:after="0" w:line="240" w:lineRule="auto"/>
        <w:ind w:firstLine="720"/>
        <w:jc w:val="left"/>
      </w:pPr>
      <w:r>
        <w:t>To address these problems, the dissertation seminars syllabi and curricula, of two postgraduate programs (MBA and Master in Content Management), were reviewed and adjusted to p</w:t>
      </w:r>
      <w:r>
        <w:t>romote and practice scientific research as an appealing option. Marketing topics were encouraged, due to advisor availability, clear application of methodologies, and the natural attractiveness of the field. We also reevaluated the way of addressing lectur</w:t>
      </w:r>
      <w:r>
        <w:t xml:space="preserve">es and advisory sessions (Maunder, Gordon-Finlayson, Callaghan, &amp; Roberts, 2012). This effort has had positive results, due to the number and quality of the scientific thesis in progress, showing that the academic goals are being achieved. </w:t>
      </w:r>
    </w:p>
    <w:p w:rsidR="002564B6" w:rsidRDefault="0027769C">
      <w:pPr>
        <w:spacing w:after="0" w:line="259" w:lineRule="auto"/>
        <w:ind w:left="1172" w:firstLine="0"/>
        <w:jc w:val="left"/>
      </w:pPr>
      <w:r>
        <w:t xml:space="preserve"> </w:t>
      </w:r>
    </w:p>
    <w:p w:rsidR="002564B6" w:rsidRDefault="0027769C">
      <w:pPr>
        <w:ind w:left="437"/>
      </w:pPr>
      <w:r>
        <w:t>As for the se</w:t>
      </w:r>
      <w:r>
        <w:t>minars’ syllabi. Before the dissertation seminars started, we held a special meeting to explain students the benefits –academic and professional– of working on a scientific research dissertation. We included sessions on research design and quantitative and</w:t>
      </w:r>
      <w:r>
        <w:t xml:space="preserve"> qualitative methods. Regarding the quantitative method, only correlational studies were encouraged. As for qualitative studies, phenomenological and grounded theory designs were taught, and training on how to perform a qualitative coding analysis. The syl</w:t>
      </w:r>
      <w:r>
        <w:t xml:space="preserve">labus also included basic training on SPSS and Atlas.ti, and in using scientific research databases. </w:t>
      </w:r>
    </w:p>
    <w:p w:rsidR="002564B6" w:rsidRDefault="0027769C">
      <w:pPr>
        <w:spacing w:after="0" w:line="259" w:lineRule="auto"/>
        <w:ind w:left="1172" w:firstLine="0"/>
        <w:jc w:val="left"/>
      </w:pPr>
      <w:r>
        <w:t xml:space="preserve">  </w:t>
      </w:r>
    </w:p>
    <w:p w:rsidR="002564B6" w:rsidRDefault="0027769C">
      <w:pPr>
        <w:ind w:left="437"/>
      </w:pPr>
      <w:r>
        <w:t xml:space="preserve">Regarding the curricula. We distributed three dissertation seminars throughout the duration of each master’s program. First seminars’ initial sessions </w:t>
      </w:r>
      <w:r>
        <w:t xml:space="preserve">were devoted to addressing theory on research and methodologies. All subsequent sessions were advisory encounters: 45 minutes each, every two weeks, 12 in total. During this sessions, theoretical and practical research topics were reinforced, and advisors </w:t>
      </w:r>
      <w:r>
        <w:t xml:space="preserve">taught the research process in a hand-on fashion. (Maunder et al., 2012; Turner &amp; Crane, 2015) </w:t>
      </w:r>
    </w:p>
    <w:p w:rsidR="002564B6" w:rsidRDefault="0027769C">
      <w:pPr>
        <w:spacing w:after="0" w:line="259" w:lineRule="auto"/>
        <w:ind w:left="1172" w:firstLine="0"/>
        <w:jc w:val="left"/>
      </w:pPr>
      <w:r>
        <w:t xml:space="preserve">  </w:t>
      </w:r>
    </w:p>
    <w:p w:rsidR="002564B6" w:rsidRDefault="0027769C">
      <w:pPr>
        <w:ind w:left="437"/>
      </w:pPr>
      <w:r>
        <w:t>Regarding pedagogical teaching approaches, advisors carried several exercises out. Three had the best results. First, broad marketing, marketing communicatio</w:t>
      </w:r>
      <w:r>
        <w:t xml:space="preserve">ns, and management fields, being researched by faculty, were presented to facilitate students frame their research subject. After subject selection, advisors followed a pipeline-like process to focus their project. Along this process, students were set to </w:t>
      </w:r>
      <w:r>
        <w:t>apply progressive filters on the subject chosen: (i) avoid broad concepts or words in plural (i.e. brands, consumers, value, social media); (ii) when dealing with a reality composed of several elements, choose from those elements (for example, instead of “</w:t>
      </w:r>
      <w:r>
        <w:t xml:space="preserve">branding” select “brand identity” or “perceptions associated with the brand”); and (iii) avoid research questions starting with “How” or “Why”, because they frequently gear students toward descriptive answers.  </w:t>
      </w:r>
    </w:p>
    <w:p w:rsidR="002564B6" w:rsidRDefault="0027769C">
      <w:pPr>
        <w:spacing w:after="0" w:line="259" w:lineRule="auto"/>
        <w:ind w:left="1172" w:firstLine="0"/>
        <w:jc w:val="left"/>
      </w:pPr>
      <w:r>
        <w:t xml:space="preserve">  </w:t>
      </w:r>
    </w:p>
    <w:p w:rsidR="002564B6" w:rsidRDefault="0027769C">
      <w:pPr>
        <w:ind w:left="437"/>
      </w:pPr>
      <w:r>
        <w:t>Second, students were to confront their d</w:t>
      </w:r>
      <w:r>
        <w:t>efined research subject with the following questions: “What do you want to confirm?”, “What do you want to affirm?”, or “What do you want to deny?” For each answer, they were also asked to avoid broad concepts and “How/Why” questions. This exercise allowed</w:t>
      </w:r>
      <w:r>
        <w:t xml:space="preserve"> them to specify their general hypothesis or research question. </w:t>
      </w:r>
    </w:p>
    <w:p w:rsidR="002564B6" w:rsidRDefault="0027769C">
      <w:pPr>
        <w:spacing w:after="0" w:line="259" w:lineRule="auto"/>
        <w:ind w:left="1172" w:firstLine="0"/>
        <w:jc w:val="left"/>
      </w:pPr>
      <w:r>
        <w:t xml:space="preserve">  </w:t>
      </w:r>
    </w:p>
    <w:p w:rsidR="002564B6" w:rsidRDefault="0027769C">
      <w:pPr>
        <w:spacing w:after="182"/>
        <w:ind w:left="437"/>
      </w:pPr>
      <w:r>
        <w:t xml:space="preserve">Third, they asked undergraduates to </w:t>
      </w:r>
      <w:r>
        <w:t xml:space="preserve">develop a consistency matrix. This requirement showed to be a positive teaching tool as it exposed the congruence (or lack off) in all axes of their research design. This matrix allowed students to be more aware of the meaning and goals </w:t>
      </w:r>
      <w:r>
        <w:lastRenderedPageBreak/>
        <w:t>of their dissertati</w:t>
      </w:r>
      <w:r>
        <w:t xml:space="preserve">on project. Only after consistency matrix approval, students were allowed to move on into working on their literature review. </w:t>
      </w:r>
    </w:p>
    <w:p w:rsidR="002564B6" w:rsidRDefault="0027769C">
      <w:pPr>
        <w:spacing w:after="0" w:line="259" w:lineRule="auto"/>
        <w:ind w:firstLine="0"/>
        <w:jc w:val="left"/>
      </w:pPr>
      <w:r>
        <w:t xml:space="preserve"> </w:t>
      </w:r>
    </w:p>
    <w:p w:rsidR="002564B6" w:rsidRDefault="0027769C">
      <w:pPr>
        <w:spacing w:after="0" w:line="259" w:lineRule="auto"/>
        <w:ind w:left="1172" w:firstLine="0"/>
        <w:jc w:val="left"/>
      </w:pPr>
      <w:r>
        <w:t xml:space="preserve">  </w:t>
      </w:r>
    </w:p>
    <w:p w:rsidR="002564B6" w:rsidRDefault="0027769C">
      <w:pPr>
        <w:ind w:left="437"/>
      </w:pPr>
      <w:r>
        <w:t xml:space="preserve">Review of dissertation seminars, and the teaching practices described, are paying off. Every work presented by the students </w:t>
      </w:r>
      <w:r>
        <w:t xml:space="preserve">of both master’s programs show they are acquiring the competencies sought, on analytical thinking, abstract problem definition and academic literacy.  When finished in the near future, some of this thesis may become research papers with sufficient quality </w:t>
      </w:r>
      <w:r>
        <w:t xml:space="preserve">for submission to academic journals. </w:t>
      </w:r>
    </w:p>
    <w:p w:rsidR="002564B6" w:rsidRDefault="0027769C">
      <w:pPr>
        <w:spacing w:after="0" w:line="259" w:lineRule="auto"/>
        <w:ind w:left="1172" w:firstLine="0"/>
        <w:jc w:val="left"/>
      </w:pPr>
      <w:r>
        <w:t xml:space="preserve"> </w:t>
      </w:r>
    </w:p>
    <w:p w:rsidR="002564B6" w:rsidRDefault="0027769C">
      <w:pPr>
        <w:spacing w:after="0" w:line="259" w:lineRule="auto"/>
        <w:ind w:left="1172" w:firstLine="0"/>
        <w:jc w:val="left"/>
      </w:pPr>
      <w:r>
        <w:t xml:space="preserve"> </w:t>
      </w:r>
    </w:p>
    <w:p w:rsidR="002564B6" w:rsidRDefault="0027769C">
      <w:pPr>
        <w:ind w:left="437" w:firstLine="0"/>
      </w:pPr>
      <w:r>
        <w:t xml:space="preserve">References </w:t>
      </w:r>
    </w:p>
    <w:p w:rsidR="002564B6" w:rsidRDefault="0027769C">
      <w:pPr>
        <w:ind w:left="917" w:hanging="480"/>
      </w:pPr>
      <w:r>
        <w:t xml:space="preserve">Ginn, F. (2014). “Being like a researcher”: Supervising Masters dissertations in a neoliberalizing university. </w:t>
      </w:r>
      <w:r>
        <w:rPr>
          <w:i/>
        </w:rPr>
        <w:t>Journal of Geography in Higher Education</w:t>
      </w:r>
      <w:r>
        <w:t xml:space="preserve">, </w:t>
      </w:r>
      <w:r>
        <w:rPr>
          <w:i/>
        </w:rPr>
        <w:t>38</w:t>
      </w:r>
      <w:r>
        <w:t>(1), 106–118. https://doi.org/10.1080/03098265.</w:t>
      </w:r>
      <w:r>
        <w:t xml:space="preserve">2013.836746 </w:t>
      </w:r>
    </w:p>
    <w:p w:rsidR="002564B6" w:rsidRDefault="0027769C">
      <w:pPr>
        <w:ind w:left="917" w:hanging="480"/>
      </w:pPr>
      <w:r>
        <w:t xml:space="preserve">Kieser, A., Nicolai, A., &amp; Seidl, D. (2015). The Practical Relevance of Management Research: Turning the Debate on Relevance into a Rigorous Scientific Research Program. </w:t>
      </w:r>
      <w:r>
        <w:rPr>
          <w:i/>
        </w:rPr>
        <w:t>Academy of Management Annals</w:t>
      </w:r>
      <w:r>
        <w:t xml:space="preserve">, </w:t>
      </w:r>
      <w:r>
        <w:rPr>
          <w:i/>
        </w:rPr>
        <w:t>9</w:t>
      </w:r>
      <w:r>
        <w:t>(1), 143–</w:t>
      </w:r>
      <w:r>
        <w:t xml:space="preserve">233. https://doi.org/10.1080/19416520.2015.1011853 </w:t>
      </w:r>
    </w:p>
    <w:p w:rsidR="002564B6" w:rsidRDefault="0027769C">
      <w:pPr>
        <w:ind w:left="917" w:hanging="480"/>
      </w:pPr>
      <w:r>
        <w:t xml:space="preserve">Kind, P., &amp; Osborne, J. (2017). Styles of Scientific Reasoning—a Cultural Rationale for Science Education? </w:t>
      </w:r>
      <w:r>
        <w:rPr>
          <w:i/>
        </w:rPr>
        <w:t>Science Education</w:t>
      </w:r>
      <w:r>
        <w:t xml:space="preserve">, </w:t>
      </w:r>
      <w:r>
        <w:rPr>
          <w:i/>
        </w:rPr>
        <w:t>101</w:t>
      </w:r>
      <w:r>
        <w:t xml:space="preserve">(1), 8–31. https://doi.org/10.1002/sce.21251 </w:t>
      </w:r>
    </w:p>
    <w:p w:rsidR="002564B6" w:rsidRDefault="0027769C">
      <w:pPr>
        <w:ind w:left="917" w:hanging="480"/>
      </w:pPr>
      <w:r>
        <w:t>Maunder, R. E., Gordon-Finlay</w:t>
      </w:r>
      <w:r>
        <w:t xml:space="preserve">son, A., Callaghan, J. E. M., &amp; Roberts, A. C. (2012). Behind supervisory doors: Taught Master’s dissertation students as qualitative apprentices. </w:t>
      </w:r>
    </w:p>
    <w:p w:rsidR="002564B6" w:rsidRDefault="0027769C">
      <w:pPr>
        <w:ind w:left="932" w:firstLine="0"/>
      </w:pPr>
      <w:r>
        <w:rPr>
          <w:i/>
        </w:rPr>
        <w:t xml:space="preserve">Psychology </w:t>
      </w:r>
      <w:r>
        <w:rPr>
          <w:i/>
        </w:rPr>
        <w:tab/>
        <w:t xml:space="preserve">Learning </w:t>
      </w:r>
      <w:r>
        <w:rPr>
          <w:i/>
        </w:rPr>
        <w:tab/>
        <w:t xml:space="preserve">and </w:t>
      </w:r>
      <w:r>
        <w:rPr>
          <w:i/>
        </w:rPr>
        <w:tab/>
        <w:t>Teaching</w:t>
      </w:r>
      <w:r>
        <w:t xml:space="preserve">, </w:t>
      </w:r>
      <w:r>
        <w:tab/>
      </w:r>
      <w:r>
        <w:rPr>
          <w:i/>
        </w:rPr>
        <w:t>11</w:t>
      </w:r>
      <w:r>
        <w:t xml:space="preserve">(1), </w:t>
      </w:r>
      <w:r>
        <w:tab/>
        <w:t xml:space="preserve">30–38. https://doi.org/10.2304/plat.2012.11.1.30 </w:t>
      </w:r>
    </w:p>
    <w:p w:rsidR="002564B6" w:rsidRDefault="0027769C">
      <w:pPr>
        <w:ind w:left="437" w:firstLine="0"/>
      </w:pPr>
      <w:r>
        <w:t>Schlee, R. P</w:t>
      </w:r>
      <w:r>
        <w:t xml:space="preserve">., &amp; Harich, K. R. (2010). Knowledge and skill requirements for marketing jobs in the </w:t>
      </w:r>
    </w:p>
    <w:p w:rsidR="002564B6" w:rsidRDefault="0027769C">
      <w:pPr>
        <w:ind w:left="932" w:firstLine="0"/>
      </w:pPr>
      <w:r>
        <w:t xml:space="preserve">21st </w:t>
      </w:r>
      <w:r>
        <w:tab/>
        <w:t xml:space="preserve">century. </w:t>
      </w:r>
      <w:r>
        <w:tab/>
      </w:r>
      <w:r>
        <w:rPr>
          <w:i/>
        </w:rPr>
        <w:t xml:space="preserve">Journal </w:t>
      </w:r>
      <w:r>
        <w:rPr>
          <w:i/>
        </w:rPr>
        <w:tab/>
        <w:t xml:space="preserve">of </w:t>
      </w:r>
      <w:r>
        <w:rPr>
          <w:i/>
        </w:rPr>
        <w:tab/>
        <w:t xml:space="preserve">Marketing </w:t>
      </w:r>
      <w:r>
        <w:rPr>
          <w:i/>
        </w:rPr>
        <w:tab/>
        <w:t>Education</w:t>
      </w:r>
      <w:r>
        <w:t xml:space="preserve">, </w:t>
      </w:r>
      <w:r>
        <w:tab/>
      </w:r>
      <w:r>
        <w:rPr>
          <w:i/>
        </w:rPr>
        <w:t>32</w:t>
      </w:r>
      <w:r>
        <w:t xml:space="preserve">(3), </w:t>
      </w:r>
      <w:r>
        <w:tab/>
        <w:t xml:space="preserve">341–352. https://doi.org/10.1177/0273475310380881 </w:t>
      </w:r>
    </w:p>
    <w:p w:rsidR="002564B6" w:rsidRDefault="0027769C">
      <w:pPr>
        <w:ind w:left="917" w:hanging="480"/>
      </w:pPr>
      <w:r>
        <w:t>Shaw, C., &amp; le Roux, K. (2017). From Practitioner to Resea</w:t>
      </w:r>
      <w:r>
        <w:t xml:space="preserve">rcher: Designing the Dissertation Process for Part Time Coursework Masters Students. </w:t>
      </w:r>
      <w:r>
        <w:rPr>
          <w:i/>
        </w:rPr>
        <w:t>Systemic Practice and Action Research</w:t>
      </w:r>
      <w:r>
        <w:t xml:space="preserve">, </w:t>
      </w:r>
      <w:r>
        <w:rPr>
          <w:i/>
        </w:rPr>
        <w:t>30</w:t>
      </w:r>
      <w:r>
        <w:t xml:space="preserve">(4), 433–446. https://doi.org/10.1007/s11213-016-9402-7 </w:t>
      </w:r>
    </w:p>
    <w:p w:rsidR="002564B6" w:rsidRDefault="0027769C">
      <w:pPr>
        <w:ind w:left="917" w:hanging="480"/>
      </w:pPr>
      <w:r>
        <w:t>Turner, G. W., &amp; Crane, B. (2015). Teaching and learning qualitative meth</w:t>
      </w:r>
      <w:r>
        <w:t xml:space="preserve">ods through the dissertation advising relationship: Perspectives from a professor and a graduate. </w:t>
      </w:r>
      <w:r>
        <w:rPr>
          <w:i/>
        </w:rPr>
        <w:t>Qualitative Social Work</w:t>
      </w:r>
      <w:r>
        <w:t xml:space="preserve">, </w:t>
      </w:r>
      <w:r>
        <w:rPr>
          <w:i/>
        </w:rPr>
        <w:t>15</w:t>
      </w:r>
      <w:r>
        <w:t xml:space="preserve">(3), 346–362. https://doi.org/10.1177/1473325015626260 </w:t>
      </w:r>
    </w:p>
    <w:p w:rsidR="002564B6" w:rsidRDefault="0027769C">
      <w:pPr>
        <w:ind w:left="917" w:hanging="480"/>
      </w:pPr>
      <w:r>
        <w:t>Vaughan, M., &amp; Burnaford, G. (2016). Educational Action Research Action res</w:t>
      </w:r>
      <w:r>
        <w:t xml:space="preserve">earch in graduate teacher education: a review of the literature 2000-2015. </w:t>
      </w:r>
      <w:r>
        <w:rPr>
          <w:i/>
        </w:rPr>
        <w:t>Educational Action Research</w:t>
      </w:r>
      <w:r>
        <w:t xml:space="preserve">, </w:t>
      </w:r>
      <w:r>
        <w:rPr>
          <w:i/>
        </w:rPr>
        <w:t>24</w:t>
      </w:r>
      <w:r>
        <w:t xml:space="preserve">(2), 280–299. https://doi.org/10.1080/09650792.2015.1062408 </w:t>
      </w:r>
    </w:p>
    <w:p w:rsidR="002564B6" w:rsidRDefault="0027769C">
      <w:pPr>
        <w:spacing w:after="0" w:line="259" w:lineRule="auto"/>
        <w:ind w:firstLine="0"/>
        <w:jc w:val="left"/>
      </w:pPr>
      <w:r>
        <w:t xml:space="preserve"> </w:t>
      </w:r>
    </w:p>
    <w:p w:rsidR="002564B6" w:rsidRDefault="0027769C">
      <w:pPr>
        <w:spacing w:after="4560" w:line="259" w:lineRule="auto"/>
        <w:ind w:firstLine="0"/>
        <w:jc w:val="left"/>
      </w:pPr>
      <w:r>
        <w:t xml:space="preserve"> </w:t>
      </w:r>
    </w:p>
    <w:p w:rsidR="002564B6" w:rsidRDefault="0027769C">
      <w:pPr>
        <w:spacing w:after="339" w:line="259" w:lineRule="auto"/>
        <w:ind w:firstLine="0"/>
        <w:jc w:val="left"/>
      </w:pPr>
      <w:r>
        <w:lastRenderedPageBreak/>
        <w:t xml:space="preserve"> </w:t>
      </w:r>
    </w:p>
    <w:p w:rsidR="002564B6" w:rsidRDefault="0027769C">
      <w:pPr>
        <w:spacing w:after="0" w:line="259" w:lineRule="auto"/>
        <w:ind w:left="0" w:firstLine="0"/>
        <w:jc w:val="left"/>
      </w:pPr>
      <w:r>
        <w:rPr>
          <w:rFonts w:ascii="Arial" w:eastAsia="Arial" w:hAnsi="Arial" w:cs="Arial"/>
          <w:color w:val="B4B4B4"/>
          <w:sz w:val="8"/>
        </w:rPr>
        <w:t>View publication stats</w:t>
      </w:r>
    </w:p>
    <w:sectPr w:rsidR="002564B6">
      <w:footerReference w:type="even" r:id="rId7"/>
      <w:footerReference w:type="default" r:id="rId8"/>
      <w:footerReference w:type="first" r:id="rId9"/>
      <w:pgSz w:w="11906" w:h="16838"/>
      <w:pgMar w:top="1017" w:right="1379" w:bottom="83" w:left="1000" w:header="720" w:footer="691"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769C" w:rsidRDefault="0027769C">
      <w:pPr>
        <w:spacing w:after="0" w:line="240" w:lineRule="auto"/>
      </w:pPr>
      <w:r>
        <w:separator/>
      </w:r>
    </w:p>
  </w:endnote>
  <w:endnote w:type="continuationSeparator" w:id="0">
    <w:p w:rsidR="0027769C" w:rsidRDefault="002776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64B6" w:rsidRDefault="0027769C">
    <w:pPr>
      <w:spacing w:after="0" w:line="259" w:lineRule="auto"/>
      <w:ind w:left="0" w:right="1" w:firstLine="0"/>
      <w:jc w:val="right"/>
    </w:pPr>
    <w:r>
      <w:fldChar w:fldCharType="begin"/>
    </w:r>
    <w:r>
      <w:instrText xml:space="preserve"> PAGE   \* MERGEFORMAT </w:instrText>
    </w:r>
    <w:r>
      <w:fldChar w:fldCharType="separate"/>
    </w:r>
    <w:r>
      <w:t>1</w:t>
    </w:r>
    <w:r>
      <w:fldChar w:fldCharType="end"/>
    </w: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64B6" w:rsidRDefault="0027769C">
    <w:pPr>
      <w:spacing w:after="0" w:line="259" w:lineRule="auto"/>
      <w:ind w:left="0" w:right="1" w:firstLine="0"/>
      <w:jc w:val="right"/>
    </w:pPr>
    <w:r>
      <w:fldChar w:fldCharType="begin"/>
    </w:r>
    <w:r>
      <w:instrText xml:space="preserve"> PAGE   \* MERGEFORMAT </w:instrText>
    </w:r>
    <w:r>
      <w:fldChar w:fldCharType="separate"/>
    </w:r>
    <w:r w:rsidR="00B82DDF">
      <w:rPr>
        <w:noProof/>
      </w:rPr>
      <w:t>1</w:t>
    </w:r>
    <w:r>
      <w:fldChar w:fldCharType="end"/>
    </w: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64B6" w:rsidRDefault="0027769C">
    <w:pPr>
      <w:spacing w:after="0" w:line="259" w:lineRule="auto"/>
      <w:ind w:left="0" w:right="1" w:firstLine="0"/>
      <w:jc w:val="right"/>
    </w:pPr>
    <w:r>
      <w:fldChar w:fldCharType="begin"/>
    </w:r>
    <w:r>
      <w:instrText xml:space="preserve"> PAGE   \* MERGEFORMAT </w:instrText>
    </w:r>
    <w:r>
      <w:fldChar w:fldCharType="separate"/>
    </w:r>
    <w:r>
      <w:t>1</w:t>
    </w:r>
    <w:r>
      <w:fldChar w:fldCharType="end"/>
    </w: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769C" w:rsidRDefault="0027769C">
      <w:pPr>
        <w:spacing w:after="0" w:line="240" w:lineRule="auto"/>
      </w:pPr>
      <w:r>
        <w:separator/>
      </w:r>
    </w:p>
  </w:footnote>
  <w:footnote w:type="continuationSeparator" w:id="0">
    <w:p w:rsidR="0027769C" w:rsidRDefault="0027769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1E0313"/>
    <w:multiLevelType w:val="hybridMultilevel"/>
    <w:tmpl w:val="442472B8"/>
    <w:lvl w:ilvl="0" w:tplc="6C5470E2">
      <w:numFmt w:val="decimal"/>
      <w:lvlText w:val="%1"/>
      <w:lvlJc w:val="left"/>
      <w:pPr>
        <w:ind w:left="5155"/>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F0D26C5C">
      <w:start w:val="1"/>
      <w:numFmt w:val="lowerLetter"/>
      <w:lvlText w:val="%2"/>
      <w:lvlJc w:val="left"/>
      <w:pPr>
        <w:ind w:left="10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75D2607E">
      <w:start w:val="1"/>
      <w:numFmt w:val="lowerRoman"/>
      <w:lvlText w:val="%3"/>
      <w:lvlJc w:val="left"/>
      <w:pPr>
        <w:ind w:left="180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4EA8D834">
      <w:start w:val="1"/>
      <w:numFmt w:val="decimal"/>
      <w:lvlText w:val="%4"/>
      <w:lvlJc w:val="left"/>
      <w:pPr>
        <w:ind w:left="25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DD5237F0">
      <w:start w:val="1"/>
      <w:numFmt w:val="lowerLetter"/>
      <w:lvlText w:val="%5"/>
      <w:lvlJc w:val="left"/>
      <w:pPr>
        <w:ind w:left="324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45B0D93C">
      <w:start w:val="1"/>
      <w:numFmt w:val="lowerRoman"/>
      <w:lvlText w:val="%6"/>
      <w:lvlJc w:val="left"/>
      <w:pPr>
        <w:ind w:left="39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5A780114">
      <w:start w:val="1"/>
      <w:numFmt w:val="decimal"/>
      <w:lvlText w:val="%7"/>
      <w:lvlJc w:val="left"/>
      <w:pPr>
        <w:ind w:left="46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98E4D248">
      <w:start w:val="1"/>
      <w:numFmt w:val="lowerLetter"/>
      <w:lvlText w:val="%8"/>
      <w:lvlJc w:val="left"/>
      <w:pPr>
        <w:ind w:left="540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BCAEE602">
      <w:start w:val="1"/>
      <w:numFmt w:val="lowerRoman"/>
      <w:lvlText w:val="%9"/>
      <w:lvlJc w:val="left"/>
      <w:pPr>
        <w:ind w:left="61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4B6"/>
    <w:rsid w:val="002564B6"/>
    <w:rsid w:val="0027769C"/>
    <w:rsid w:val="00B82D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3291A92-B61A-4324-BC6C-BBA2CB755B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50" w:lineRule="auto"/>
      <w:ind w:left="452" w:firstLine="710"/>
      <w:jc w:val="both"/>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0"/>
      <w:ind w:left="452"/>
      <w:outlineLvl w:val="0"/>
    </w:pPr>
    <w:rPr>
      <w:rFonts w:ascii="Calibri" w:eastAsia="Calibri" w:hAnsi="Calibri" w:cs="Calibri"/>
      <w:color w:val="000000"/>
      <w:sz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1351</Words>
  <Characters>7706</Characters>
  <Application>Microsoft Office Word</Application>
  <DocSecurity>0</DocSecurity>
  <Lines>64</Lines>
  <Paragraphs>18</Paragraphs>
  <ScaleCrop>false</ScaleCrop>
  <Company/>
  <LinksUpToDate>false</LinksUpToDate>
  <CharactersWithSpaces>9039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Scientific research mkt dissertations_grad school practices</dc:title>
  <dc:subject/>
  <dc:creator>Lizardo Vargas Bianchi</dc:creator>
  <cp:keywords/>
  <cp:lastModifiedBy>laptopcare</cp:lastModifiedBy>
  <cp:revision>2</cp:revision>
  <dcterms:created xsi:type="dcterms:W3CDTF">2022-01-05T05:22:00Z</dcterms:created>
  <dcterms:modified xsi:type="dcterms:W3CDTF">2022-01-05T05:22:00Z</dcterms:modified>
</cp:coreProperties>
</file>