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4100" w:rsidRPr="00E74100" w:rsidRDefault="00E74100" w:rsidP="00E74100">
      <w:pPr>
        <w:shd w:val="clear" w:color="auto" w:fill="FFFFFF"/>
        <w:spacing w:after="0" w:line="240" w:lineRule="auto"/>
        <w:outlineLvl w:val="1"/>
        <w:rPr>
          <w:rFonts w:ascii="Arial" w:eastAsia="Times New Roman" w:hAnsi="Arial" w:cs="Times New Roman"/>
          <w:color w:val="37404D"/>
          <w:sz w:val="38"/>
          <w:szCs w:val="38"/>
        </w:rPr>
      </w:pPr>
      <w:bookmarkStart w:id="0" w:name="_GoBack"/>
      <w:r w:rsidRPr="00E74100">
        <w:rPr>
          <w:rFonts w:ascii="Arial" w:eastAsia="Times New Roman" w:hAnsi="Arial" w:cs="Times New Roman"/>
          <w:color w:val="37404D"/>
          <w:sz w:val="38"/>
          <w:szCs w:val="38"/>
        </w:rPr>
        <w:t xml:space="preserve">Reflective Learning Journal Assignment </w:t>
      </w:r>
      <w:proofErr w:type="gramStart"/>
      <w:r w:rsidRPr="00E74100">
        <w:rPr>
          <w:rFonts w:ascii="Arial" w:eastAsia="Times New Roman" w:hAnsi="Arial" w:cs="Times New Roman"/>
          <w:color w:val="37404D"/>
          <w:sz w:val="38"/>
          <w:szCs w:val="38"/>
        </w:rPr>
        <w:t>For</w:t>
      </w:r>
      <w:proofErr w:type="gramEnd"/>
      <w:r w:rsidRPr="00E74100">
        <w:rPr>
          <w:rFonts w:ascii="Arial" w:eastAsia="Times New Roman" w:hAnsi="Arial" w:cs="Times New Roman"/>
          <w:color w:val="37404D"/>
          <w:sz w:val="38"/>
          <w:szCs w:val="38"/>
        </w:rPr>
        <w:t xml:space="preserve"> Conceptual Framework Application In Accounting</w:t>
      </w:r>
    </w:p>
    <w:bookmarkEnd w:id="0"/>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7"/>
          <w:szCs w:val="27"/>
        </w:rPr>
      </w:pPr>
      <w:r w:rsidRPr="00E74100">
        <w:rPr>
          <w:rFonts w:ascii="Georgia" w:eastAsia="Times New Roman" w:hAnsi="Georgia" w:cs="Times New Roman"/>
          <w:b/>
          <w:bCs/>
          <w:color w:val="535353"/>
          <w:sz w:val="27"/>
          <w:szCs w:val="27"/>
        </w:rPr>
        <w:t>Question</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b/>
          <w:bCs/>
          <w:color w:val="535353"/>
          <w:sz w:val="23"/>
          <w:szCs w:val="23"/>
        </w:rPr>
        <w:t>Reflective Learning Journal</w:t>
      </w:r>
      <w:r w:rsidRPr="00E74100">
        <w:rPr>
          <w:rFonts w:ascii="Georgia" w:eastAsia="Times New Roman" w:hAnsi="Georgia" w:cs="Times New Roman"/>
          <w:color w:val="535353"/>
          <w:sz w:val="23"/>
          <w:szCs w:val="23"/>
        </w:rPr>
        <w:br/>
        <w:t xml:space="preserve">The purpose of this reflective learning journal is to record and </w:t>
      </w:r>
      <w:proofErr w:type="spellStart"/>
      <w:r w:rsidRPr="00E74100">
        <w:rPr>
          <w:rFonts w:ascii="Georgia" w:eastAsia="Times New Roman" w:hAnsi="Georgia" w:cs="Times New Roman"/>
          <w:color w:val="535353"/>
          <w:sz w:val="23"/>
          <w:szCs w:val="23"/>
        </w:rPr>
        <w:t>analyse</w:t>
      </w:r>
      <w:proofErr w:type="spellEnd"/>
      <w:r w:rsidRPr="00E74100">
        <w:rPr>
          <w:rFonts w:ascii="Georgia" w:eastAsia="Times New Roman" w:hAnsi="Georgia" w:cs="Times New Roman"/>
          <w:color w:val="535353"/>
          <w:sz w:val="23"/>
          <w:szCs w:val="23"/>
        </w:rPr>
        <w:t xml:space="preserve"> your experiences of learning business accounting as both a process and a product. In your journal you will need to document your thoughts and provide information about what you are learning, how you are learning and your reflections on what you have learned about business accounting concepts and principles. You also need to demonstrate your understanding of the Australian Conceptual Framework for accounting standard setting and the implementation of accounting standard in business practices.</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b/>
          <w:bCs/>
          <w:color w:val="535353"/>
          <w:sz w:val="23"/>
          <w:szCs w:val="23"/>
        </w:rPr>
        <w:t>Assessment criteria:</w:t>
      </w:r>
      <w:r w:rsidRPr="00E74100">
        <w:rPr>
          <w:rFonts w:ascii="Georgia" w:eastAsia="Times New Roman" w:hAnsi="Georgia" w:cs="Times New Roman"/>
          <w:color w:val="535353"/>
          <w:sz w:val="23"/>
          <w:szCs w:val="23"/>
        </w:rPr>
        <w:t> The reflective learning journal will be assessed based on the following criteria:</w:t>
      </w:r>
    </w:p>
    <w:p w:rsidR="00E74100" w:rsidRPr="00E74100" w:rsidRDefault="00E74100" w:rsidP="00E74100">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You need to demonstrate critical engagement with the subject matter including (but not limited to):</w:t>
      </w:r>
    </w:p>
    <w:p w:rsidR="00E74100" w:rsidRPr="00E74100" w:rsidRDefault="00E74100" w:rsidP="00E74100">
      <w:pPr>
        <w:numPr>
          <w:ilvl w:val="1"/>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 xml:space="preserve">Progressively build up a list of definitions, equations, formulas etc. that need to be </w:t>
      </w:r>
      <w:proofErr w:type="spellStart"/>
      <w:r w:rsidRPr="00E74100">
        <w:rPr>
          <w:rFonts w:ascii="Georgia" w:eastAsia="Times New Roman" w:hAnsi="Georgia" w:cs="Times New Roman"/>
          <w:color w:val="535353"/>
          <w:sz w:val="23"/>
          <w:szCs w:val="23"/>
        </w:rPr>
        <w:t>memorised</w:t>
      </w:r>
      <w:proofErr w:type="spellEnd"/>
      <w:r w:rsidRPr="00E74100">
        <w:rPr>
          <w:rFonts w:ascii="Georgia" w:eastAsia="Times New Roman" w:hAnsi="Georgia" w:cs="Times New Roman"/>
          <w:color w:val="535353"/>
          <w:sz w:val="23"/>
          <w:szCs w:val="23"/>
        </w:rPr>
        <w:t xml:space="preserve"> and be aware of which will be helpful when recording day-to-day business operations. You can provide explanations of accounting concepts in your own words.</w:t>
      </w:r>
    </w:p>
    <w:p w:rsidR="00E74100" w:rsidRPr="00E74100" w:rsidRDefault="00E74100" w:rsidP="00E74100">
      <w:pPr>
        <w:numPr>
          <w:ilvl w:val="1"/>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You can prepare a summary of the knowledge and skills you are developing from topic to topic. Your summary should demonstrate a degree of synthesis and integration rather than being just a list of points.</w:t>
      </w:r>
    </w:p>
    <w:p w:rsidR="00E74100" w:rsidRPr="00E74100" w:rsidRDefault="00E74100" w:rsidP="00E74100">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You should demonstrate active engagement in learning experiences and activities undertaken, demonstrating the application of accounting principles to practice and/or reinforcement of technical skills.</w:t>
      </w:r>
    </w:p>
    <w:p w:rsidR="00E74100" w:rsidRPr="00E74100" w:rsidRDefault="00E74100" w:rsidP="00E74100">
      <w:pPr>
        <w:numPr>
          <w:ilvl w:val="1"/>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Evidence of self-evaluation through progressive assessment tasks (such as practice quiz, weekly exercises or other exercises) completed, how you could have improved your results in quizzes, and in the weekly exercises, and how you plan to make best use of feedback provided for future practices.</w:t>
      </w:r>
    </w:p>
    <w:p w:rsidR="00E74100" w:rsidRPr="00E74100" w:rsidRDefault="00E74100" w:rsidP="00E74100">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You can make meaningful reflections on the progressive learning experiences, showing how the results of your reflection on learning in earlier topics improved your learning in later topics. Self-evaluations can be a critical part of your learning journey. It is designed to give you the opportunity to reflect and comment on the way you approach assessments, such as quizzes and other tasks.</w:t>
      </w:r>
    </w:p>
    <w:p w:rsidR="00E74100" w:rsidRPr="00E74100" w:rsidRDefault="00E74100" w:rsidP="00E74100">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You thoughts and comments should be integrated and should be expressed clearly and concisely.</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b/>
          <w:bCs/>
          <w:color w:val="535353"/>
          <w:sz w:val="23"/>
          <w:szCs w:val="23"/>
        </w:rPr>
        <w:t>Content:</w:t>
      </w:r>
      <w:r w:rsidRPr="00E74100">
        <w:rPr>
          <w:rFonts w:ascii="Georgia" w:eastAsia="Times New Roman" w:hAnsi="Georgia" w:cs="Times New Roman"/>
          <w:color w:val="535353"/>
          <w:sz w:val="23"/>
          <w:szCs w:val="23"/>
        </w:rPr>
        <w:t> You should focus on one week’s learning materials introduced in weeks 2-6. Please note: don’t try to cover every topic. You can choose to reflect on one particular topic that you are interested, such as cash management.</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The topics covering in the reflective learning journal may include, but should not be limited to</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proofErr w:type="gramStart"/>
      <w:r w:rsidRPr="00E74100">
        <w:rPr>
          <w:rFonts w:ascii="Georgia" w:eastAsia="Times New Roman" w:hAnsi="Georgia" w:cs="Times New Roman"/>
          <w:color w:val="535353"/>
          <w:sz w:val="23"/>
          <w:szCs w:val="23"/>
        </w:rPr>
        <w:lastRenderedPageBreak/>
        <w:t>double</w:t>
      </w:r>
      <w:proofErr w:type="gramEnd"/>
      <w:r w:rsidRPr="00E74100">
        <w:rPr>
          <w:rFonts w:ascii="Georgia" w:eastAsia="Times New Roman" w:hAnsi="Georgia" w:cs="Times New Roman"/>
          <w:color w:val="535353"/>
          <w:sz w:val="23"/>
          <w:szCs w:val="23"/>
        </w:rPr>
        <w:t xml:space="preserve"> entry accounting, accounting equation, accounting cycle, adjusted trial balance, the use of special journals or subsidiary ledgers, sales and purchases transactions, perpetual and periodic inventory system, inventory costing methods, inventory valuation, internal control, cash management and budgeting, receivables and doubtful debts management.</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7"/>
          <w:szCs w:val="27"/>
        </w:rPr>
      </w:pPr>
      <w:r w:rsidRPr="00E74100">
        <w:rPr>
          <w:rFonts w:ascii="Georgia" w:eastAsia="Times New Roman" w:hAnsi="Georgia" w:cs="Times New Roman"/>
          <w:b/>
          <w:bCs/>
          <w:color w:val="535353"/>
          <w:sz w:val="27"/>
          <w:szCs w:val="27"/>
        </w:rPr>
        <w:t>Answer</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b/>
          <w:bCs/>
          <w:color w:val="535353"/>
          <w:sz w:val="23"/>
          <w:szCs w:val="23"/>
        </w:rPr>
        <w:t>Introduction:</w:t>
      </w:r>
      <w:r w:rsidRPr="00E74100">
        <w:rPr>
          <w:rFonts w:ascii="Georgia" w:eastAsia="Times New Roman" w:hAnsi="Georgia" w:cs="Times New Roman"/>
          <w:color w:val="535353"/>
          <w:sz w:val="23"/>
          <w:szCs w:val="23"/>
        </w:rPr>
        <w:t> The character and the functioning of the firm's function of accounting are defined by the board or the company’s conceptual framework. A conceptual framework is necessary for the ascertainment of the hypothetical and conceptual issues which are adjacent to the firm’s financial reporting system and hence will need a proper and logical foundation which will be helping the firm to strengthen the maturity of the accounting standards.</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Conceptual framework prevails in many of the cases but it is specifically designed for financial reporting. It can be called as the statement that is used by the firm to keep data record and assess the philosophy of the firm’s past and maturity of the new ones. Thus the main and foremost function of the accounting is to supply useful information and the basis of the economic decision making.</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b/>
          <w:bCs/>
          <w:color w:val="535353"/>
          <w:sz w:val="23"/>
          <w:szCs w:val="23"/>
        </w:rPr>
        <w:t>Conceptual framework’s application</w:t>
      </w:r>
      <w:r w:rsidRPr="00E74100">
        <w:rPr>
          <w:rFonts w:ascii="Georgia" w:eastAsia="Times New Roman" w:hAnsi="Georgia" w:cs="Times New Roman"/>
          <w:color w:val="535353"/>
          <w:sz w:val="23"/>
          <w:szCs w:val="23"/>
        </w:rPr>
        <w:br/>
      </w:r>
      <w:proofErr w:type="gramStart"/>
      <w:r w:rsidRPr="00E74100">
        <w:rPr>
          <w:rFonts w:ascii="Georgia" w:eastAsia="Times New Roman" w:hAnsi="Georgia" w:cs="Times New Roman"/>
          <w:color w:val="535353"/>
          <w:sz w:val="23"/>
          <w:szCs w:val="23"/>
        </w:rPr>
        <w:t>It</w:t>
      </w:r>
      <w:proofErr w:type="gramEnd"/>
      <w:r w:rsidRPr="00E74100">
        <w:rPr>
          <w:rFonts w:ascii="Georgia" w:eastAsia="Times New Roman" w:hAnsi="Georgia" w:cs="Times New Roman"/>
          <w:color w:val="535353"/>
          <w:sz w:val="23"/>
          <w:szCs w:val="23"/>
        </w:rPr>
        <w:t xml:space="preserve"> helps to create benchmarks of concepts and objectives. A firm which is using the conceptual framework should always take into the consideration IASB or FASB standards in order to increase the functionality. The framework should also help to </w:t>
      </w:r>
      <w:proofErr w:type="spellStart"/>
      <w:r w:rsidRPr="00E74100">
        <w:rPr>
          <w:rFonts w:ascii="Georgia" w:eastAsia="Times New Roman" w:hAnsi="Georgia" w:cs="Times New Roman"/>
          <w:color w:val="535353"/>
          <w:sz w:val="23"/>
          <w:szCs w:val="23"/>
        </w:rPr>
        <w:t>mould</w:t>
      </w:r>
      <w:proofErr w:type="spellEnd"/>
      <w:r w:rsidRPr="00E74100">
        <w:rPr>
          <w:rFonts w:ascii="Georgia" w:eastAsia="Times New Roman" w:hAnsi="Georgia" w:cs="Times New Roman"/>
          <w:color w:val="535353"/>
          <w:sz w:val="23"/>
          <w:szCs w:val="23"/>
        </w:rPr>
        <w:t xml:space="preserve"> the minds of the statement users and make changes in the financial reporting. It should also help the company to compare data from the others. It also helps to solve the problems quickly by the use of the existing basic theories (Singleton-Green, 2016).</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 xml:space="preserve">It was questioned by the accountants about the mobility of the conceptual framework in the production of financial statements. This was answered by the past history that how the use of conceptual framework has been used by the firm to grow. The accounting standards and the conceptual framework do not work together. They make </w:t>
      </w:r>
      <w:proofErr w:type="spellStart"/>
      <w:r w:rsidRPr="00E74100">
        <w:rPr>
          <w:rFonts w:ascii="Georgia" w:eastAsia="Times New Roman" w:hAnsi="Georgia" w:cs="Times New Roman"/>
          <w:color w:val="535353"/>
          <w:sz w:val="23"/>
          <w:szCs w:val="23"/>
        </w:rPr>
        <w:t>affects</w:t>
      </w:r>
      <w:proofErr w:type="spellEnd"/>
      <w:r w:rsidRPr="00E74100">
        <w:rPr>
          <w:rFonts w:ascii="Georgia" w:eastAsia="Times New Roman" w:hAnsi="Georgia" w:cs="Times New Roman"/>
          <w:color w:val="535353"/>
          <w:sz w:val="23"/>
          <w:szCs w:val="23"/>
        </w:rPr>
        <w:t xml:space="preserve"> on the income and financial statements of the firm which leads to a contradiction of the transaction details (</w:t>
      </w:r>
      <w:proofErr w:type="spellStart"/>
      <w:r w:rsidRPr="00E74100">
        <w:rPr>
          <w:rFonts w:ascii="Georgia" w:eastAsia="Times New Roman" w:hAnsi="Georgia" w:cs="Times New Roman"/>
          <w:color w:val="535353"/>
          <w:sz w:val="23"/>
          <w:szCs w:val="23"/>
        </w:rPr>
        <w:t>Baluch</w:t>
      </w:r>
      <w:proofErr w:type="spellEnd"/>
      <w:r w:rsidRPr="00E74100">
        <w:rPr>
          <w:rFonts w:ascii="Georgia" w:eastAsia="Times New Roman" w:hAnsi="Georgia" w:cs="Times New Roman"/>
          <w:color w:val="535353"/>
          <w:sz w:val="23"/>
          <w:szCs w:val="23"/>
        </w:rPr>
        <w:t xml:space="preserve"> et. al, 2011). The standards were made as a reaction to the disgrace or failure or by observing the environment. Their main focus was to improve the approach by introducing new policies.</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It could have also been argued that the conceptual framework is having fewer rules and regulations. The management should be led with utmost care and the use of the conceptual framework is thus made necessary. This system will be more rigid and the magnetism of the financial statements will be much more similar compared to the others (IFRS Foundation, 2010).</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b/>
          <w:bCs/>
          <w:color w:val="535353"/>
          <w:sz w:val="23"/>
          <w:szCs w:val="23"/>
        </w:rPr>
        <w:t>Objective oriented</w:t>
      </w:r>
      <w:r w:rsidRPr="00E74100">
        <w:rPr>
          <w:rFonts w:ascii="Georgia" w:eastAsia="Times New Roman" w:hAnsi="Georgia" w:cs="Times New Roman"/>
          <w:color w:val="535353"/>
          <w:sz w:val="23"/>
          <w:szCs w:val="23"/>
        </w:rPr>
        <w:br/>
      </w:r>
      <w:proofErr w:type="gramStart"/>
      <w:r w:rsidRPr="00E74100">
        <w:rPr>
          <w:rFonts w:ascii="Georgia" w:eastAsia="Times New Roman" w:hAnsi="Georgia" w:cs="Times New Roman"/>
          <w:color w:val="535353"/>
          <w:sz w:val="23"/>
          <w:szCs w:val="23"/>
        </w:rPr>
        <w:t>The</w:t>
      </w:r>
      <w:proofErr w:type="gramEnd"/>
      <w:r w:rsidRPr="00E74100">
        <w:rPr>
          <w:rFonts w:ascii="Georgia" w:eastAsia="Times New Roman" w:hAnsi="Georgia" w:cs="Times New Roman"/>
          <w:color w:val="535353"/>
          <w:sz w:val="23"/>
          <w:szCs w:val="23"/>
        </w:rPr>
        <w:t xml:space="preserve"> main objective that is needed by the IASB can only be accomplished by the application of the conceptual frameworks thoroughly. These systems have been very useful to the people who are using the financial statements or the new start-ups which are trying to grow in the market. A better and more creative image of the accounting standards has been presented </w:t>
      </w:r>
      <w:r w:rsidRPr="00E74100">
        <w:rPr>
          <w:rFonts w:ascii="Georgia" w:eastAsia="Times New Roman" w:hAnsi="Georgia" w:cs="Times New Roman"/>
          <w:color w:val="535353"/>
          <w:sz w:val="23"/>
          <w:szCs w:val="23"/>
        </w:rPr>
        <w:lastRenderedPageBreak/>
        <w:t>by the use of the conceptual framework. After analyzing the current position of the firm’s financial statements it has been seen that the individual should be provided with the necessary reports that can be utilized by them to ascertain the index of the conceptual framework of the firm (IFRS Foundation, 2013). All the data relating to the liabilities, assets, capital maintenance and expenses should be taken into account while assessing the conceptual framework.</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b/>
          <w:bCs/>
          <w:color w:val="535353"/>
          <w:sz w:val="23"/>
          <w:szCs w:val="23"/>
        </w:rPr>
        <w:t>Challenges of the conceptual framework</w:t>
      </w:r>
      <w:r w:rsidRPr="00E74100">
        <w:rPr>
          <w:rFonts w:ascii="Georgia" w:eastAsia="Times New Roman" w:hAnsi="Georgia" w:cs="Times New Roman"/>
          <w:color w:val="535353"/>
          <w:sz w:val="23"/>
          <w:szCs w:val="23"/>
        </w:rPr>
        <w:br/>
        <w:t>Conceptual framework proves to be a boon with many advantages but to have a limitation as well. It is well known that the pillars of the conceptual framework are fully based on mind thoughts and this may not seem very practical and successful to other people. For example, the statements of a company can be manipulated in such a way which seems theoretically correct in nature but is practically fraudulent. A conceptual framework has a complicated construction which may appear difficult to many and this can have an impact on the decisions made from person to person while analyzing the reports (Gibson, 2010). The foundations of the conceptual can be seen to depend indirectly on the monetary provisos. Concentration has to be equally divided between both financial and non-financial data by the accounting regulations but it is impossible for the economic apprehensions to impact the decisions of the people while standing alone. As a summary of all the earlier mentioned statements and facts, it is obvious now that one conceptual framework plan is not capable of taking over the market and different people have distinguished thinking and so they require different forms of a conceptual framework to be brought into action. Though Enron, Arthur Andersen were on-time in presenting their company’s financial statements then also they suffered a downfall. By this, it is clear that these companies used their financial statements in a fraudulent way and manipulated them for maintaining the reputation of the company and so it can be concluded from this that conceptual framework has certain limitations (</w:t>
      </w:r>
      <w:proofErr w:type="spellStart"/>
      <w:r w:rsidRPr="00E74100">
        <w:rPr>
          <w:rFonts w:ascii="Georgia" w:eastAsia="Times New Roman" w:hAnsi="Georgia" w:cs="Times New Roman"/>
          <w:color w:val="535353"/>
          <w:sz w:val="23"/>
          <w:szCs w:val="23"/>
        </w:rPr>
        <w:t>Seilber</w:t>
      </w:r>
      <w:proofErr w:type="spellEnd"/>
      <w:r w:rsidRPr="00E74100">
        <w:rPr>
          <w:rFonts w:ascii="Georgia" w:eastAsia="Times New Roman" w:hAnsi="Georgia" w:cs="Times New Roman"/>
          <w:color w:val="535353"/>
          <w:sz w:val="23"/>
          <w:szCs w:val="23"/>
        </w:rPr>
        <w:t>, 2015). After these incidents, the IASB and FASB have planned to make the conceptual framework and the accounting standards stricter and sent all the rules for change and renovation with the gathered data which includes discrepancies also (Cooper et. al, 2011). These changes have caused the conceptual framework to maintain a higher level which summons the trade-off betwixt reliability, comparability, etc. A perfect sync between the accounting principles will be a boon to the world economy in many ways which are as follows:</w:t>
      </w:r>
    </w:p>
    <w:p w:rsidR="00E74100" w:rsidRPr="00E74100" w:rsidRDefault="00E74100" w:rsidP="00E74100">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Promoting international transaction and to reduce exchange charges which can be done by delivering honest data.</w:t>
      </w:r>
    </w:p>
    <w:p w:rsidR="00E74100" w:rsidRPr="00E74100" w:rsidRDefault="00E74100" w:rsidP="00E74100">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To set a level of the data and principles so it can be followed all over the world and is created by multinational policy-makers (</w:t>
      </w:r>
      <w:proofErr w:type="spellStart"/>
      <w:r w:rsidRPr="00E74100">
        <w:rPr>
          <w:rFonts w:ascii="Georgia" w:eastAsia="Times New Roman" w:hAnsi="Georgia" w:cs="Times New Roman"/>
          <w:color w:val="535353"/>
          <w:sz w:val="23"/>
          <w:szCs w:val="23"/>
        </w:rPr>
        <w:t>Tysiac</w:t>
      </w:r>
      <w:proofErr w:type="spellEnd"/>
      <w:r w:rsidRPr="00E74100">
        <w:rPr>
          <w:rFonts w:ascii="Georgia" w:eastAsia="Times New Roman" w:hAnsi="Georgia" w:cs="Times New Roman"/>
          <w:color w:val="535353"/>
          <w:sz w:val="23"/>
          <w:szCs w:val="23"/>
        </w:rPr>
        <w:t>, 2015).</w:t>
      </w:r>
    </w:p>
    <w:p w:rsidR="00E74100" w:rsidRPr="00E74100" w:rsidRDefault="00E74100" w:rsidP="00E74100">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By setting an advance system for government accountability.</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If the above rules are implemented then it would be seen that international monetary results and money-related management decisions can be made with minimized threats. By setting the above standards it would be seen that the whole world has an equal platform for the accounting policies (Deegan, 2014). All the regulators and auditors will be delivered exactly similar data which would increase their work efficiency.</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b/>
          <w:bCs/>
          <w:color w:val="535353"/>
          <w:sz w:val="23"/>
          <w:szCs w:val="23"/>
        </w:rPr>
        <w:t>Conclusion</w:t>
      </w:r>
      <w:r w:rsidRPr="00E74100">
        <w:rPr>
          <w:rFonts w:ascii="Georgia" w:eastAsia="Times New Roman" w:hAnsi="Georgia" w:cs="Times New Roman"/>
          <w:color w:val="535353"/>
          <w:sz w:val="23"/>
          <w:szCs w:val="23"/>
        </w:rPr>
        <w:br/>
        <w:t xml:space="preserve">A conceptual framework has a wide range of advantages and has offered a stiff but precise platform. This platform can be thought of as one to classify and to safeguard social and </w:t>
      </w:r>
      <w:r w:rsidRPr="00E74100">
        <w:rPr>
          <w:rFonts w:ascii="Georgia" w:eastAsia="Times New Roman" w:hAnsi="Georgia" w:cs="Times New Roman"/>
          <w:color w:val="535353"/>
          <w:sz w:val="23"/>
          <w:szCs w:val="23"/>
        </w:rPr>
        <w:lastRenderedPageBreak/>
        <w:t>economic status. Discrepancies which exist in the accounting standards can only be removed by the rules set up by conceptual framework. Easy maintenance of the accounting standard can be done as conceptual framework eliminates the misstatements of accounting standards. It has also been a boon to the preparers, auditors and also to the users of the financial statements.</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b/>
          <w:bCs/>
          <w:color w:val="535353"/>
          <w:sz w:val="23"/>
          <w:szCs w:val="23"/>
        </w:rPr>
        <w:t>References</w:t>
      </w:r>
      <w:r w:rsidRPr="00E74100">
        <w:rPr>
          <w:rFonts w:ascii="Georgia" w:eastAsia="Times New Roman" w:hAnsi="Georgia" w:cs="Times New Roman"/>
          <w:color w:val="535353"/>
          <w:sz w:val="23"/>
          <w:szCs w:val="23"/>
        </w:rPr>
        <w:br/>
      </w:r>
      <w:proofErr w:type="spellStart"/>
      <w:r w:rsidRPr="00E74100">
        <w:rPr>
          <w:rFonts w:ascii="Georgia" w:eastAsia="Times New Roman" w:hAnsi="Georgia" w:cs="Times New Roman"/>
          <w:color w:val="535353"/>
          <w:sz w:val="23"/>
          <w:szCs w:val="23"/>
        </w:rPr>
        <w:t>Baluch</w:t>
      </w:r>
      <w:proofErr w:type="spellEnd"/>
      <w:r w:rsidRPr="00E74100">
        <w:rPr>
          <w:rFonts w:ascii="Georgia" w:eastAsia="Times New Roman" w:hAnsi="Georgia" w:cs="Times New Roman"/>
          <w:color w:val="535353"/>
          <w:sz w:val="23"/>
          <w:szCs w:val="23"/>
        </w:rPr>
        <w:t xml:space="preserve">, C., Cohen, R., Soto, H., Tucker, P., </w:t>
      </w:r>
      <w:proofErr w:type="spellStart"/>
      <w:r w:rsidRPr="00E74100">
        <w:rPr>
          <w:rFonts w:ascii="Georgia" w:eastAsia="Times New Roman" w:hAnsi="Georgia" w:cs="Times New Roman"/>
          <w:color w:val="535353"/>
          <w:sz w:val="23"/>
          <w:szCs w:val="23"/>
        </w:rPr>
        <w:t>Volkan</w:t>
      </w:r>
      <w:proofErr w:type="spellEnd"/>
      <w:r w:rsidRPr="00E74100">
        <w:rPr>
          <w:rFonts w:ascii="Georgia" w:eastAsia="Times New Roman" w:hAnsi="Georgia" w:cs="Times New Roman"/>
          <w:color w:val="535353"/>
          <w:sz w:val="23"/>
          <w:szCs w:val="23"/>
        </w:rPr>
        <w:t xml:space="preserve">, A., and Wright, G. (2011) Fair Value Accounting: Current Status </w:t>
      </w:r>
      <w:proofErr w:type="gramStart"/>
      <w:r w:rsidRPr="00E74100">
        <w:rPr>
          <w:rFonts w:ascii="Georgia" w:eastAsia="Times New Roman" w:hAnsi="Georgia" w:cs="Times New Roman"/>
          <w:color w:val="535353"/>
          <w:sz w:val="23"/>
          <w:szCs w:val="23"/>
        </w:rPr>
        <w:t>And</w:t>
      </w:r>
      <w:proofErr w:type="gramEnd"/>
      <w:r w:rsidRPr="00E74100">
        <w:rPr>
          <w:rFonts w:ascii="Georgia" w:eastAsia="Times New Roman" w:hAnsi="Georgia" w:cs="Times New Roman"/>
          <w:color w:val="535353"/>
          <w:sz w:val="23"/>
          <w:szCs w:val="23"/>
        </w:rPr>
        <w:t xml:space="preserve"> A Proposal For Convergence. The International Business &amp; Economics Research Journal. [</w:t>
      </w:r>
      <w:proofErr w:type="spellStart"/>
      <w:proofErr w:type="gramStart"/>
      <w:r w:rsidRPr="00E74100">
        <w:rPr>
          <w:rFonts w:ascii="Georgia" w:eastAsia="Times New Roman" w:hAnsi="Georgia" w:cs="Times New Roman"/>
          <w:color w:val="535353"/>
          <w:sz w:val="23"/>
          <w:szCs w:val="23"/>
        </w:rPr>
        <w:t>onliine</w:t>
      </w:r>
      <w:proofErr w:type="spellEnd"/>
      <w:proofErr w:type="gramEnd"/>
      <w:r w:rsidRPr="00E74100">
        <w:rPr>
          <w:rFonts w:ascii="Georgia" w:eastAsia="Times New Roman" w:hAnsi="Georgia" w:cs="Times New Roman"/>
          <w:color w:val="535353"/>
          <w:sz w:val="23"/>
          <w:szCs w:val="23"/>
        </w:rPr>
        <w:t>]. 10(4), p. 17-29. Available from: https://www.researchgate.net/publication/265411225_Fair_Value_Accounting_Current_Status_And_A_Proposal_For_Convergence [Accessed 27 April 2018]</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 xml:space="preserve">Cooper, C, Coulson, A and Taylor, P. (2011) </w:t>
      </w:r>
      <w:proofErr w:type="gramStart"/>
      <w:r w:rsidRPr="00E74100">
        <w:rPr>
          <w:rFonts w:ascii="Georgia" w:eastAsia="Times New Roman" w:hAnsi="Georgia" w:cs="Times New Roman"/>
          <w:color w:val="535353"/>
          <w:sz w:val="23"/>
          <w:szCs w:val="23"/>
        </w:rPr>
        <w:t>Accounting</w:t>
      </w:r>
      <w:proofErr w:type="gramEnd"/>
      <w:r w:rsidRPr="00E74100">
        <w:rPr>
          <w:rFonts w:ascii="Georgia" w:eastAsia="Times New Roman" w:hAnsi="Georgia" w:cs="Times New Roman"/>
          <w:color w:val="535353"/>
          <w:sz w:val="23"/>
          <w:szCs w:val="23"/>
        </w:rPr>
        <w:t xml:space="preserve"> for human rights: </w:t>
      </w:r>
      <w:proofErr w:type="spellStart"/>
      <w:r w:rsidRPr="00E74100">
        <w:rPr>
          <w:rFonts w:ascii="Georgia" w:eastAsia="Times New Roman" w:hAnsi="Georgia" w:cs="Times New Roman"/>
          <w:color w:val="535353"/>
          <w:sz w:val="23"/>
          <w:szCs w:val="23"/>
        </w:rPr>
        <w:t>Doxic</w:t>
      </w:r>
      <w:proofErr w:type="spellEnd"/>
      <w:r w:rsidRPr="00E74100">
        <w:rPr>
          <w:rFonts w:ascii="Georgia" w:eastAsia="Times New Roman" w:hAnsi="Georgia" w:cs="Times New Roman"/>
          <w:color w:val="535353"/>
          <w:sz w:val="23"/>
          <w:szCs w:val="23"/>
        </w:rPr>
        <w:t xml:space="preserve"> health and safety practices – The accounting lesson from ICL. Critical Perspectives on Accounting. [</w:t>
      </w:r>
      <w:proofErr w:type="gramStart"/>
      <w:r w:rsidRPr="00E74100">
        <w:rPr>
          <w:rFonts w:ascii="Georgia" w:eastAsia="Times New Roman" w:hAnsi="Georgia" w:cs="Times New Roman"/>
          <w:color w:val="535353"/>
          <w:sz w:val="23"/>
          <w:szCs w:val="23"/>
        </w:rPr>
        <w:t>online</w:t>
      </w:r>
      <w:proofErr w:type="gramEnd"/>
      <w:r w:rsidRPr="00E74100">
        <w:rPr>
          <w:rFonts w:ascii="Georgia" w:eastAsia="Times New Roman" w:hAnsi="Georgia" w:cs="Times New Roman"/>
          <w:color w:val="535353"/>
          <w:sz w:val="23"/>
          <w:szCs w:val="23"/>
        </w:rPr>
        <w:t>]. 22(8), p. 738-758. Available from https://pdfs.semanticscholar.org/29fe/f2147778ed83c4ee682b6e457a70b344a28a.pdf [Accessed 27 April 2018]</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 xml:space="preserve">Deegan, C. (2014). Financial Accounting Theory (4th </w:t>
      </w:r>
      <w:proofErr w:type="gramStart"/>
      <w:r w:rsidRPr="00E74100">
        <w:rPr>
          <w:rFonts w:ascii="Georgia" w:eastAsia="Times New Roman" w:hAnsi="Georgia" w:cs="Times New Roman"/>
          <w:color w:val="535353"/>
          <w:sz w:val="23"/>
          <w:szCs w:val="23"/>
        </w:rPr>
        <w:t>ed</w:t>
      </w:r>
      <w:proofErr w:type="gramEnd"/>
      <w:r w:rsidRPr="00E74100">
        <w:rPr>
          <w:rFonts w:ascii="Georgia" w:eastAsia="Times New Roman" w:hAnsi="Georgia" w:cs="Times New Roman"/>
          <w:color w:val="535353"/>
          <w:sz w:val="23"/>
          <w:szCs w:val="23"/>
        </w:rPr>
        <w:t xml:space="preserve">.). McGraw-Hill: Sydney. </w:t>
      </w:r>
      <w:proofErr w:type="spellStart"/>
      <w:r w:rsidRPr="00E74100">
        <w:rPr>
          <w:rFonts w:ascii="Georgia" w:eastAsia="Times New Roman" w:hAnsi="Georgia" w:cs="Times New Roman"/>
          <w:color w:val="535353"/>
          <w:sz w:val="23"/>
          <w:szCs w:val="23"/>
        </w:rPr>
        <w:t>Everingham</w:t>
      </w:r>
      <w:proofErr w:type="spellEnd"/>
      <w:r w:rsidRPr="00E74100">
        <w:rPr>
          <w:rFonts w:ascii="Georgia" w:eastAsia="Times New Roman" w:hAnsi="Georgia" w:cs="Times New Roman"/>
          <w:color w:val="535353"/>
          <w:sz w:val="23"/>
          <w:szCs w:val="23"/>
        </w:rPr>
        <w:t xml:space="preserve">, G.K, </w:t>
      </w:r>
      <w:proofErr w:type="spellStart"/>
      <w:r w:rsidRPr="00E74100">
        <w:rPr>
          <w:rFonts w:ascii="Georgia" w:eastAsia="Times New Roman" w:hAnsi="Georgia" w:cs="Times New Roman"/>
          <w:color w:val="535353"/>
          <w:sz w:val="23"/>
          <w:szCs w:val="23"/>
        </w:rPr>
        <w:t>Kleynhans</w:t>
      </w:r>
      <w:proofErr w:type="spellEnd"/>
      <w:r w:rsidRPr="00E74100">
        <w:rPr>
          <w:rFonts w:ascii="Georgia" w:eastAsia="Times New Roman" w:hAnsi="Georgia" w:cs="Times New Roman"/>
          <w:color w:val="535353"/>
          <w:sz w:val="23"/>
          <w:szCs w:val="23"/>
        </w:rPr>
        <w:t xml:space="preserve">, J.E &amp; </w:t>
      </w:r>
      <w:proofErr w:type="spellStart"/>
      <w:r w:rsidRPr="00E74100">
        <w:rPr>
          <w:rFonts w:ascii="Georgia" w:eastAsia="Times New Roman" w:hAnsi="Georgia" w:cs="Times New Roman"/>
          <w:color w:val="535353"/>
          <w:sz w:val="23"/>
          <w:szCs w:val="23"/>
        </w:rPr>
        <w:t>Posthumus</w:t>
      </w:r>
      <w:proofErr w:type="spellEnd"/>
      <w:r w:rsidRPr="00E74100">
        <w:rPr>
          <w:rFonts w:ascii="Georgia" w:eastAsia="Times New Roman" w:hAnsi="Georgia" w:cs="Times New Roman"/>
          <w:color w:val="535353"/>
          <w:sz w:val="23"/>
          <w:szCs w:val="23"/>
        </w:rPr>
        <w:t xml:space="preserve">, L.C. (2007) Principles of Generally Accepted Accounting Practice. </w:t>
      </w:r>
      <w:proofErr w:type="spellStart"/>
      <w:r w:rsidRPr="00E74100">
        <w:rPr>
          <w:rFonts w:ascii="Georgia" w:eastAsia="Times New Roman" w:hAnsi="Georgia" w:cs="Times New Roman"/>
          <w:color w:val="535353"/>
          <w:sz w:val="23"/>
          <w:szCs w:val="23"/>
        </w:rPr>
        <w:t>Juta</w:t>
      </w:r>
      <w:proofErr w:type="spellEnd"/>
      <w:r w:rsidRPr="00E74100">
        <w:rPr>
          <w:rFonts w:ascii="Georgia" w:eastAsia="Times New Roman" w:hAnsi="Georgia" w:cs="Times New Roman"/>
          <w:color w:val="535353"/>
          <w:sz w:val="23"/>
          <w:szCs w:val="23"/>
        </w:rPr>
        <w:t xml:space="preserve"> and Company Ltd.</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 xml:space="preserve">Gibson, C. (2010) Financial Reporting and Analysis: Using Financial Accounting Information. </w:t>
      </w:r>
      <w:proofErr w:type="spellStart"/>
      <w:r w:rsidRPr="00E74100">
        <w:rPr>
          <w:rFonts w:ascii="Georgia" w:eastAsia="Times New Roman" w:hAnsi="Georgia" w:cs="Times New Roman"/>
          <w:color w:val="535353"/>
          <w:sz w:val="23"/>
          <w:szCs w:val="23"/>
        </w:rPr>
        <w:t>Cengage</w:t>
      </w:r>
      <w:proofErr w:type="spellEnd"/>
      <w:r w:rsidRPr="00E74100">
        <w:rPr>
          <w:rFonts w:ascii="Georgia" w:eastAsia="Times New Roman" w:hAnsi="Georgia" w:cs="Times New Roman"/>
          <w:color w:val="535353"/>
          <w:sz w:val="23"/>
          <w:szCs w:val="23"/>
        </w:rPr>
        <w:t xml:space="preserve"> Learning.</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IFRS Foundation. (2010) Conceptual Framework for Financial Reporting 2010 [online]. Available from http://www.ifrs.org/News/Press-Releases/Documents/ConceptualFW2010vb.pdf [Accessed 27 April 2018]</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IFRS Foundation. (2013) A Review of the Conceptual Framework for Financial Reporting: Discussion Paper DP/2013/1. Available from: http://www.ifrs.org/Current-Projects/IASB-Projects/Conceptual-Framework/Discussion-Paper-July-2013/Documents/Discussion-Paper-Conceptual-Framework-July-2013.pdf [Accessed 27 April 2018]</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74100">
        <w:rPr>
          <w:rFonts w:ascii="Georgia" w:eastAsia="Times New Roman" w:hAnsi="Georgia" w:cs="Times New Roman"/>
          <w:color w:val="535353"/>
          <w:sz w:val="23"/>
          <w:szCs w:val="23"/>
        </w:rPr>
        <w:t>Seilber</w:t>
      </w:r>
      <w:proofErr w:type="spellEnd"/>
      <w:r w:rsidRPr="00E74100">
        <w:rPr>
          <w:rFonts w:ascii="Georgia" w:eastAsia="Times New Roman" w:hAnsi="Georgia" w:cs="Times New Roman"/>
          <w:color w:val="535353"/>
          <w:sz w:val="23"/>
          <w:szCs w:val="23"/>
        </w:rPr>
        <w:t xml:space="preserve"> J. (2015) FASB removes concept of extraordinary, retains guidance on unusual item [online]. Available from: http://www.pwc.com/us/en/cfodirect/assets/pdf/in-brief/us2015-01-fasb-extraordinary-unusual-items.pdf [Accessed 27 April 2018]</w:t>
      </w:r>
    </w:p>
    <w:p w:rsidR="00E74100"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r w:rsidRPr="00E74100">
        <w:rPr>
          <w:rFonts w:ascii="Georgia" w:eastAsia="Times New Roman" w:hAnsi="Georgia" w:cs="Times New Roman"/>
          <w:color w:val="535353"/>
          <w:sz w:val="23"/>
          <w:szCs w:val="23"/>
        </w:rPr>
        <w:t>Singleton-Green, B. (2016) Discussion of “articulating accounting principles: Classical accounting theory as the pursuit of ‘explanation by embodiment. Journal of Applied Accounting Research. [</w:t>
      </w:r>
      <w:proofErr w:type="gramStart"/>
      <w:r w:rsidRPr="00E74100">
        <w:rPr>
          <w:rFonts w:ascii="Georgia" w:eastAsia="Times New Roman" w:hAnsi="Georgia" w:cs="Times New Roman"/>
          <w:color w:val="535353"/>
          <w:sz w:val="23"/>
          <w:szCs w:val="23"/>
        </w:rPr>
        <w:t>online</w:t>
      </w:r>
      <w:proofErr w:type="gramEnd"/>
      <w:r w:rsidRPr="00E74100">
        <w:rPr>
          <w:rFonts w:ascii="Georgia" w:eastAsia="Times New Roman" w:hAnsi="Georgia" w:cs="Times New Roman"/>
          <w:color w:val="535353"/>
          <w:sz w:val="23"/>
          <w:szCs w:val="23"/>
        </w:rPr>
        <w:t>]. 17(2), p. 136-138. Available from https://www.emeraldinsight.com/doi/abs/10.1108/JAAR-03-2016-0028 [Accessed 27 April 2018]</w:t>
      </w:r>
    </w:p>
    <w:p w:rsidR="00BE2CDE" w:rsidRPr="00E74100" w:rsidRDefault="00E74100" w:rsidP="00E74100">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E74100">
        <w:rPr>
          <w:rFonts w:ascii="Georgia" w:eastAsia="Times New Roman" w:hAnsi="Georgia" w:cs="Times New Roman"/>
          <w:color w:val="535353"/>
          <w:sz w:val="23"/>
          <w:szCs w:val="23"/>
        </w:rPr>
        <w:t>Tysiac</w:t>
      </w:r>
      <w:proofErr w:type="spellEnd"/>
      <w:r w:rsidRPr="00E74100">
        <w:rPr>
          <w:rFonts w:ascii="Georgia" w:eastAsia="Times New Roman" w:hAnsi="Georgia" w:cs="Times New Roman"/>
          <w:color w:val="535353"/>
          <w:sz w:val="23"/>
          <w:szCs w:val="23"/>
        </w:rPr>
        <w:t xml:space="preserve"> K. (2015) No more extraordinary items: FASB simplifies GAAP [online]. Available from: http://www.journalofaccountancy.com/news/2015/jan/gaap-extraordinary-items-201511630.html [Accessed 27 April 2018]</w:t>
      </w:r>
    </w:p>
    <w:sectPr w:rsidR="00BE2CDE" w:rsidRPr="00E741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D4D34"/>
    <w:multiLevelType w:val="multilevel"/>
    <w:tmpl w:val="FDEE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810F38"/>
    <w:multiLevelType w:val="multilevel"/>
    <w:tmpl w:val="1D5E26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CDE"/>
    <w:rsid w:val="00BE2CDE"/>
    <w:rsid w:val="00E741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12AC14-8D74-4E9C-85C5-463A43405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7410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74100"/>
    <w:rPr>
      <w:rFonts w:ascii="Times New Roman" w:eastAsia="Times New Roman" w:hAnsi="Times New Roman" w:cs="Times New Roman"/>
      <w:b/>
      <w:bCs/>
      <w:sz w:val="36"/>
      <w:szCs w:val="36"/>
    </w:rPr>
  </w:style>
  <w:style w:type="paragraph" w:customStyle="1" w:styleId="assignmentfont">
    <w:name w:val="assignmentfont"/>
    <w:basedOn w:val="Normal"/>
    <w:rsid w:val="00E7410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741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0331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1803</Words>
  <Characters>10279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2022-01-02T09:50:00Z</dcterms:created>
  <dcterms:modified xsi:type="dcterms:W3CDTF">2022-01-02T10:20:00Z</dcterms:modified>
</cp:coreProperties>
</file>