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21D" w:rsidRDefault="00ED3809" w:rsidP="00ED3809">
      <w:pPr>
        <w:spacing w:after="5902" w:line="259" w:lineRule="auto"/>
        <w:ind w:right="-897"/>
      </w:pPr>
      <w:r>
        <w:rPr>
          <w:rFonts w:ascii="Arial" w:eastAsia="Arial" w:hAnsi="Arial" w:cs="Arial"/>
          <w:color w:val="000000"/>
        </w:rPr>
        <w:t xml:space="preserve">                       </w:t>
      </w:r>
      <w:r w:rsidR="00447150">
        <w:rPr>
          <w:color w:val="000000"/>
          <w:sz w:val="36"/>
        </w:rPr>
        <w:t>Psychodynamic Ap</w:t>
      </w:r>
      <w:bookmarkStart w:id="0" w:name="_GoBack"/>
      <w:bookmarkEnd w:id="0"/>
      <w:r w:rsidR="00447150">
        <w:rPr>
          <w:color w:val="000000"/>
          <w:sz w:val="36"/>
        </w:rPr>
        <w:t xml:space="preserve">proaches </w:t>
      </w:r>
    </w:p>
    <w:p w:rsidR="0049621D" w:rsidRPr="00ED3809" w:rsidRDefault="00447150">
      <w:pPr>
        <w:spacing w:after="160"/>
        <w:ind w:left="1378" w:hanging="8"/>
      </w:pPr>
      <w:r w:rsidRPr="00ED3809">
        <w:t>S</w:t>
      </w:r>
      <w:r w:rsidRPr="00ED3809">
        <w:t xml:space="preserve">elect one of the five postulates of contemporary psychodynamic theory identified by </w:t>
      </w:r>
      <w:proofErr w:type="spellStart"/>
      <w:proofErr w:type="gramStart"/>
      <w:r w:rsidRPr="00ED3809">
        <w:t>Westen</w:t>
      </w:r>
      <w:proofErr w:type="spellEnd"/>
      <w:r w:rsidRPr="00ED3809">
        <w:t xml:space="preserve">  </w:t>
      </w:r>
      <w:r w:rsidRPr="00ED3809">
        <w:t>(</w:t>
      </w:r>
      <w:proofErr w:type="gramEnd"/>
      <w:r w:rsidRPr="00ED3809">
        <w:t xml:space="preserve">1998) in his comprehensive article on the scientific legacy of Sigmund Freud. </w:t>
      </w:r>
      <w:r w:rsidRPr="00ED3809">
        <w:rPr>
          <w:shd w:val="clear" w:color="auto" w:fill="FFFFFF"/>
        </w:rPr>
        <w:t xml:space="preserve"> Briefly, explain </w:t>
      </w:r>
      <w:proofErr w:type="gramStart"/>
      <w:r w:rsidRPr="00ED3809">
        <w:t>the</w:t>
      </w:r>
      <w:proofErr w:type="gramEnd"/>
      <w:r w:rsidRPr="00ED3809">
        <w:t xml:space="preserve"> importance of that postulate and its implications for the practice of psychodynamic counselling.</w:t>
      </w:r>
    </w:p>
    <w:p w:rsidR="0049621D" w:rsidRDefault="00447150">
      <w:pPr>
        <w:spacing w:after="872"/>
        <w:ind w:left="1370" w:firstLine="720"/>
      </w:pPr>
      <w:r>
        <w:t xml:space="preserve">For the purpose of this exercise, I have picked the third </w:t>
      </w:r>
      <w:r>
        <w:t>postulate which states that “the origins of many personality and social dispositions begins in childhood” (</w:t>
      </w:r>
      <w:proofErr w:type="spellStart"/>
      <w:r>
        <w:t>Westen</w:t>
      </w:r>
      <w:proofErr w:type="spellEnd"/>
      <w:r>
        <w:t>, 1998) to analyze.  This point has been disputed by other theorists who claim that personality develops and evolves overtime while Freud was a</w:t>
      </w:r>
      <w:r>
        <w:t>damant that “personality crystalizes during childhood” (</w:t>
      </w:r>
      <w:proofErr w:type="spellStart"/>
      <w:r>
        <w:t>Westen</w:t>
      </w:r>
      <w:proofErr w:type="spellEnd"/>
      <w:r>
        <w:t>, 1998).  I personally agree with this postulate and believe that analysis of one’s childhood identifies the origin of various stressors, recognizes one’s mindset and overall worldview as well a</w:t>
      </w:r>
      <w:r>
        <w:t xml:space="preserve">s can influence </w:t>
      </w:r>
      <w:proofErr w:type="spellStart"/>
      <w:r>
        <w:t>behavioural</w:t>
      </w:r>
      <w:proofErr w:type="spellEnd"/>
      <w:r>
        <w:t xml:space="preserve"> patterns and abnormalities in adulthood.  It is during one’s childhood where one is most malleable both physically and psychosocially, making the most distinctive impressions on one’s psyche and causing development of personalit</w:t>
      </w:r>
      <w:r>
        <w:t xml:space="preserve">y and lifestyle thereafter, determining the entire course of their life.  There are various factors during one’s childhood which can determine how the mindset and ability to cope with stressors in life </w:t>
      </w:r>
      <w:r>
        <w:lastRenderedPageBreak/>
        <w:t>such as one’s birth order, organ inferiority, family v</w:t>
      </w:r>
      <w:r>
        <w:t>alues, family atmosphere, parenting style etc. For instance, “a hostile, unpredictable family atmosphere in childhood may lead children to develop an anxious, inhibited mood as adults if they come to believe that is the best way to prepare themselves for t</w:t>
      </w:r>
      <w:r>
        <w:t xml:space="preserve">he future” (Wedding &amp; </w:t>
      </w:r>
      <w:proofErr w:type="spellStart"/>
      <w:r>
        <w:t>Corsini</w:t>
      </w:r>
      <w:proofErr w:type="spellEnd"/>
      <w:r>
        <w:t>, p. 67).  Another study showed that children inhibited by age 3 were more like to develop depression by age 21 whereas children who were impulsive and uncontrolled were more likely to develop antisocial personality disorder (</w:t>
      </w:r>
      <w:proofErr w:type="spellStart"/>
      <w:r>
        <w:t>C</w:t>
      </w:r>
      <w:r>
        <w:t>aspi</w:t>
      </w:r>
      <w:proofErr w:type="spellEnd"/>
      <w:r>
        <w:t>, Moffitt, Newman, &amp; Silva, 1996).  There are a multitude of other studies which clearly demonstrate the links between development of adult characteristics and various childhood influences, particularly that of caretakers, as such, identifying and anal</w:t>
      </w:r>
      <w:r>
        <w:t>yzing one’s childhood invariably hold key components to be combed through during the psychoanalytic counseling process.</w:t>
      </w:r>
    </w:p>
    <w:p w:rsidR="0049621D" w:rsidRDefault="00447150">
      <w:pPr>
        <w:spacing w:after="396" w:line="259" w:lineRule="auto"/>
        <w:ind w:left="1378" w:hanging="8"/>
      </w:pPr>
      <w:r>
        <w:rPr>
          <w:u w:val="single" w:color="3A3A3A"/>
        </w:rPr>
        <w:t>How do Adlerian counsellors use clients’ early recollections as part of the lifestyle assessment?</w:t>
      </w:r>
    </w:p>
    <w:p w:rsidR="0049621D" w:rsidRDefault="00447150">
      <w:pPr>
        <w:ind w:left="1380"/>
      </w:pPr>
      <w:r>
        <w:t xml:space="preserve">It has been identified by </w:t>
      </w:r>
      <w:proofErr w:type="spellStart"/>
      <w:r>
        <w:t>Alderian</w:t>
      </w:r>
      <w:proofErr w:type="spellEnd"/>
      <w:r>
        <w:t xml:space="preserve"> the</w:t>
      </w:r>
      <w:r>
        <w:t xml:space="preserve">orists that although people are inherently born with certain temperaments, these “temperaments are quickly modified via learning and socialization” (Wedding &amp; </w:t>
      </w:r>
      <w:proofErr w:type="spellStart"/>
      <w:r>
        <w:t>Corsini</w:t>
      </w:r>
      <w:proofErr w:type="spellEnd"/>
      <w:r>
        <w:t xml:space="preserve">, p. 66) and in fact, the very definition of personality is described as </w:t>
      </w:r>
    </w:p>
    <w:p w:rsidR="0049621D" w:rsidRDefault="00447150">
      <w:pPr>
        <w:spacing w:after="872"/>
        <w:ind w:left="1380"/>
      </w:pPr>
      <w:r>
        <w:t>“</w:t>
      </w:r>
      <w:proofErr w:type="gramStart"/>
      <w:r>
        <w:t>temperamental</w:t>
      </w:r>
      <w:proofErr w:type="gramEnd"/>
      <w:r>
        <w:t xml:space="preserve"> p</w:t>
      </w:r>
      <w:r>
        <w:t xml:space="preserve">redispositions and early childhood experiences, personality develops” (Wedding &amp; </w:t>
      </w:r>
      <w:proofErr w:type="spellStart"/>
      <w:r>
        <w:t>Corsini</w:t>
      </w:r>
      <w:proofErr w:type="spellEnd"/>
      <w:r>
        <w:t xml:space="preserve">, p. 66).  So if we were to think intelligently, which by Alder himself was defined as “the ability to solve problems” (Wedding &amp; </w:t>
      </w:r>
      <w:proofErr w:type="spellStart"/>
      <w:r>
        <w:t>Corsini</w:t>
      </w:r>
      <w:proofErr w:type="spellEnd"/>
      <w:r>
        <w:t>, p. 70), the early childhood r</w:t>
      </w:r>
      <w:r>
        <w:t>ecollection phase intellectually helps identify two components - the temperamental predispositions the individual may be born with through his or her descriptions of their parents and other members of the family as innate temperament is linked hereditarily</w:t>
      </w:r>
      <w:r>
        <w:t>. Secondly, the early childhood influences that may have directed the individual’s personality such as birth order, family values, family atmosphere, parenting style, socioeconomic status, etc.  It is logical to conclude as well as forecasted by various da</w:t>
      </w:r>
      <w:r>
        <w:t xml:space="preserve">ta that it is during the early childhood period, </w:t>
      </w:r>
      <w:r>
        <w:lastRenderedPageBreak/>
        <w:t>when an individual is most malleable, that last impressions and alterations occur on their personality and therefore is key to identify in a counseling process.  For instance, when discussing racism and prej</w:t>
      </w:r>
      <w:r>
        <w:t xml:space="preserve">udice, it is said to be “not a natural response, but one learned from societal norms and observations of parents, friends and </w:t>
      </w:r>
      <w:proofErr w:type="spellStart"/>
      <w:r>
        <w:t>neighbours</w:t>
      </w:r>
      <w:proofErr w:type="spellEnd"/>
      <w:r>
        <w:t xml:space="preserve">” (France et al, p. 17).  As well, based on the attachment theory by </w:t>
      </w:r>
      <w:proofErr w:type="spellStart"/>
      <w:r>
        <w:t>Wallin</w:t>
      </w:r>
      <w:proofErr w:type="spellEnd"/>
      <w:r>
        <w:t>, “via early experiences, children develop wo</w:t>
      </w:r>
      <w:r>
        <w:t>rking models of self and others principally through interactions with caretakers” (</w:t>
      </w:r>
      <w:proofErr w:type="spellStart"/>
      <w:r>
        <w:t>Wallin</w:t>
      </w:r>
      <w:proofErr w:type="spellEnd"/>
      <w:r>
        <w:t>, 2007).</w:t>
      </w:r>
    </w:p>
    <w:p w:rsidR="0049621D" w:rsidRDefault="00447150">
      <w:pPr>
        <w:spacing w:after="160"/>
        <w:ind w:left="1378" w:hanging="8"/>
      </w:pPr>
      <w:r>
        <w:rPr>
          <w:u w:val="single" w:color="3A3A3A"/>
        </w:rPr>
        <w:t>How can clients in counselling benefit from the application of Jung’s theory of psychological types?</w:t>
      </w:r>
    </w:p>
    <w:p w:rsidR="0049621D" w:rsidRDefault="00447150">
      <w:pPr>
        <w:spacing w:after="160"/>
        <w:ind w:left="1380"/>
      </w:pPr>
      <w:r>
        <w:t>Jung’s theory, like Freud’s postulates, focuses on the un</w:t>
      </w:r>
      <w:r>
        <w:t>conscious.  It states that there are two mechanisms which are working as opposite energies – on one hand there is the attitude and functions of the consciousness and on the other hand there is the compensatory aspect which is then becomes evident in the un</w:t>
      </w:r>
      <w:r>
        <w:t>conscious via means of dreams or when the individual is not in full mental faculties, such as when inebriated.  Jung’s theory of Psychological types focuses on the attitudes and functions of the conscious and is based on eight distinct types which are comb</w:t>
      </w:r>
      <w:r>
        <w:t xml:space="preserve">inations of various attitudes with various functions.  For instance, the extroverted thinking type or the introverted thinking type – these typologies include both an attitude and a function.  </w:t>
      </w:r>
    </w:p>
    <w:p w:rsidR="0049621D" w:rsidRDefault="00447150">
      <w:pPr>
        <w:ind w:left="1370" w:firstLine="720"/>
      </w:pPr>
      <w:r>
        <w:t>The most prominent application of Jung’s theory of psychologic</w:t>
      </w:r>
      <w:r>
        <w:t>al types has been the development of the Myers-Briggs Type indicator which is used to analyze personality of an individual in a very objective way and therefore can be utilized in various industrialized and educational settings such as entry admission to a</w:t>
      </w:r>
      <w:r>
        <w:t xml:space="preserve"> program or during a job selection process.  This is due to the fact that certain professions or lines of work are more compatible with certain personality types and therefore the scale can be applied to help individual’s realized their own potential and/o</w:t>
      </w:r>
      <w:r>
        <w:t>r help decide their innate strengths and weaknesses and use such knowledge towards betterment of their lives.</w:t>
      </w:r>
    </w:p>
    <w:p w:rsidR="0049621D" w:rsidRDefault="00447150">
      <w:pPr>
        <w:spacing w:after="398" w:line="259" w:lineRule="auto"/>
        <w:ind w:left="1410" w:firstLine="0"/>
        <w:jc w:val="center"/>
      </w:pPr>
      <w:r>
        <w:rPr>
          <w:color w:val="000000"/>
          <w:sz w:val="32"/>
        </w:rPr>
        <w:lastRenderedPageBreak/>
        <w:t>References:</w:t>
      </w:r>
    </w:p>
    <w:p w:rsidR="0049621D" w:rsidRDefault="00447150">
      <w:pPr>
        <w:spacing w:after="0" w:line="583" w:lineRule="auto"/>
        <w:ind w:left="945" w:right="217" w:firstLine="0"/>
        <w:jc w:val="center"/>
      </w:pPr>
      <w:proofErr w:type="spellStart"/>
      <w:r>
        <w:rPr>
          <w:color w:val="333333"/>
        </w:rPr>
        <w:t>Westen</w:t>
      </w:r>
      <w:proofErr w:type="spellEnd"/>
      <w:r>
        <w:rPr>
          <w:color w:val="333333"/>
        </w:rPr>
        <w:t xml:space="preserve">, D. (1998). The scientific legacy of Sigmund Freud: Toward a </w:t>
      </w:r>
      <w:proofErr w:type="spellStart"/>
      <w:r>
        <w:rPr>
          <w:color w:val="333333"/>
        </w:rPr>
        <w:t>psychodynamically</w:t>
      </w:r>
      <w:proofErr w:type="spellEnd"/>
      <w:r>
        <w:rPr>
          <w:color w:val="333333"/>
        </w:rPr>
        <w:t xml:space="preserve"> informed psychological science. </w:t>
      </w:r>
      <w:r>
        <w:rPr>
          <w:i/>
          <w:color w:val="333333"/>
        </w:rPr>
        <w:t>Psychological Bulletin, 124</w:t>
      </w:r>
      <w:r>
        <w:rPr>
          <w:color w:val="333333"/>
        </w:rPr>
        <w:t xml:space="preserve">(3), 333–371. </w:t>
      </w:r>
    </w:p>
    <w:p w:rsidR="0049621D" w:rsidRDefault="00447150">
      <w:pPr>
        <w:spacing w:after="396" w:line="259" w:lineRule="auto"/>
        <w:ind w:left="2105" w:firstLine="0"/>
      </w:pPr>
      <w:r>
        <w:rPr>
          <w:color w:val="0000FF"/>
          <w:u w:val="single" w:color="0000FF"/>
        </w:rPr>
        <w:t>https://doi.org/10.1037/0033-2909.124.3.333</w:t>
      </w:r>
    </w:p>
    <w:p w:rsidR="0049621D" w:rsidRDefault="00447150">
      <w:pPr>
        <w:spacing w:line="583" w:lineRule="auto"/>
        <w:ind w:left="2090" w:hanging="720"/>
      </w:pPr>
      <w:proofErr w:type="spellStart"/>
      <w:r>
        <w:t>Safran</w:t>
      </w:r>
      <w:proofErr w:type="spellEnd"/>
      <w:r>
        <w:t xml:space="preserve">, J. D., </w:t>
      </w:r>
      <w:proofErr w:type="spellStart"/>
      <w:r>
        <w:t>Kriss</w:t>
      </w:r>
      <w:proofErr w:type="spellEnd"/>
      <w:r>
        <w:t xml:space="preserve">, A. &amp; Foley, V. K. (2019). Psychoanalytic therapies. In D. Wedding &amp; R. J. </w:t>
      </w:r>
      <w:proofErr w:type="spellStart"/>
      <w:r>
        <w:rPr>
          <w:color w:val="000000"/>
        </w:rPr>
        <w:t>Corsini</w:t>
      </w:r>
      <w:proofErr w:type="spellEnd"/>
      <w:r>
        <w:rPr>
          <w:color w:val="000000"/>
        </w:rPr>
        <w:t xml:space="preserve"> (Eds.), </w:t>
      </w:r>
      <w:r>
        <w:rPr>
          <w:i/>
          <w:color w:val="000000"/>
        </w:rPr>
        <w:t>Current psychotherapies</w:t>
      </w:r>
      <w:r>
        <w:rPr>
          <w:color w:val="000000"/>
        </w:rPr>
        <w:t xml:space="preserve"> (11th ed.) pp.59-100. Boston, MA: </w:t>
      </w:r>
      <w:r>
        <w:rPr>
          <w:color w:val="000000"/>
        </w:rPr>
        <w:t>Cengage</w:t>
      </w:r>
    </w:p>
    <w:tbl>
      <w:tblPr>
        <w:tblStyle w:val="TableGrid"/>
        <w:tblpPr w:vertAnchor="text" w:tblpX="1383" w:tblpY="-10"/>
        <w:tblOverlap w:val="never"/>
        <w:tblW w:w="6432" w:type="dxa"/>
        <w:tblInd w:w="0" w:type="dxa"/>
        <w:tblCellMar>
          <w:top w:w="10" w:type="dxa"/>
          <w:left w:w="2" w:type="dxa"/>
          <w:bottom w:w="0" w:type="dxa"/>
          <w:right w:w="0" w:type="dxa"/>
        </w:tblCellMar>
        <w:tblLook w:val="04A0" w:firstRow="1" w:lastRow="0" w:firstColumn="1" w:lastColumn="0" w:noHBand="0" w:noVBand="1"/>
      </w:tblPr>
      <w:tblGrid>
        <w:gridCol w:w="6432"/>
      </w:tblGrid>
      <w:tr w:rsidR="0049621D">
        <w:trPr>
          <w:trHeight w:val="276"/>
        </w:trPr>
        <w:tc>
          <w:tcPr>
            <w:tcW w:w="6432" w:type="dxa"/>
            <w:tcBorders>
              <w:top w:val="nil"/>
              <w:left w:val="nil"/>
              <w:bottom w:val="nil"/>
              <w:right w:val="nil"/>
            </w:tcBorders>
            <w:shd w:val="clear" w:color="auto" w:fill="F4F4F4"/>
          </w:tcPr>
          <w:p w:rsidR="0049621D" w:rsidRDefault="00447150">
            <w:pPr>
              <w:spacing w:after="0" w:line="259" w:lineRule="auto"/>
              <w:ind w:left="0" w:firstLine="0"/>
              <w:jc w:val="both"/>
            </w:pPr>
            <w:r>
              <w:rPr>
                <w:color w:val="000000"/>
              </w:rPr>
              <w:t xml:space="preserve">France, M. H., Rodriguez, M. del C., &amp; </w:t>
            </w:r>
            <w:proofErr w:type="spellStart"/>
            <w:r>
              <w:rPr>
                <w:color w:val="000000"/>
              </w:rPr>
              <w:t>Hett</w:t>
            </w:r>
            <w:proofErr w:type="spellEnd"/>
            <w:r>
              <w:rPr>
                <w:color w:val="000000"/>
              </w:rPr>
              <w:t xml:space="preserve">, G. G. (Eds.). (2013). </w:t>
            </w:r>
          </w:p>
        </w:tc>
      </w:tr>
    </w:tbl>
    <w:p w:rsidR="0049621D" w:rsidRDefault="00447150">
      <w:pPr>
        <w:spacing w:after="396" w:line="259" w:lineRule="auto"/>
        <w:ind w:left="1383" w:right="825" w:firstLine="0"/>
        <w:jc w:val="right"/>
      </w:pPr>
      <w:r>
        <w:rPr>
          <w:i/>
          <w:color w:val="000000"/>
        </w:rPr>
        <w:t xml:space="preserve">Diversity, culture and </w:t>
      </w:r>
    </w:p>
    <w:tbl>
      <w:tblPr>
        <w:tblStyle w:val="TableGrid"/>
        <w:tblpPr w:vertAnchor="text" w:tblpX="5581" w:tblpY="-10"/>
        <w:tblOverlap w:val="never"/>
        <w:tblW w:w="3964" w:type="dxa"/>
        <w:tblInd w:w="0" w:type="dxa"/>
        <w:tblCellMar>
          <w:top w:w="10" w:type="dxa"/>
          <w:left w:w="2" w:type="dxa"/>
          <w:bottom w:w="0" w:type="dxa"/>
          <w:right w:w="1" w:type="dxa"/>
        </w:tblCellMar>
        <w:tblLook w:val="04A0" w:firstRow="1" w:lastRow="0" w:firstColumn="1" w:lastColumn="0" w:noHBand="0" w:noVBand="1"/>
      </w:tblPr>
      <w:tblGrid>
        <w:gridCol w:w="3964"/>
      </w:tblGrid>
      <w:tr w:rsidR="0049621D">
        <w:trPr>
          <w:trHeight w:val="276"/>
        </w:trPr>
        <w:tc>
          <w:tcPr>
            <w:tcW w:w="3964" w:type="dxa"/>
            <w:tcBorders>
              <w:top w:val="nil"/>
              <w:left w:val="nil"/>
              <w:bottom w:val="nil"/>
              <w:right w:val="nil"/>
            </w:tcBorders>
            <w:shd w:val="clear" w:color="auto" w:fill="F4F4F4"/>
          </w:tcPr>
          <w:p w:rsidR="0049621D" w:rsidRDefault="00447150">
            <w:pPr>
              <w:spacing w:after="0" w:line="259" w:lineRule="auto"/>
              <w:ind w:left="0" w:firstLine="0"/>
              <w:jc w:val="both"/>
            </w:pPr>
            <w:r>
              <w:rPr>
                <w:color w:val="000000"/>
              </w:rPr>
              <w:t xml:space="preserve"> (2nd ed.). Calgary, AB: Brush Education</w:t>
            </w:r>
          </w:p>
        </w:tc>
      </w:tr>
    </w:tbl>
    <w:p w:rsidR="0049621D" w:rsidRDefault="00447150">
      <w:pPr>
        <w:spacing w:after="396" w:line="259" w:lineRule="auto"/>
        <w:ind w:left="2105" w:right="1174" w:firstLine="0"/>
      </w:pPr>
      <w:proofErr w:type="gramStart"/>
      <w:r>
        <w:rPr>
          <w:i/>
          <w:color w:val="000000"/>
        </w:rPr>
        <w:t>counseling</w:t>
      </w:r>
      <w:proofErr w:type="gramEnd"/>
      <w:r>
        <w:rPr>
          <w:i/>
          <w:color w:val="000000"/>
        </w:rPr>
        <w:t>: A Canadian perspective</w:t>
      </w:r>
    </w:p>
    <w:p w:rsidR="0049621D" w:rsidRDefault="00447150">
      <w:pPr>
        <w:spacing w:after="6135" w:line="583" w:lineRule="auto"/>
        <w:ind w:left="2105" w:hanging="720"/>
      </w:pPr>
      <w:proofErr w:type="spellStart"/>
      <w:r>
        <w:rPr>
          <w:color w:val="000000"/>
        </w:rPr>
        <w:t>Caspi</w:t>
      </w:r>
      <w:proofErr w:type="spellEnd"/>
      <w:r>
        <w:rPr>
          <w:color w:val="000000"/>
        </w:rPr>
        <w:t>, A. (1998). Personality development across the lifespan</w:t>
      </w:r>
      <w:proofErr w:type="gramStart"/>
      <w:r>
        <w:rPr>
          <w:color w:val="000000"/>
        </w:rPr>
        <w:t>.(</w:t>
      </w:r>
      <w:proofErr w:type="gramEnd"/>
      <w:r>
        <w:rPr>
          <w:color w:val="000000"/>
        </w:rPr>
        <w:t>In W. Damon (Series Ed.) &amp; N. Eisenberg (Vol. Ed.), Handbook of child psychology: Vol. 3. Social, emotional, and personality development (2nd ed., pp. 311—388). New York: Wiley</w:t>
      </w:r>
    </w:p>
    <w:p w:rsidR="0049621D" w:rsidRDefault="00447150">
      <w:pPr>
        <w:spacing w:after="0" w:line="259" w:lineRule="auto"/>
        <w:ind w:left="0" w:firstLine="0"/>
      </w:pPr>
      <w:hyperlink r:id="rId6">
        <w:r>
          <w:rPr>
            <w:rFonts w:ascii="Arial" w:eastAsia="Arial" w:hAnsi="Arial" w:cs="Arial"/>
            <w:color w:val="000000"/>
            <w:sz w:val="2"/>
          </w:rPr>
          <w:t>Powered by TCPDF (www.tcpdf.org)</w:t>
        </w:r>
      </w:hyperlink>
    </w:p>
    <w:sectPr w:rsidR="0049621D">
      <w:footerReference w:type="even" r:id="rId7"/>
      <w:footerReference w:type="default" r:id="rId8"/>
      <w:footerReference w:type="first" r:id="rId9"/>
      <w:pgSz w:w="12240" w:h="15840"/>
      <w:pgMar w:top="387" w:right="1464"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7150" w:rsidRDefault="00447150">
      <w:pPr>
        <w:spacing w:after="0" w:line="240" w:lineRule="auto"/>
      </w:pPr>
      <w:r>
        <w:separator/>
      </w:r>
    </w:p>
  </w:endnote>
  <w:endnote w:type="continuationSeparator" w:id="0">
    <w:p w:rsidR="00447150" w:rsidRDefault="00447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21D" w:rsidRDefault="00447150">
    <w:pPr>
      <w:spacing w:after="367" w:line="259" w:lineRule="auto"/>
      <w:ind w:left="567" w:firstLine="0"/>
    </w:pPr>
    <w:r>
      <w:rPr>
        <w:rFonts w:ascii="Times New Roman" w:eastAsia="Times New Roman" w:hAnsi="Times New Roman" w:cs="Times New Roman"/>
        <w:color w:val="000000"/>
        <w:sz w:val="16"/>
      </w:rPr>
      <w:t>This study source was downloaded by 100000846192422 from CourseHero.com on 06-02-2022 04:23:24 GMT -05:00</w:t>
    </w:r>
  </w:p>
  <w:p w:rsidR="0049621D" w:rsidRDefault="00447150">
    <w:pPr>
      <w:spacing w:after="0" w:line="259" w:lineRule="auto"/>
      <w:ind w:left="567" w:firstLine="0"/>
    </w:pPr>
    <w:r>
      <w:rPr>
        <w:rFonts w:ascii="Times New Roman" w:eastAsia="Times New Roman" w:hAnsi="Times New Roman" w:cs="Times New Roman"/>
        <w:color w:val="000000"/>
        <w:sz w:val="16"/>
      </w:rPr>
      <w:t>https://www.coursehero.com/file/85710115/Psychodynamic-Approaches-Assignment-1docx/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21D" w:rsidRDefault="0049621D">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21D" w:rsidRDefault="00447150">
    <w:pPr>
      <w:spacing w:after="367" w:line="259" w:lineRule="auto"/>
      <w:ind w:left="567" w:firstLine="0"/>
    </w:pPr>
    <w:r>
      <w:rPr>
        <w:rFonts w:ascii="Times New Roman" w:eastAsia="Times New Roman" w:hAnsi="Times New Roman" w:cs="Times New Roman"/>
        <w:color w:val="000000"/>
        <w:sz w:val="16"/>
      </w:rPr>
      <w:t>This study source was downloaded by 100000846192422 from CourseHero.com on 06-02-2022 04:23:24 GMT -05:00</w:t>
    </w:r>
  </w:p>
  <w:p w:rsidR="0049621D" w:rsidRDefault="00447150">
    <w:pPr>
      <w:spacing w:after="0" w:line="259" w:lineRule="auto"/>
      <w:ind w:left="567" w:firstLine="0"/>
    </w:pPr>
    <w:r>
      <w:rPr>
        <w:rFonts w:ascii="Times New Roman" w:eastAsia="Times New Roman" w:hAnsi="Times New Roman" w:cs="Times New Roman"/>
        <w:color w:val="000000"/>
        <w:sz w:val="16"/>
      </w:rPr>
      <w:t>https://www.coursehero.com/file/85710115/Psychodynamic-Approaches-Assignment-1docx/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7150" w:rsidRDefault="00447150">
      <w:pPr>
        <w:spacing w:after="0" w:line="240" w:lineRule="auto"/>
      </w:pPr>
      <w:r>
        <w:separator/>
      </w:r>
    </w:p>
  </w:footnote>
  <w:footnote w:type="continuationSeparator" w:id="0">
    <w:p w:rsidR="00447150" w:rsidRDefault="004471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21D"/>
    <w:rsid w:val="00447150"/>
    <w:rsid w:val="0049621D"/>
    <w:rsid w:val="00ED3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8DDFD9-80AE-41A3-B700-1A01689F6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95" w:hanging="10"/>
    </w:pPr>
    <w:rPr>
      <w:rFonts w:ascii="Calibri" w:eastAsia="Calibri" w:hAnsi="Calibri" w:cs="Calibri"/>
      <w:color w:val="3A3A3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970</Words>
  <Characters>5535</Characters>
  <Application>Microsoft Office Word</Application>
  <DocSecurity>0</DocSecurity>
  <Lines>46</Lines>
  <Paragraphs>12</Paragraphs>
  <ScaleCrop>false</ScaleCrop>
  <Company/>
  <LinksUpToDate>false</LinksUpToDate>
  <CharactersWithSpaces>6493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100000846192422,Uploader: 100000821943870,CHDL-UGC-Meta</cp:keywords>
  <cp:lastModifiedBy>Microsoft account</cp:lastModifiedBy>
  <cp:revision>2</cp:revision>
  <dcterms:created xsi:type="dcterms:W3CDTF">2022-06-02T09:25:00Z</dcterms:created>
  <dcterms:modified xsi:type="dcterms:W3CDTF">2022-06-02T09:25:00Z</dcterms:modified>
</cp:coreProperties>
</file>