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E88" w:rsidRPr="00C10E88" w:rsidRDefault="00C10E88" w:rsidP="00C10E88">
      <w:pPr>
        <w:shd w:val="clear" w:color="auto" w:fill="FFFFFF"/>
        <w:spacing w:after="0" w:line="240" w:lineRule="auto"/>
        <w:outlineLvl w:val="1"/>
        <w:rPr>
          <w:rFonts w:ascii="Arial" w:eastAsia="Times New Roman" w:hAnsi="Arial" w:cs="Arial"/>
          <w:color w:val="37404D"/>
          <w:sz w:val="38"/>
          <w:szCs w:val="38"/>
        </w:rPr>
      </w:pPr>
      <w:bookmarkStart w:id="0" w:name="_GoBack"/>
      <w:r w:rsidRPr="00C10E88">
        <w:rPr>
          <w:rFonts w:ascii="Arial" w:eastAsia="Times New Roman" w:hAnsi="Arial" w:cs="Arial"/>
          <w:color w:val="37404D"/>
          <w:sz w:val="38"/>
          <w:szCs w:val="38"/>
        </w:rPr>
        <w:t>Monetary Policy Macroeconomics Case Study Assignment for Reserve Bank of Australia</w:t>
      </w:r>
    </w:p>
    <w:bookmarkEnd w:id="0"/>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7"/>
          <w:szCs w:val="27"/>
        </w:rPr>
      </w:pPr>
      <w:r w:rsidRPr="00C10E88">
        <w:rPr>
          <w:rFonts w:ascii="Georgia" w:eastAsia="Times New Roman" w:hAnsi="Georgia" w:cs="Times New Roman"/>
          <w:b/>
          <w:bCs/>
          <w:color w:val="535353"/>
          <w:sz w:val="27"/>
          <w:szCs w:val="27"/>
        </w:rPr>
        <w:t>Question</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Task description: </w:t>
      </w:r>
      <w:r w:rsidRPr="00C10E88">
        <w:rPr>
          <w:rFonts w:ascii="Georgia" w:eastAsia="Times New Roman" w:hAnsi="Georgia" w:cs="Times New Roman"/>
          <w:color w:val="535353"/>
          <w:sz w:val="23"/>
          <w:szCs w:val="23"/>
        </w:rPr>
        <w:t>In this task, you will build a case study based on the article: RBA official interest rate decision 4 December 2018, provided on page 3 of this task sheet (along with the link). Guiding questions, found on page 4 of this task sheet will help you structure your response when building the case. Do not forget to apply the DADA framework, using data and graphs to support your response. A marking rubric is posted on the Moodle site, which can help you understand what is required to reach your desired level of achievement. Note: You will have to do research for this assignment to find some secondary data, tables and graphs from the ABS and RBA websites related to GDP, unemployment, inflation, exchange rates, interest rates and their impact on consumption demand, commodity prices, business investment and the housing market.</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Listed above are the goals as envisioned by the ambassadors for the Future of Melbourne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Suggested way to approach the task</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Get a good understanding of macroeconomic objectives, unemployment, inflation, the role of money, monetary policy, interest rates, the Reserve Bank of Australia (RBA), and economic growth from course resources. Refer to relevant chapters from the set textbook and other economics textbooks for theory. You also need to refer to other on-line articles and news items related to the case study. Draw on the work you have done at home or during workshop session solving the weekly textbook-boxed case studies as these will help you learn to think like an economist.</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Read and take notes about the article RBA decision 4-December -2018 on pages 3-4 of this task sheet.</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Look at the guiding questions on pages 4-5 of this task sheet. These will help you apply the theory to a real life monetary policy example of economics at work.</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Conduct research (find related articles and search the RBA website) relevant to the current situation in the Australian economy and the RBA’s role, function and conduct of monetary policy to keep inflation within the target rate. Find tables and graphs that show the current levels of inflation, interest rates, and money supply and the relationship between inflation, investment, GDP and interest rate, and use these to draw conclusions and justify your answers.</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Read the How to write essays in economics guide available in the Assessment section of the Moodle site as this will help you adopt the appropriate writing style for your case study. Your assignment should have an introduction paragraph regarding the RBA case and applying theory to real life economics respond to the five (5) questions within Five (5) body paragraphs. Be sure to connect the paragraphs with tables and graphs and have a final concluding paragraph</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Be sure you fully respond to each of the guiding questions, which are provided to give you direction when writing and building the case study.</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 xml:space="preserve">Drawing on your research and notes about RBA minute and decision of 4-December2018, apply the DADA framework while answering each of the questions (Definitions: define the key terms; Assumptions: list or make assumptions as </w:t>
      </w:r>
      <w:r w:rsidRPr="00C10E88">
        <w:rPr>
          <w:rFonts w:ascii="Georgia" w:eastAsia="Times New Roman" w:hAnsi="Georgia" w:cs="Arial"/>
          <w:color w:val="535353"/>
          <w:sz w:val="23"/>
          <w:szCs w:val="23"/>
        </w:rPr>
        <w:lastRenderedPageBreak/>
        <w:t>required; Diagrams: draw relevant graphs/tables and explain; and original Analysis: apply the theory to real life economic examples and explain to justify your answer). Remember:</w:t>
      </w:r>
    </w:p>
    <w:p w:rsidR="00C10E88" w:rsidRPr="00C10E88" w:rsidRDefault="00C10E88" w:rsidP="00C10E88">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Concepts and key terms must be defined accurately and completely.</w:t>
      </w:r>
    </w:p>
    <w:p w:rsidR="00C10E88" w:rsidRPr="00C10E88" w:rsidRDefault="00C10E88" w:rsidP="00C10E88">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The assumptions upon which the analysis is based must be stated at the outset.</w:t>
      </w:r>
    </w:p>
    <w:p w:rsidR="00C10E88" w:rsidRPr="00C10E88" w:rsidRDefault="00C10E88" w:rsidP="00C10E88">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Diagrams must be drawn properly and correctly labelled, explaining the relationships they depict.</w:t>
      </w:r>
    </w:p>
    <w:p w:rsidR="00C10E88" w:rsidRPr="00C10E88" w:rsidRDefault="00C10E88" w:rsidP="00C10E88">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Analysis overall should be provided by relating economic theory to how interest rate decisions are made and their impact on real-life economics.</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Review your draft case study against the marking rubric (located in the assessment section of the Moodle site) to be sure; you have addressed all key criteria. Make sure you have focused on the key macroeconomic objectives and applied macroeconomic concepts and theory to the role of money, banking, inflation, interest rates and the functions of the Reserve Bank of Australia</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Sources must be acknowledged using APA referencing style. Make sure you include in-text references to acknowledge others’ work and provide a reference list.</w:t>
      </w:r>
    </w:p>
    <w:p w:rsidR="00C10E88" w:rsidRPr="00C10E88" w:rsidRDefault="00C10E88" w:rsidP="00C10E88">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Plagiarism is an issue. Do not show your assignment to your classmates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Important Background Reading Regarding RBA</w:t>
      </w:r>
      <w:r w:rsidRPr="00C10E88">
        <w:rPr>
          <w:rFonts w:ascii="Georgia" w:eastAsia="Times New Roman" w:hAnsi="Georgia" w:cs="Times New Roman"/>
          <w:color w:val="535353"/>
          <w:sz w:val="23"/>
          <w:szCs w:val="23"/>
        </w:rPr>
        <w:br/>
      </w:r>
      <w:proofErr w:type="spellStart"/>
      <w:r w:rsidRPr="00C10E88">
        <w:rPr>
          <w:rFonts w:ascii="Georgia" w:eastAsia="Times New Roman" w:hAnsi="Georgia" w:cs="Times New Roman"/>
          <w:b/>
          <w:bCs/>
          <w:color w:val="535353"/>
          <w:sz w:val="23"/>
          <w:szCs w:val="23"/>
        </w:rPr>
        <w:t>RBA</w:t>
      </w:r>
      <w:proofErr w:type="spellEnd"/>
      <w:r w:rsidRPr="00C10E88">
        <w:rPr>
          <w:rFonts w:ascii="Georgia" w:eastAsia="Times New Roman" w:hAnsi="Georgia" w:cs="Times New Roman"/>
          <w:b/>
          <w:bCs/>
          <w:color w:val="535353"/>
          <w:sz w:val="23"/>
          <w:szCs w:val="23"/>
        </w:rPr>
        <w:t xml:space="preserve"> Monetary Policy Background Information http://www.rba.gov.au/</w:t>
      </w:r>
      <w:r w:rsidRPr="00C10E88">
        <w:rPr>
          <w:rFonts w:ascii="Georgia" w:eastAsia="Times New Roman" w:hAnsi="Georgia" w:cs="Times New Roman"/>
          <w:color w:val="535353"/>
          <w:sz w:val="23"/>
          <w:szCs w:val="23"/>
        </w:rPr>
        <w:br/>
        <w:t xml:space="preserve">The RBA board meets 11 times a year (not in January) at the RBA in Martin Place, Sydney. Prior to the meeting, board members are provided with analysis of the economy and the financial markets by the RBA staff (prepared by the Economic Analysis Department). Among these analyses are the bank’s forecasts of future inflation, as well as the likely future path of economic growth overseas and domestically. RBA monetary policy decisions are based on these analyses as well as a range of other macroeconomic assumptions. In addition, scenarios are provided as to the likely macroeconomic outcomes if monetary policy was adjusted. The RBA meeting occurs on the first Tuesday of each month. After much discussion, a consensus decision is reached as to whether to leave interest rate unchanged or to adjust these rates. The instrument that RBA uses is the cash rate and, if an adjustment is decided, it will be to adjust the cash rate by 0.25 per cent, 0.50 per cent or 1 per cent. The most common adjustments are 0.25 per cent and 0.50 per cent. Since the last decade, the adjustment has been at 0.25 percent. With the unfolding of GFC, the RBA monetary policy response has been to cut the cash rate six times since September 2008 and cuts have been as large as one per cent. These cuts were designed to help Australia avoid the </w:t>
      </w:r>
      <w:proofErr w:type="spellStart"/>
      <w:r w:rsidRPr="00C10E88">
        <w:rPr>
          <w:rFonts w:ascii="Georgia" w:eastAsia="Times New Roman" w:hAnsi="Georgia" w:cs="Times New Roman"/>
          <w:color w:val="535353"/>
          <w:sz w:val="23"/>
          <w:szCs w:val="23"/>
        </w:rPr>
        <w:t>synchronised</w:t>
      </w:r>
      <w:proofErr w:type="spellEnd"/>
      <w:r w:rsidRPr="00C10E88">
        <w:rPr>
          <w:rFonts w:ascii="Georgia" w:eastAsia="Times New Roman" w:hAnsi="Georgia" w:cs="Times New Roman"/>
          <w:color w:val="535353"/>
          <w:sz w:val="23"/>
          <w:szCs w:val="23"/>
        </w:rPr>
        <w:t xml:space="preserve"> international recession, which hit all of the major economies in the 2008-2010 period. While making official interest rate decision RBA takes into account domestic and international macroeconomic factors (related to major trading partners) such as inflation unemployment, GDP growth rate, exchange rate, government debt, current account deficit, housing market, international trade mining and manufacturing sectors. 3 Once the decision is made, the RBA Governor announces its decision and, if a rate adjustment is made, banks will potentially make changes to their interest rates the following day. RBA also publishes the minutes of its Board meetings two weeks after each meeting and provides quarterly statement on the Monetary Policy. The RBA does not set this interest rate (as the commercial bank sets its mortgage rate), but it continuously influences the rate through its daily financial operations in the money markets. If the RBA buys Treasury notes, the supply of excess reserves in the banking system increases and the cash rate falls. If the RBA sells Treasury notes, the supply of excess reserves in the banking system decreases and </w:t>
      </w:r>
      <w:r w:rsidRPr="00C10E88">
        <w:rPr>
          <w:rFonts w:ascii="Georgia" w:eastAsia="Times New Roman" w:hAnsi="Georgia" w:cs="Times New Roman"/>
          <w:color w:val="535353"/>
          <w:sz w:val="23"/>
          <w:szCs w:val="23"/>
        </w:rPr>
        <w:lastRenderedPageBreak/>
        <w:t>the cash rate increases. Because of these changes in the cash rate, interest rates in general are influenced. In May 2015, RBA cut the official interest rate to 2.0 percent, which remained unchanged for a year. In May 2016, RBA governor announced a cut in cash rate by 0.25 basis point, to 1.75 percent, which remained unchanged until August 2016. The official cash rate since August 2016 has been at the historical low of 1.50 percent for 28 months until December 2018.</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Media Release Statement by Philip Lowe, Governor: Monetary Policy Decision Date 4- December-2018 https://www.rba.gov.au/media-releases/2018/mr-18-31.html</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At its meeting today, the Board decided to leave the cash rate unchanged at 1.50 per cent.</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The global economic expansion is continuing and unemployment rates in most advanced economies are low. There are, however, some signs of a slowdown in global trade, partly stemming from ongoing trade tensions. Growth in China has slowed a little, with the authorities easing policy while continuing to pay close attention to the risks in the financial sector. Globally, inflation remains low, although it has increased due to the earlier lift in oil prices and faster wages growth. A further pick-up in core inflation is expected given the tight </w:t>
      </w:r>
      <w:proofErr w:type="spellStart"/>
      <w:r w:rsidRPr="00C10E88">
        <w:rPr>
          <w:rFonts w:ascii="Georgia" w:eastAsia="Times New Roman" w:hAnsi="Georgia" w:cs="Times New Roman"/>
          <w:color w:val="535353"/>
          <w:sz w:val="23"/>
          <w:szCs w:val="23"/>
        </w:rPr>
        <w:t>labour</w:t>
      </w:r>
      <w:proofErr w:type="spellEnd"/>
      <w:r w:rsidRPr="00C10E88">
        <w:rPr>
          <w:rFonts w:ascii="Georgia" w:eastAsia="Times New Roman" w:hAnsi="Georgia" w:cs="Times New Roman"/>
          <w:color w:val="535353"/>
          <w:sz w:val="23"/>
          <w:szCs w:val="23"/>
        </w:rPr>
        <w:t xml:space="preserve"> markets and, in the United States, the sizeable fiscal stimulus.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Financial conditions in the advanced economies remain expansionary but have tightened somewhat. Equity prices have declined and credit spreads have moved a little higher. There has also been a broad-based appreciation of the US dollar this year. In Australia, money-market interest rates have declined, after increasing earlier in the year. Standard variable mortgage rates are a little higher than a few months ago and the rates charged to new borrowers for housing are generally lower than for outstanding loans.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The Australian economy is performing well. The central scenario is for GDP growth to average around 3½ per cent over this year and next, before slowing in 2020 due to slower growth in exports of resources. Business conditions are positive and non-mining business investment is expected to increase. Higher levels of public infrastructure investment are also supporting the economy, as is growth in resource exports. One continuing source of uncertainty is the outlook for household consumption. Growth in household income remains low, debt levels are high and some asset prices have declined. The drought has led to difficult conditions in parts of the farm sector.</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Australia's terms of trade have increased over the past couple of years and have been stronger than earlier expected. This has helped boost national income. Most commodity prices, however, have declined recently, with oil prices falling significantly. The Australian dollar remains within the range that it has been in over the past two years on a trade-weighted basis.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The outlook for the </w:t>
      </w:r>
      <w:proofErr w:type="spellStart"/>
      <w:r w:rsidRPr="00C10E88">
        <w:rPr>
          <w:rFonts w:ascii="Georgia" w:eastAsia="Times New Roman" w:hAnsi="Georgia" w:cs="Times New Roman"/>
          <w:color w:val="535353"/>
          <w:sz w:val="23"/>
          <w:szCs w:val="23"/>
        </w:rPr>
        <w:t>labour</w:t>
      </w:r>
      <w:proofErr w:type="spellEnd"/>
      <w:r w:rsidRPr="00C10E88">
        <w:rPr>
          <w:rFonts w:ascii="Georgia" w:eastAsia="Times New Roman" w:hAnsi="Georgia" w:cs="Times New Roman"/>
          <w:color w:val="535353"/>
          <w:sz w:val="23"/>
          <w:szCs w:val="23"/>
        </w:rPr>
        <w:t xml:space="preserve"> market remains positive. The unemployment rate is 5 per cent, the lowest in six years. With the economy expected to continue to grow above trend, a further reduction in the unemployment rate is likely. The vacancy rate is high and there are reports of skills shortages in some areas. The stronger </w:t>
      </w:r>
      <w:proofErr w:type="spellStart"/>
      <w:r w:rsidRPr="00C10E88">
        <w:rPr>
          <w:rFonts w:ascii="Georgia" w:eastAsia="Times New Roman" w:hAnsi="Georgia" w:cs="Times New Roman"/>
          <w:color w:val="535353"/>
          <w:sz w:val="23"/>
          <w:szCs w:val="23"/>
        </w:rPr>
        <w:t>labour</w:t>
      </w:r>
      <w:proofErr w:type="spellEnd"/>
      <w:r w:rsidRPr="00C10E88">
        <w:rPr>
          <w:rFonts w:ascii="Georgia" w:eastAsia="Times New Roman" w:hAnsi="Georgia" w:cs="Times New Roman"/>
          <w:color w:val="535353"/>
          <w:sz w:val="23"/>
          <w:szCs w:val="23"/>
        </w:rPr>
        <w:t xml:space="preserve"> market has led to some pick-up in wages growth, which is a welcome development. The improvement in the economy should see some further lift in wages growth over time, although this is still expected to be a gradual process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lastRenderedPageBreak/>
        <w:t>Inflation remains low and stable. Over the past year, CPI inflation was 1.9 per cent and in underlying terms, inflation was 1¾ per cent. Inflation is expected to pick up over the next couple of years, with the pick-up likely to be gradual. The central scenario is for inflation to be 2¼ per cent in 2019 and a bit higher in the following year.</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Conditions in the Sydney and Melbourne housing markets have continued to ease and nationwide measures of rent inflation remain low. Credit conditions for some borrowers are tighter than they have been for some time, with some lenders having a reduced appetite to lend. The demand for credit by investors in the housing market has slowed noticeably as the dynamics of the housing market have changed. Growth in credit extended to owner-occupiers has eased to an </w:t>
      </w:r>
      <w:proofErr w:type="spellStart"/>
      <w:r w:rsidRPr="00C10E88">
        <w:rPr>
          <w:rFonts w:ascii="Georgia" w:eastAsia="Times New Roman" w:hAnsi="Georgia" w:cs="Times New Roman"/>
          <w:color w:val="535353"/>
          <w:sz w:val="23"/>
          <w:szCs w:val="23"/>
        </w:rPr>
        <w:t>annualised</w:t>
      </w:r>
      <w:proofErr w:type="spellEnd"/>
      <w:r w:rsidRPr="00C10E88">
        <w:rPr>
          <w:rFonts w:ascii="Georgia" w:eastAsia="Times New Roman" w:hAnsi="Georgia" w:cs="Times New Roman"/>
          <w:color w:val="535353"/>
          <w:sz w:val="23"/>
          <w:szCs w:val="23"/>
        </w:rPr>
        <w:t xml:space="preserve"> pace of 5–6 per cent. Mortgage rates remain low, with competition strongest for borrowers of high credit quality.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The low level of interest rates is continuing to support the Australian economy. Further progress in reducing unemployment and having inflation return to target is expected, although this progress is likely to be gradual. Taking account of the available information, the Board judged that holding the stance of monetary policy unchanged at this meeting would be consistent with sustainable growth in the economy and achieving the inflation target over time.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Suggested structure and guiding questions for your case study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Introduction:</w:t>
      </w:r>
      <w:r w:rsidRPr="00C10E88">
        <w:rPr>
          <w:rFonts w:ascii="Georgia" w:eastAsia="Times New Roman" w:hAnsi="Georgia" w:cs="Times New Roman"/>
          <w:color w:val="535353"/>
          <w:sz w:val="23"/>
          <w:szCs w:val="23"/>
        </w:rPr>
        <w:t> Provide an introduction about the case.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Question 1:</w:t>
      </w:r>
      <w:r w:rsidRPr="00C10E88">
        <w:rPr>
          <w:rFonts w:ascii="Georgia" w:eastAsia="Times New Roman" w:hAnsi="Georgia" w:cs="Times New Roman"/>
          <w:color w:val="535353"/>
          <w:sz w:val="23"/>
          <w:szCs w:val="23"/>
        </w:rPr>
        <w:t> Explain the main objectives of monetary policy. List and describe the key functions of money and the Reserve Bank of Australia.</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Question 2:</w:t>
      </w:r>
      <w:r w:rsidRPr="00C10E88">
        <w:rPr>
          <w:rFonts w:ascii="Georgia" w:eastAsia="Times New Roman" w:hAnsi="Georgia" w:cs="Times New Roman"/>
          <w:color w:val="535353"/>
          <w:sz w:val="23"/>
          <w:szCs w:val="23"/>
        </w:rPr>
        <w:t> Illustrate and explain using the money market equilibrium model and monetary transmission mechanism how an increase in the cash rate from 1.5% to 2% would help to keep inflation within the target rate, and how a further decrease from 1.5% to 1 % in the cash rate would help to stimulate the economy.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Question 3:</w:t>
      </w:r>
      <w:r w:rsidRPr="00C10E88">
        <w:rPr>
          <w:rFonts w:ascii="Georgia" w:eastAsia="Times New Roman" w:hAnsi="Georgia" w:cs="Times New Roman"/>
          <w:color w:val="535353"/>
          <w:sz w:val="23"/>
          <w:szCs w:val="23"/>
        </w:rPr>
        <w:t> Why does the RBA takes into account the domestic (Australian) and global (China, Japan, and USA) macroeconomic indicators (GDP growth rate, investment, household consumption, inflation, unemployment, and exchange rate) when making a decision whether to change (increase or decrease) or keep the official cash rate unchanged? Explain. In particular, discuss the effect on household consumption, business investment, GDP, inflation and housing market. Describe the circumstances in which the RBA Board might increase the cash rate.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Note:</w:t>
      </w:r>
      <w:r w:rsidRPr="00C10E88">
        <w:rPr>
          <w:rFonts w:ascii="Georgia" w:eastAsia="Times New Roman" w:hAnsi="Georgia" w:cs="Times New Roman"/>
          <w:color w:val="535353"/>
          <w:sz w:val="23"/>
          <w:szCs w:val="23"/>
        </w:rPr>
        <w:t> Use GDP, unemployment, inflation, and housing market statistics, which can be obtained from the Australian Bureau of Statistics and RBA websites for the last 5 years to see the trends and reasons, when answering this question.</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Question 4:</w:t>
      </w:r>
      <w:r w:rsidRPr="00C10E88">
        <w:rPr>
          <w:rFonts w:ascii="Georgia" w:eastAsia="Times New Roman" w:hAnsi="Georgia" w:cs="Times New Roman"/>
          <w:color w:val="535353"/>
          <w:sz w:val="23"/>
          <w:szCs w:val="23"/>
        </w:rPr>
        <w:t xml:space="preserve"> On 4-December-2018, the Governor of the RBA, </w:t>
      </w:r>
      <w:proofErr w:type="spellStart"/>
      <w:r w:rsidRPr="00C10E88">
        <w:rPr>
          <w:rFonts w:ascii="Georgia" w:eastAsia="Times New Roman" w:hAnsi="Georgia" w:cs="Times New Roman"/>
          <w:color w:val="535353"/>
          <w:sz w:val="23"/>
          <w:szCs w:val="23"/>
        </w:rPr>
        <w:t>Dr</w:t>
      </w:r>
      <w:proofErr w:type="spellEnd"/>
      <w:r w:rsidRPr="00C10E88">
        <w:rPr>
          <w:rFonts w:ascii="Georgia" w:eastAsia="Times New Roman" w:hAnsi="Georgia" w:cs="Times New Roman"/>
          <w:color w:val="535353"/>
          <w:sz w:val="23"/>
          <w:szCs w:val="23"/>
        </w:rPr>
        <w:t xml:space="preserve"> Philip Lowe, decided to leave the official cash rate unchanged at 1.50 percent as house prices continue to fall. Why did the RBA keep the cash rate unchanged for the last 28 months? Justify your answer with </w:t>
      </w:r>
      <w:r w:rsidRPr="00C10E88">
        <w:rPr>
          <w:rFonts w:ascii="Georgia" w:eastAsia="Times New Roman" w:hAnsi="Georgia" w:cs="Times New Roman"/>
          <w:color w:val="535353"/>
          <w:sz w:val="23"/>
          <w:szCs w:val="23"/>
        </w:rPr>
        <w:lastRenderedPageBreak/>
        <w:t>reasons and evidence. (Note: information found in detail monthly minutes of RBA) https://www.rba.gov.au/monetary-policy/rba-board-minutes/2018/</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Question 5:</w:t>
      </w:r>
      <w:r w:rsidRPr="00C10E88">
        <w:rPr>
          <w:rFonts w:ascii="Georgia" w:eastAsia="Times New Roman" w:hAnsi="Georgia" w:cs="Times New Roman"/>
          <w:color w:val="535353"/>
          <w:sz w:val="23"/>
          <w:szCs w:val="23"/>
        </w:rPr>
        <w:t> Define economic growth. What are the determinants of long-run economic growth? Is the historically low interest rate of 1.50 percent (from August 2016 until the now) sustainable to achieve long-run economic growth? Yes/No, justify your answer with reasons. Note: Students need to give their own views supported and justified by several references and examples.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Conclusion:</w:t>
      </w:r>
      <w:r w:rsidRPr="00C10E88">
        <w:rPr>
          <w:rFonts w:ascii="Georgia" w:eastAsia="Times New Roman" w:hAnsi="Georgia" w:cs="Times New Roman"/>
          <w:color w:val="535353"/>
          <w:sz w:val="23"/>
          <w:szCs w:val="23"/>
        </w:rPr>
        <w:t> Provide an overarching conclusion to the case.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Reference list:</w:t>
      </w:r>
      <w:r w:rsidRPr="00C10E88">
        <w:rPr>
          <w:rFonts w:ascii="Georgia" w:eastAsia="Times New Roman" w:hAnsi="Georgia" w:cs="Times New Roman"/>
          <w:color w:val="535353"/>
          <w:sz w:val="23"/>
          <w:szCs w:val="23"/>
        </w:rPr>
        <w:t> Use in text citations within your paper to refer to these references.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NOTE:</w:t>
      </w:r>
      <w:r w:rsidRPr="00C10E88">
        <w:rPr>
          <w:rFonts w:ascii="Georgia" w:eastAsia="Times New Roman" w:hAnsi="Georgia" w:cs="Times New Roman"/>
          <w:color w:val="535353"/>
          <w:sz w:val="23"/>
          <w:szCs w:val="23"/>
        </w:rPr>
        <w:t> Please check the marking rubric provided for the case study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7"/>
          <w:szCs w:val="27"/>
        </w:rPr>
      </w:pPr>
      <w:r w:rsidRPr="00C10E88">
        <w:rPr>
          <w:rFonts w:ascii="Georgia" w:eastAsia="Times New Roman" w:hAnsi="Georgia" w:cs="Times New Roman"/>
          <w:b/>
          <w:bCs/>
          <w:color w:val="535353"/>
          <w:sz w:val="27"/>
          <w:szCs w:val="27"/>
        </w:rPr>
        <w:t>Answer</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Executive Summary</w:t>
      </w:r>
      <w:r w:rsidRPr="00C10E88">
        <w:rPr>
          <w:rFonts w:ascii="Georgia" w:eastAsia="Times New Roman" w:hAnsi="Georgia" w:cs="Times New Roman"/>
          <w:color w:val="535353"/>
          <w:sz w:val="23"/>
          <w:szCs w:val="23"/>
        </w:rPr>
        <w:br/>
        <w:t xml:space="preserve">The terms of trade in Australia has enhanced over the past two years and stronger as expected. This has enabled to boost the national income. Further, the Australia dollar remained under a range thereby </w:t>
      </w:r>
      <w:proofErr w:type="spellStart"/>
      <w:r w:rsidRPr="00C10E88">
        <w:rPr>
          <w:rFonts w:ascii="Georgia" w:eastAsia="Times New Roman" w:hAnsi="Georgia" w:cs="Times New Roman"/>
          <w:color w:val="535353"/>
          <w:sz w:val="23"/>
          <w:szCs w:val="23"/>
        </w:rPr>
        <w:t>signalling</w:t>
      </w:r>
      <w:proofErr w:type="spellEnd"/>
      <w:r w:rsidRPr="00C10E88">
        <w:rPr>
          <w:rFonts w:ascii="Georgia" w:eastAsia="Times New Roman" w:hAnsi="Georgia" w:cs="Times New Roman"/>
          <w:color w:val="535353"/>
          <w:sz w:val="23"/>
          <w:szCs w:val="23"/>
        </w:rPr>
        <w:t xml:space="preserve"> that the economy is performing well. The overall report rests upon the monetary policy, and the role played by the RBA. The report initiates with the introduction followed by the main functions of monetary policy and role performed by RBA. Further, the money market equilibrium is then discussed and progresses towards the discussion of the cash rate. Moreover, the debate spread to the unchanged cash rate. Lastly, economic growth is considered and defined.</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Introduction</w:t>
      </w:r>
      <w:r w:rsidRPr="00C10E88">
        <w:rPr>
          <w:rFonts w:ascii="Georgia" w:eastAsia="Times New Roman" w:hAnsi="Georgia" w:cs="Times New Roman"/>
          <w:color w:val="535353"/>
          <w:sz w:val="23"/>
          <w:szCs w:val="23"/>
        </w:rPr>
        <w:br/>
      </w:r>
      <w:proofErr w:type="gramStart"/>
      <w:r w:rsidRPr="00C10E88">
        <w:rPr>
          <w:rFonts w:ascii="Georgia" w:eastAsia="Times New Roman" w:hAnsi="Georgia" w:cs="Times New Roman"/>
          <w:color w:val="535353"/>
          <w:sz w:val="23"/>
          <w:szCs w:val="23"/>
        </w:rPr>
        <w:t>The</w:t>
      </w:r>
      <w:proofErr w:type="gramEnd"/>
      <w:r w:rsidRPr="00C10E88">
        <w:rPr>
          <w:rFonts w:ascii="Georgia" w:eastAsia="Times New Roman" w:hAnsi="Georgia" w:cs="Times New Roman"/>
          <w:color w:val="535353"/>
          <w:sz w:val="23"/>
          <w:szCs w:val="23"/>
        </w:rPr>
        <w:t xml:space="preserve"> Reserve bank must ensure that the monetary policy is under control and the economy is devoid of undue pressure. The most important function is to attain the system of stability of price, full employment attainment of the economic prosperity. The RBA board meeting 11 times in a year and before the initiation of the meeting the board members are given the economic evaluation. The RBA monetary policy completely rests on such assessment. From the discussion, it is noted that the common adjustments undertaken are that of 0.25 percent. The cash rate of Australia stands at a historic low of 1.50 percent since 2016. In 2016, there was a cut in the cash rate by 0.25 basis point that remained unaltered till August 2016. From the case study, it is noted that the Board left the cash rate unchanged at 1.50 percent. This was because the economy of Australia is performing is a dangerous manner. Since the business condition is a positive and non-mining investment of business is expected to enhance. Hence, considering the overall factors the decision to leave the cash rate unchanged was justified.</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 xml:space="preserve">1. Objectives of monetary policy Macroeconomics Case </w:t>
      </w:r>
      <w:proofErr w:type="gramStart"/>
      <w:r w:rsidRPr="00C10E88">
        <w:rPr>
          <w:rFonts w:ascii="Georgia" w:eastAsia="Times New Roman" w:hAnsi="Georgia" w:cs="Times New Roman"/>
          <w:b/>
          <w:bCs/>
          <w:color w:val="535353"/>
          <w:sz w:val="23"/>
          <w:szCs w:val="23"/>
        </w:rPr>
        <w:t>Study :</w:t>
      </w:r>
      <w:proofErr w:type="gramEnd"/>
      <w:r w:rsidRPr="00C10E88">
        <w:rPr>
          <w:rFonts w:ascii="Georgia" w:eastAsia="Times New Roman" w:hAnsi="Georgia" w:cs="Times New Roman"/>
          <w:color w:val="535353"/>
          <w:sz w:val="23"/>
          <w:szCs w:val="23"/>
        </w:rPr>
        <w:t xml:space="preserve"> Monetary policy can be defined as that mechanism that helps in ensuring an operation that is effective and pertains to the economic system or set of specific aims through the influence on the supply, cost, as well as money availability. By monetary policy, it can be said that conscious action is undertaken by the monetary authorities to alter the quantity, availability or money cost. The monetary policy in the developed economies, function as a stabilizer and helps in </w:t>
      </w:r>
      <w:r w:rsidRPr="00C10E88">
        <w:rPr>
          <w:rFonts w:ascii="Georgia" w:eastAsia="Times New Roman" w:hAnsi="Georgia" w:cs="Times New Roman"/>
          <w:color w:val="535353"/>
          <w:sz w:val="23"/>
          <w:szCs w:val="23"/>
        </w:rPr>
        <w:lastRenderedPageBreak/>
        <w:t>maintaining proper equilibrium. While in the case of underdeveloped countries, the monetary system is more pronounced that assists in meeting the need of the economy that is expanding that creates a proper condition for the progress of the economy. It is ascertained that monetary policy acts as a potent tool when it comes to the concept of transformation of the economy (RBA, 2018). The objectives of the monetary system are as follows: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The rapid growth of the economy – </w:t>
      </w:r>
      <w:r w:rsidRPr="00C10E88">
        <w:rPr>
          <w:rFonts w:ascii="Georgia" w:eastAsia="Times New Roman" w:hAnsi="Georgia" w:cs="Times New Roman"/>
          <w:color w:val="535353"/>
          <w:sz w:val="23"/>
          <w:szCs w:val="23"/>
        </w:rPr>
        <w:t>It can be defined as the main aim of the monetary policy. It enhances the growth of the economy by the control of the real interest rate and the impact on the investment. If the RBI considers a cheap or easy credit policy by lessening the interest rate, the investment level can be enhanced. The enhanced investment leads to acceleration of economic growth (</w:t>
      </w:r>
      <w:proofErr w:type="spellStart"/>
      <w:r w:rsidRPr="00C10E88">
        <w:rPr>
          <w:rFonts w:ascii="Georgia" w:eastAsia="Times New Roman" w:hAnsi="Georgia" w:cs="Times New Roman"/>
          <w:color w:val="535353"/>
          <w:sz w:val="23"/>
          <w:szCs w:val="23"/>
        </w:rPr>
        <w:t>Pennings</w:t>
      </w:r>
      <w:proofErr w:type="spellEnd"/>
      <w:r w:rsidRPr="00C10E88">
        <w:rPr>
          <w:rFonts w:ascii="Georgia" w:eastAsia="Times New Roman" w:hAnsi="Georgia" w:cs="Times New Roman"/>
          <w:color w:val="535353"/>
          <w:sz w:val="23"/>
          <w:szCs w:val="23"/>
        </w:rPr>
        <w:t xml:space="preserve"> et. al, 2015). Faster economic growth can be possible when the monetary policy maintains stability regarding income and price.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Stability of price -</w:t>
      </w:r>
      <w:r w:rsidRPr="00C10E88">
        <w:rPr>
          <w:rFonts w:ascii="Georgia" w:eastAsia="Times New Roman" w:hAnsi="Georgia" w:cs="Times New Roman"/>
          <w:color w:val="535353"/>
          <w:sz w:val="23"/>
          <w:szCs w:val="23"/>
        </w:rPr>
        <w:t> Economic scenario is prone to inflation, as well as deflation. It is even termed as price instability. Both increases prove to be a disadvantage to the economy as a whole. Therefore, the monetary policy has the sole motto to stabilize the prices in the economy and try to keep the value of money stable in nature (</w:t>
      </w:r>
      <w:proofErr w:type="spellStart"/>
      <w:r w:rsidRPr="00C10E88">
        <w:rPr>
          <w:rFonts w:ascii="Georgia" w:eastAsia="Times New Roman" w:hAnsi="Georgia" w:cs="Times New Roman"/>
          <w:color w:val="535353"/>
          <w:sz w:val="23"/>
          <w:szCs w:val="23"/>
        </w:rPr>
        <w:t>Pennings</w:t>
      </w:r>
      <w:proofErr w:type="spellEnd"/>
      <w:r w:rsidRPr="00C10E88">
        <w:rPr>
          <w:rFonts w:ascii="Georgia" w:eastAsia="Times New Roman" w:hAnsi="Georgia" w:cs="Times New Roman"/>
          <w:color w:val="535353"/>
          <w:sz w:val="23"/>
          <w:szCs w:val="23"/>
        </w:rPr>
        <w:t xml:space="preserve"> et. al, 2015).</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Money can be ascertained and commented on having three major function that is the medium of exchange, store of value and the unit of account.</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The medium of exchange -</w:t>
      </w:r>
      <w:r w:rsidRPr="00C10E88">
        <w:rPr>
          <w:rFonts w:ascii="Georgia" w:eastAsia="Times New Roman" w:hAnsi="Georgia" w:cs="Times New Roman"/>
          <w:color w:val="535353"/>
          <w:sz w:val="23"/>
          <w:szCs w:val="23"/>
        </w:rPr>
        <w:t> Money’s vital function is to enhance the transactions and hence, termed as a medium of exchange. It leads to the abolition of barter where ample difficulties were observed regarding exchange value. Money in an effective manner eliminates the double presence of want by acting as a medium of exchange and is accepted by every party irrespective of the desire of goods and services (Watson, 2018).</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Money neutrality -</w:t>
      </w:r>
      <w:r w:rsidRPr="00C10E88">
        <w:rPr>
          <w:rFonts w:ascii="Georgia" w:eastAsia="Times New Roman" w:hAnsi="Georgia" w:cs="Times New Roman"/>
          <w:color w:val="535353"/>
          <w:sz w:val="23"/>
          <w:szCs w:val="23"/>
        </w:rPr>
        <w:t> The main aim of the money is to have neutrality in the economic scenario. It is of the opinion that the authority of money should direct towards money neutrality in the economy. Commercial alterations happen due to the presence of monetary change (RBA, 2018).</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Stability of exchange-</w:t>
      </w:r>
      <w:r w:rsidRPr="00C10E88">
        <w:rPr>
          <w:rFonts w:ascii="Georgia" w:eastAsia="Times New Roman" w:hAnsi="Georgia" w:cs="Times New Roman"/>
          <w:color w:val="535353"/>
          <w:sz w:val="23"/>
          <w:szCs w:val="23"/>
        </w:rPr>
        <w:t> Monetary authority mainly resides on the exchange stability, and it needs to be noted that the instability in the rate of exchange can lead to significant issues resulting in the adverse balance of payments. Hence, stable transfer plays a vital role regarding international trade. A steady rate of exchange helps in maintaining international trade. Therefore, it is evident that the equilibrium needs to be kept in the country so that fluctuations or deviation does not happen.</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It is the primary function of the Reserve Bank of Australia to ensure that the monetary, as well as banking policy, should be directed in a fashion that will help in stabilizing the currency of Australia, maintenance of full employment and the overall economic prosperity (Mankiw et. al, 2011).</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Further, the Reserve Bank strives to promote the total stability of the financial system that aims to reduce the stake of the financial complexities that contains major effects and respond to the financial system disturbances. The bank has to work on such disturbances in collaboration with other agencies (Mankiw et. al, 2011). Further, the Reserve bank design </w:t>
      </w:r>
      <w:r w:rsidRPr="00C10E88">
        <w:rPr>
          <w:rFonts w:ascii="Georgia" w:eastAsia="Times New Roman" w:hAnsi="Georgia" w:cs="Times New Roman"/>
          <w:color w:val="535353"/>
          <w:sz w:val="23"/>
          <w:szCs w:val="23"/>
        </w:rPr>
        <w:lastRenderedPageBreak/>
        <w:t>produces, as well as issue banknotes with the primary objective of ensuring public confidence in notes that is considered as a significant payment scheme and ensures storage of wealth. Moreover, it even provides banking services of specialized nature to the government, as well as foreign official institutions. It contains payments, as well as collections and other forms of maintenance.</w:t>
      </w:r>
    </w:p>
    <w:p w:rsidR="00C10E88" w:rsidRPr="00C10E88" w:rsidRDefault="00C10E88" w:rsidP="00C10E88">
      <w:pPr>
        <w:shd w:val="clear" w:color="auto" w:fill="FFFFFF"/>
        <w:spacing w:after="100" w:afterAutospacing="1" w:line="240" w:lineRule="auto"/>
        <w:jc w:val="center"/>
        <w:rPr>
          <w:rFonts w:ascii="Arial" w:eastAsia="Times New Roman" w:hAnsi="Arial" w:cs="Arial"/>
          <w:color w:val="535353"/>
          <w:sz w:val="23"/>
          <w:szCs w:val="23"/>
        </w:rPr>
      </w:pPr>
      <w:r w:rsidRPr="00C10E88">
        <w:rPr>
          <w:rFonts w:ascii="Arial" w:eastAsia="Times New Roman" w:hAnsi="Arial" w:cs="Arial"/>
          <w:noProof/>
          <w:color w:val="535353"/>
          <w:sz w:val="23"/>
          <w:szCs w:val="23"/>
        </w:rPr>
        <mc:AlternateContent>
          <mc:Choice Requires="wps">
            <w:drawing>
              <wp:inline distT="0" distB="0" distL="0" distR="0">
                <wp:extent cx="304800" cy="304800"/>
                <wp:effectExtent l="0" t="0" r="0" b="0"/>
                <wp:docPr id="1" name="Rectangle 1" descr="rba interest rate case stud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2A2FF5" id="Rectangle 1" o:spid="_x0000_s1026" alt="rba interest rate case stud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CBz+I/JAgAA3AUAAA4AAAAAAAAAAAAAAAAALgIAAGRycy9lMm9Eb2MueG1sUEsBAi0AFAAG&#10;AAgAAAAhAEyg6SzYAAAAAwEAAA8AAAAAAAAAAAAAAAAAIwUAAGRycy9kb3ducmV2LnhtbFBLBQYA&#10;AAAABAAEAPMAAAAoBgAAAAA=&#10;" filled="f" stroked="f">
                <o:lock v:ext="edit" aspectratio="t"/>
                <w10:anchorlock/>
              </v:rect>
            </w:pict>
          </mc:Fallback>
        </mc:AlternateConten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2. Money market equilibrium model: </w:t>
      </w:r>
      <w:r w:rsidRPr="00C10E88">
        <w:rPr>
          <w:rFonts w:ascii="Georgia" w:eastAsia="Times New Roman" w:hAnsi="Georgia" w:cs="Times New Roman"/>
          <w:color w:val="535353"/>
          <w:sz w:val="23"/>
          <w:szCs w:val="23"/>
        </w:rPr>
        <w:t>Transmission mechanism can be explained as that procedure by which decisions based on monetary policy can play a vital role in influencing the pricing level and economy on the whole. Further, transmission of monetary policy can be explained as to how any variation in the rate of cash can influence the business and household interest rates, inflation, and employment on the whole. Moreover, such transmission can assist the Reserve Bank in evaluating all future and present economic developments that also includes the establishment of effective monetary policies. Nevertheless, a central bank can play a vital part in the determination of interest rates at which the overall banking system attains resources.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This can affect the rate of deposits and lending together with variables like prices of assets and exchange rates. Further, the decisions on the Monetary Policy Macroeconomics Case Study also influence future inflation anticipations (Mankiw et. al, 2011). Overall, exchange rates, a rate of interests, prices of assets, etc. can pursue a powerful impact on decisions based on investment and saving, overall demand and supply, etc. Therefore, when the total demand is lesser than the global supply, there will be a declining impact on the prices and vice-versa. In general, such a transmission mechanism can be explained as a complicated web of several financial transactions wherein it is problematic to quantify the impact of decisions of monetary policy on the level of price and the overall economy. Nonetheless, considering the loopholes in the process of transmission, any variations in the monetary policy made today can affect the level of pricing after years or months.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The central banks must also be capable of ascertaining what policy stance is required in the current phase to sustain the stagnancy of prices in the upcoming tenure. Moreover, considering the complications prevalent in the process of transmission, there exists a considerable element of unpredictability revolving around the size and timing of adjustment exaggerated by variations in the approach of monetary policy (</w:t>
      </w:r>
      <w:proofErr w:type="spellStart"/>
      <w:r w:rsidRPr="00C10E88">
        <w:rPr>
          <w:rFonts w:ascii="Georgia" w:eastAsia="Times New Roman" w:hAnsi="Georgia" w:cs="Times New Roman"/>
          <w:color w:val="535353"/>
          <w:sz w:val="23"/>
          <w:szCs w:val="23"/>
        </w:rPr>
        <w:t>Dolamore</w:t>
      </w:r>
      <w:proofErr w:type="spellEnd"/>
      <w:r w:rsidRPr="00C10E88">
        <w:rPr>
          <w:rFonts w:ascii="Georgia" w:eastAsia="Times New Roman" w:hAnsi="Georgia" w:cs="Times New Roman"/>
          <w:color w:val="535353"/>
          <w:sz w:val="23"/>
          <w:szCs w:val="23"/>
        </w:rPr>
        <w:t>, 2018). Nevertheless, in this context, an orientation of medium-term is attractive in the scenario as it can assist in safeguarding unnecessary and irrelevant volatility in the entire economy. Nonetheless, when there is a lessening of cash rate by the Reserve Bank, other standards of interest in the whole economy also decline. Besides, lesser rates of interest also encourage spending. Further, businesses also react in such a situation by enhancing their production so that it can result in an increment of overall employment and activity. Hence, if demand is high, prices can be boosted, thereby resulting in more inflation.</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 xml:space="preserve">3. Factors that form part of the altering cash rate of the </w:t>
      </w:r>
      <w:proofErr w:type="gramStart"/>
      <w:r w:rsidRPr="00C10E88">
        <w:rPr>
          <w:rFonts w:ascii="Georgia" w:eastAsia="Times New Roman" w:hAnsi="Georgia" w:cs="Times New Roman"/>
          <w:b/>
          <w:bCs/>
          <w:color w:val="535353"/>
          <w:sz w:val="23"/>
          <w:szCs w:val="23"/>
        </w:rPr>
        <w:t>RBA :</w:t>
      </w:r>
      <w:proofErr w:type="gramEnd"/>
      <w:r w:rsidRPr="00C10E88">
        <w:rPr>
          <w:rFonts w:ascii="Georgia" w:eastAsia="Times New Roman" w:hAnsi="Georgia" w:cs="Times New Roman"/>
          <w:color w:val="535353"/>
          <w:sz w:val="23"/>
          <w:szCs w:val="23"/>
        </w:rPr>
        <w:t> The role of RBA (Reserve Bank of Australia) is to make sure that the welfare and economic prosperity of people are maintained, and monetary policy can serve as a significant tool in controlling inflation and encourage factors like sustenance of overall Australian employment, stagnancy of Australian currency, and welfare of the entire country on a whole (</w:t>
      </w:r>
      <w:proofErr w:type="spellStart"/>
      <w:r w:rsidRPr="00C10E88">
        <w:rPr>
          <w:rFonts w:ascii="Georgia" w:eastAsia="Times New Roman" w:hAnsi="Georgia" w:cs="Times New Roman"/>
          <w:color w:val="535353"/>
          <w:sz w:val="23"/>
          <w:szCs w:val="23"/>
        </w:rPr>
        <w:t>Dolamore</w:t>
      </w:r>
      <w:proofErr w:type="spellEnd"/>
      <w:r w:rsidRPr="00C10E88">
        <w:rPr>
          <w:rFonts w:ascii="Georgia" w:eastAsia="Times New Roman" w:hAnsi="Georgia" w:cs="Times New Roman"/>
          <w:color w:val="535353"/>
          <w:sz w:val="23"/>
          <w:szCs w:val="23"/>
        </w:rPr>
        <w:t>, 2018).</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lastRenderedPageBreak/>
        <w:t>Besides, considering the amount of money being rotated throughout the country, the RBA may either hold, increase, or lessen the rate of cash based on basis points so that demand can be increased or national spending can be restrained. Nevertheless, the factors taken into due consideration in this regard is as follows: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About the Australian economy, the Reserve Bank may look at factors such as:</w:t>
      </w:r>
    </w:p>
    <w:p w:rsidR="00C10E88" w:rsidRPr="00C10E88" w:rsidRDefault="00C10E88" w:rsidP="00C10E8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Consumer and business confidence- Lower consumer and business confidence can enhance the possibility of a cut in rates so that demand can be increased. Besides, less faith can transform into low growth and demand on a whole.</w:t>
      </w:r>
    </w:p>
    <w:p w:rsidR="00C10E88" w:rsidRPr="00C10E88" w:rsidRDefault="00C10E88" w:rsidP="00C10E8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 xml:space="preserve">Currency- </w:t>
      </w:r>
      <w:proofErr w:type="gramStart"/>
      <w:r w:rsidRPr="00C10E88">
        <w:rPr>
          <w:rFonts w:ascii="Georgia" w:eastAsia="Times New Roman" w:hAnsi="Georgia" w:cs="Arial"/>
          <w:color w:val="535353"/>
          <w:sz w:val="23"/>
          <w:szCs w:val="23"/>
        </w:rPr>
        <w:t>The</w:t>
      </w:r>
      <w:proofErr w:type="gramEnd"/>
      <w:r w:rsidRPr="00C10E88">
        <w:rPr>
          <w:rFonts w:ascii="Georgia" w:eastAsia="Times New Roman" w:hAnsi="Georgia" w:cs="Arial"/>
          <w:color w:val="535353"/>
          <w:sz w:val="23"/>
          <w:szCs w:val="23"/>
        </w:rPr>
        <w:t xml:space="preserve"> Reserve Bank can attempt to persuade the power of their money through their official rate of cash. Thus, if their rate of money is higher when compared to other countries, the dollar can be easily strengthened because all investors demanding yield can invest their funds within the state. Moreover, an almighty dollar is not good for the exporters while it is good for the importers.</w:t>
      </w:r>
    </w:p>
    <w:p w:rsidR="00C10E88" w:rsidRPr="00C10E88" w:rsidRDefault="00C10E88" w:rsidP="00C10E8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Household debt- Lesser rates of interest often endeavor in enhancing prices of houses in the capital city areas. Therefore, when ‘bubble’ is used, it means there are rises in prices of houses in the areas. Moreover, other factors like restrictions on lending for basic tightening of lending needs can be beneficial in controlling the entire housing industry (Watson, 2018).</w:t>
      </w:r>
    </w:p>
    <w:p w:rsidR="00C10E88" w:rsidRPr="00C10E88" w:rsidRDefault="00C10E88" w:rsidP="00C10E8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Inflation amounts- Higher the inflation, higher are the possibilities of increase in rate because the Reserve Bank can attempt to curb customer demands. Moreover, it also strives to maintain inflation of around two to three percent over the years.</w:t>
      </w:r>
    </w:p>
    <w:p w:rsidR="00C10E88" w:rsidRPr="00C10E88" w:rsidRDefault="00C10E88" w:rsidP="00C10E88">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color w:val="535353"/>
          <w:sz w:val="23"/>
          <w:szCs w:val="23"/>
        </w:rPr>
        <w:t>. Employment- Higher chances of unemployment also enhances the possibilities of cut in rates because the same can increase investment, business spending, etc.</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b. Global economic situation:</w:t>
      </w:r>
      <w:r w:rsidRPr="00C10E88">
        <w:rPr>
          <w:rFonts w:ascii="Georgia" w:eastAsia="Times New Roman" w:hAnsi="Georgia" w:cs="Times New Roman"/>
          <w:color w:val="535353"/>
          <w:sz w:val="23"/>
          <w:szCs w:val="23"/>
        </w:rPr>
        <w:t xml:space="preserve"> The Reserve Bank must consider the efficacies of the overall international economy that includes how demand of consumers, international housing markets, and currencies have been progressing. Further, it would also take into consideration the power of countries like USA, China, and other European Countries for better evaluation (Sexton &amp; </w:t>
      </w:r>
      <w:proofErr w:type="spellStart"/>
      <w:r w:rsidRPr="00C10E88">
        <w:rPr>
          <w:rFonts w:ascii="Georgia" w:eastAsia="Times New Roman" w:hAnsi="Georgia" w:cs="Times New Roman"/>
          <w:color w:val="535353"/>
          <w:sz w:val="23"/>
          <w:szCs w:val="23"/>
        </w:rPr>
        <w:t>Fortura</w:t>
      </w:r>
      <w:proofErr w:type="spellEnd"/>
      <w:r w:rsidRPr="00C10E88">
        <w:rPr>
          <w:rFonts w:ascii="Georgia" w:eastAsia="Times New Roman" w:hAnsi="Georgia" w:cs="Times New Roman"/>
          <w:color w:val="535353"/>
          <w:sz w:val="23"/>
          <w:szCs w:val="23"/>
        </w:rPr>
        <w:t>, 2005).</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 xml:space="preserve">4. Cash Rate </w:t>
      </w:r>
      <w:proofErr w:type="gramStart"/>
      <w:r w:rsidRPr="00C10E88">
        <w:rPr>
          <w:rFonts w:ascii="Georgia" w:eastAsia="Times New Roman" w:hAnsi="Georgia" w:cs="Times New Roman"/>
          <w:b/>
          <w:bCs/>
          <w:color w:val="535353"/>
          <w:sz w:val="23"/>
          <w:szCs w:val="23"/>
        </w:rPr>
        <w:t>unchanged :</w:t>
      </w:r>
      <w:proofErr w:type="gramEnd"/>
      <w:r w:rsidRPr="00C10E88">
        <w:rPr>
          <w:rFonts w:ascii="Georgia" w:eastAsia="Times New Roman" w:hAnsi="Georgia" w:cs="Times New Roman"/>
          <w:color w:val="535353"/>
          <w:sz w:val="23"/>
          <w:szCs w:val="23"/>
        </w:rPr>
        <w:t> The cash rate was left unchanged by the Governor of the RBA for the last 28 months because an alteration in the interest rate affects interest on mortgage, savings and the overall health of the economy. The cash rate can be defined as the interest rate that the banks change every other on the overnight loans. Banks usually lend money to other banks every day so that daily cash needs can be managed (</w:t>
      </w:r>
      <w:proofErr w:type="spellStart"/>
      <w:r w:rsidRPr="00C10E88">
        <w:rPr>
          <w:rFonts w:ascii="Georgia" w:eastAsia="Times New Roman" w:hAnsi="Georgia" w:cs="Times New Roman"/>
          <w:color w:val="535353"/>
          <w:sz w:val="23"/>
          <w:szCs w:val="23"/>
        </w:rPr>
        <w:t>Bendel</w:t>
      </w:r>
      <w:proofErr w:type="spellEnd"/>
      <w:r w:rsidRPr="00C10E88">
        <w:rPr>
          <w:rFonts w:ascii="Georgia" w:eastAsia="Times New Roman" w:hAnsi="Georgia" w:cs="Times New Roman"/>
          <w:color w:val="535353"/>
          <w:sz w:val="23"/>
          <w:szCs w:val="23"/>
        </w:rPr>
        <w:t>, 2017). As the loans are present for the shortest term it is defined as the overnight funds and the interest charged is the overnight rate. Further, the cash rate is said to be the interest rate on the lowest term, and this is considered as the benchmark rate.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The RBA kept the cash rate stagnant because it wanted to keep the demand growth in flourish mode and the rate of inflation was seen at 1.9%. As the terms of trade in Australia was in a promising manner and stronger than the earlier times, the national income boosted. Further, commodity prices reduced and the costs of oil fell majorly. Hence, the Australian dollar remained at a range over the past few years. The positive outlook of the market further ensured that the cash rate remains unchanged. Instead of this, the governor of the RBA decided to settle the price. As the economy was in a growing trend, therefore, it was likely that the rate of unemployment will be low. Considering the factors, it can be </w:t>
      </w:r>
      <w:r w:rsidRPr="00C10E88">
        <w:rPr>
          <w:rFonts w:ascii="Georgia" w:eastAsia="Times New Roman" w:hAnsi="Georgia" w:cs="Times New Roman"/>
          <w:color w:val="535353"/>
          <w:sz w:val="23"/>
          <w:szCs w:val="23"/>
        </w:rPr>
        <w:lastRenderedPageBreak/>
        <w:t>commented that the stronger labor market proved to be of significant benefit for the overall development (</w:t>
      </w:r>
      <w:proofErr w:type="spellStart"/>
      <w:r w:rsidRPr="00C10E88">
        <w:rPr>
          <w:rFonts w:ascii="Georgia" w:eastAsia="Times New Roman" w:hAnsi="Georgia" w:cs="Times New Roman"/>
          <w:color w:val="535353"/>
          <w:sz w:val="23"/>
          <w:szCs w:val="23"/>
        </w:rPr>
        <w:t>Bendel</w:t>
      </w:r>
      <w:proofErr w:type="spellEnd"/>
      <w:r w:rsidRPr="00C10E88">
        <w:rPr>
          <w:rFonts w:ascii="Georgia" w:eastAsia="Times New Roman" w:hAnsi="Georgia" w:cs="Times New Roman"/>
          <w:color w:val="535353"/>
          <w:sz w:val="23"/>
          <w:szCs w:val="23"/>
        </w:rPr>
        <w:t>, 2017). The enhancement in the economy was the primary reason that the cash rate was left unchanged for the last 28 months. The cash rate is changed when the demand tends to be uncertain, and improvement is missing in the economy.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Further, it needs to be noted that the cash rate influences the likelihood of the business and household for the funding process. Overall, considering the position of the economy, it can be commented that the link between the exchange rate, inflation, as well as the cash rate is complicated. The cash rate is of pivotal importance when it comes to the consumer, as well as businesses as the cash rate movement can influence lending, as well as borrowing activities. Therefore, going by the position of the Australian economy, the inflation and other relevant factors the cash rate was left changed by the governor of the RBA.</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 xml:space="preserve">5. Economic </w:t>
      </w:r>
      <w:proofErr w:type="gramStart"/>
      <w:r w:rsidRPr="00C10E88">
        <w:rPr>
          <w:rFonts w:ascii="Georgia" w:eastAsia="Times New Roman" w:hAnsi="Georgia" w:cs="Times New Roman"/>
          <w:b/>
          <w:bCs/>
          <w:color w:val="535353"/>
          <w:sz w:val="23"/>
          <w:szCs w:val="23"/>
        </w:rPr>
        <w:t>growth :</w:t>
      </w:r>
      <w:proofErr w:type="gramEnd"/>
      <w:r w:rsidRPr="00C10E88">
        <w:rPr>
          <w:rFonts w:ascii="Georgia" w:eastAsia="Times New Roman" w:hAnsi="Georgia" w:cs="Times New Roman"/>
          <w:color w:val="535353"/>
          <w:sz w:val="23"/>
          <w:szCs w:val="23"/>
        </w:rPr>
        <w:t> Economic growth can be defined as an enhancement in the ability of an economy or country to produce goods and services when compared from one tenure to another. Such economic growth can be easily measurable in real or nominal terms, the former of which can be adjusted for inflation. Besides, it is also feasible to attain economic growth in the absence of an increased aggregate marginal productivity through additional higher rates of birth or immigration. Economic growth also has a ripple impact wherein by diversifying the entire economy; businesses can witness an increase in profits that means prices of stock rises as well (Mankiw &amp; Taylor, 2011). Such companies can then raise funds to invest more, thereby paving a path for adding further jobs to the entire workforce.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Long-run growth can be explained as the sustained increment in the overall quantity of services and goods that is produced by an economy. The Gross Domestic Product (GDP) of an economy is also closely interconnected with the growth of such population together with supply, demand, and prices. The major determinants of long-term growth are as follows:</w:t>
      </w:r>
    </w:p>
    <w:p w:rsidR="00C10E88" w:rsidRPr="00C10E88" w:rsidRDefault="00C10E88" w:rsidP="00C10E8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b/>
          <w:bCs/>
          <w:color w:val="535353"/>
          <w:sz w:val="23"/>
          <w:szCs w:val="23"/>
        </w:rPr>
        <w:t>Demographic alterations:</w:t>
      </w:r>
      <w:r w:rsidRPr="00C10E88">
        <w:rPr>
          <w:rFonts w:ascii="Georgia" w:eastAsia="Times New Roman" w:hAnsi="Georgia" w:cs="Arial"/>
          <w:color w:val="535353"/>
          <w:sz w:val="23"/>
          <w:szCs w:val="23"/>
        </w:rPr>
        <w:t> Demographic traits influence economic growth by altering the ratio of employment to population. Further, factors such as quality and quantity of prevalent natural resources are also included in this segment.</w:t>
      </w:r>
    </w:p>
    <w:p w:rsidR="00C10E88" w:rsidRPr="00C10E88" w:rsidRDefault="00C10E88" w:rsidP="00C10E8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b/>
          <w:bCs/>
          <w:color w:val="535353"/>
          <w:sz w:val="23"/>
          <w:szCs w:val="23"/>
        </w:rPr>
        <w:t>Productivity growth:</w:t>
      </w:r>
      <w:r w:rsidRPr="00C10E88">
        <w:rPr>
          <w:rFonts w:ascii="Georgia" w:eastAsia="Times New Roman" w:hAnsi="Georgia" w:cs="Arial"/>
          <w:color w:val="535353"/>
          <w:sz w:val="23"/>
          <w:szCs w:val="23"/>
        </w:rPr>
        <w:t xml:space="preserve"> This is the ratio of economic outputs to inputs such as materials, energy, </w:t>
      </w:r>
      <w:proofErr w:type="spellStart"/>
      <w:r w:rsidRPr="00C10E88">
        <w:rPr>
          <w:rFonts w:ascii="Georgia" w:eastAsia="Times New Roman" w:hAnsi="Georgia" w:cs="Arial"/>
          <w:color w:val="535353"/>
          <w:sz w:val="23"/>
          <w:szCs w:val="23"/>
        </w:rPr>
        <w:t>labour</w:t>
      </w:r>
      <w:proofErr w:type="spellEnd"/>
      <w:r w:rsidRPr="00C10E88">
        <w:rPr>
          <w:rFonts w:ascii="Georgia" w:eastAsia="Times New Roman" w:hAnsi="Georgia" w:cs="Arial"/>
          <w:color w:val="535353"/>
          <w:sz w:val="23"/>
          <w:szCs w:val="23"/>
        </w:rPr>
        <w:t xml:space="preserve">, capital, etc. Therefore, when there is an enhancement in productivity, the cost of goods is diminished, </w:t>
      </w:r>
      <w:proofErr w:type="gramStart"/>
      <w:r w:rsidRPr="00C10E88">
        <w:rPr>
          <w:rFonts w:ascii="Georgia" w:eastAsia="Times New Roman" w:hAnsi="Georgia" w:cs="Arial"/>
          <w:color w:val="535353"/>
          <w:sz w:val="23"/>
          <w:szCs w:val="23"/>
        </w:rPr>
        <w:t>Besides</w:t>
      </w:r>
      <w:proofErr w:type="gramEnd"/>
      <w:r w:rsidRPr="00C10E88">
        <w:rPr>
          <w:rFonts w:ascii="Georgia" w:eastAsia="Times New Roman" w:hAnsi="Georgia" w:cs="Arial"/>
          <w:color w:val="535353"/>
          <w:sz w:val="23"/>
          <w:szCs w:val="23"/>
        </w:rPr>
        <w:t>, lesser prices can enhance the demand for such products and services, thereby assisting in attaining maximum revenues (</w:t>
      </w:r>
      <w:proofErr w:type="spellStart"/>
      <w:r w:rsidRPr="00C10E88">
        <w:rPr>
          <w:rFonts w:ascii="Georgia" w:eastAsia="Times New Roman" w:hAnsi="Georgia" w:cs="Arial"/>
          <w:color w:val="535353"/>
          <w:sz w:val="23"/>
          <w:szCs w:val="23"/>
        </w:rPr>
        <w:t>Braeutigam</w:t>
      </w:r>
      <w:proofErr w:type="spellEnd"/>
      <w:r w:rsidRPr="00C10E88">
        <w:rPr>
          <w:rFonts w:ascii="Georgia" w:eastAsia="Times New Roman" w:hAnsi="Georgia" w:cs="Arial"/>
          <w:color w:val="535353"/>
          <w:sz w:val="23"/>
          <w:szCs w:val="23"/>
        </w:rPr>
        <w:t>, 2010).</w:t>
      </w:r>
    </w:p>
    <w:p w:rsidR="00C10E88" w:rsidRPr="00C10E88" w:rsidRDefault="00C10E88" w:rsidP="00C10E88">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C10E88">
        <w:rPr>
          <w:rFonts w:ascii="Georgia" w:eastAsia="Times New Roman" w:hAnsi="Georgia" w:cs="Arial"/>
          <w:b/>
          <w:bCs/>
          <w:color w:val="535353"/>
          <w:sz w:val="23"/>
          <w:szCs w:val="23"/>
        </w:rPr>
        <w:t xml:space="preserve">Participation or involvement of </w:t>
      </w:r>
      <w:proofErr w:type="spellStart"/>
      <w:r w:rsidRPr="00C10E88">
        <w:rPr>
          <w:rFonts w:ascii="Georgia" w:eastAsia="Times New Roman" w:hAnsi="Georgia" w:cs="Arial"/>
          <w:b/>
          <w:bCs/>
          <w:color w:val="535353"/>
          <w:sz w:val="23"/>
          <w:szCs w:val="23"/>
        </w:rPr>
        <w:t>labour</w:t>
      </w:r>
      <w:proofErr w:type="spellEnd"/>
      <w:r w:rsidRPr="00C10E88">
        <w:rPr>
          <w:rFonts w:ascii="Georgia" w:eastAsia="Times New Roman" w:hAnsi="Georgia" w:cs="Arial"/>
          <w:b/>
          <w:bCs/>
          <w:color w:val="535353"/>
          <w:sz w:val="23"/>
          <w:szCs w:val="23"/>
        </w:rPr>
        <w:t xml:space="preserve"> force:</w:t>
      </w:r>
      <w:r w:rsidRPr="00C10E88">
        <w:rPr>
          <w:rFonts w:ascii="Georgia" w:eastAsia="Times New Roman" w:hAnsi="Georgia" w:cs="Arial"/>
          <w:color w:val="535353"/>
          <w:sz w:val="23"/>
          <w:szCs w:val="23"/>
        </w:rPr>
        <w:t> This is another determinant of long-term growth wherein the amount of involvement of the labor force and the size of all economic sectors can persuade economic growth. Further, the participation of the labor force is the requisite number of available workers in the economy. Moreover, about countries that have higher industrialization and development, such involvement of the labor force is also higher owing to lesser death and birth rates.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Conventional wisdom has held that lower interest rates can allow entrepreneurs to be motivated toward borrowing so that they can invest in new productive abilities, thereby accelerating higher growth. Further, when lower interest rates of 1.50% have been prevalent in an economy, it would make more sense for the capital owners to gear up and invest their resources in existing assets like financial instruments or property instead of risking their funds in unspecific new ventures. Nevertheless, even though the anticipated returns may </w:t>
      </w:r>
      <w:r w:rsidRPr="00C10E88">
        <w:rPr>
          <w:rFonts w:ascii="Georgia" w:eastAsia="Times New Roman" w:hAnsi="Georgia" w:cs="Times New Roman"/>
          <w:color w:val="535353"/>
          <w:sz w:val="23"/>
          <w:szCs w:val="23"/>
        </w:rPr>
        <w:lastRenderedPageBreak/>
        <w:t>not be as appealing as desirable by the owners, but such leverage can motivate them, and the pay-off is attracting as well (</w:t>
      </w:r>
      <w:proofErr w:type="spellStart"/>
      <w:r w:rsidRPr="00C10E88">
        <w:rPr>
          <w:rFonts w:ascii="Georgia" w:eastAsia="Times New Roman" w:hAnsi="Georgia" w:cs="Times New Roman"/>
          <w:color w:val="535353"/>
          <w:sz w:val="23"/>
          <w:szCs w:val="23"/>
        </w:rPr>
        <w:t>Braeutigam</w:t>
      </w:r>
      <w:proofErr w:type="spellEnd"/>
      <w:r w:rsidRPr="00C10E88">
        <w:rPr>
          <w:rFonts w:ascii="Georgia" w:eastAsia="Times New Roman" w:hAnsi="Georgia" w:cs="Times New Roman"/>
          <w:color w:val="535353"/>
          <w:sz w:val="23"/>
          <w:szCs w:val="23"/>
        </w:rPr>
        <w:t>, 2010). Furthermore, based on the analysis of various economists, lower interest rates can assist in reigniting the overall housing market with investors surging back and capital gains increasing within the market. Such a lower interest rate can also help in tackling the risks of rising indebtedness level. Overall, long-term economic growth can be attained through such a lower interest rate.</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Conclusion</w:t>
      </w:r>
      <w:r w:rsidRPr="00C10E88">
        <w:rPr>
          <w:rFonts w:ascii="Georgia" w:eastAsia="Times New Roman" w:hAnsi="Georgia" w:cs="Times New Roman"/>
          <w:color w:val="535353"/>
          <w:sz w:val="23"/>
          <w:szCs w:val="23"/>
        </w:rPr>
        <w:br/>
        <w:t>From the overall discussion, it can be commented that the monetary policy of the country is an essential step towards the stabilization of the economy. It is one such action by the central bank that helps in macro-economic policy aims of low inflation and economic growth in a sustainable manner. The overall discussion relates to action taken by the Reserve bank of Australia in the financial market to attain the desired act of monetary policy. As Australia contains lower stance of inflation with labor market positive thereby, it is imperative that the monetary system was left unchanged.</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b/>
          <w:bCs/>
          <w:color w:val="535353"/>
          <w:sz w:val="23"/>
          <w:szCs w:val="23"/>
        </w:rPr>
        <w:t>References</w:t>
      </w:r>
      <w:r w:rsidRPr="00C10E88">
        <w:rPr>
          <w:rFonts w:ascii="Georgia" w:eastAsia="Times New Roman" w:hAnsi="Georgia" w:cs="Times New Roman"/>
          <w:color w:val="535353"/>
          <w:sz w:val="23"/>
          <w:szCs w:val="23"/>
        </w:rPr>
        <w:br/>
      </w:r>
      <w:proofErr w:type="spellStart"/>
      <w:r w:rsidRPr="00C10E88">
        <w:rPr>
          <w:rFonts w:ascii="Georgia" w:eastAsia="Times New Roman" w:hAnsi="Georgia" w:cs="Times New Roman"/>
          <w:color w:val="535353"/>
          <w:sz w:val="23"/>
          <w:szCs w:val="23"/>
        </w:rPr>
        <w:t>Bendel</w:t>
      </w:r>
      <w:proofErr w:type="spellEnd"/>
      <w:r w:rsidRPr="00C10E88">
        <w:rPr>
          <w:rFonts w:ascii="Georgia" w:eastAsia="Times New Roman" w:hAnsi="Georgia" w:cs="Times New Roman"/>
          <w:color w:val="535353"/>
          <w:sz w:val="23"/>
          <w:szCs w:val="23"/>
        </w:rPr>
        <w:t xml:space="preserve">, N. (2017) </w:t>
      </w:r>
      <w:proofErr w:type="gramStart"/>
      <w:r w:rsidRPr="00C10E88">
        <w:rPr>
          <w:rFonts w:ascii="Georgia" w:eastAsia="Times New Roman" w:hAnsi="Georgia" w:cs="Times New Roman"/>
          <w:color w:val="535353"/>
          <w:sz w:val="23"/>
          <w:szCs w:val="23"/>
        </w:rPr>
        <w:t>Why</w:t>
      </w:r>
      <w:proofErr w:type="gramEnd"/>
      <w:r w:rsidRPr="00C10E88">
        <w:rPr>
          <w:rFonts w:ascii="Georgia" w:eastAsia="Times New Roman" w:hAnsi="Georgia" w:cs="Times New Roman"/>
          <w:color w:val="535353"/>
          <w:sz w:val="23"/>
          <w:szCs w:val="23"/>
        </w:rPr>
        <w:t xml:space="preserve"> do banks change interest rates when the cash rate is steady? Available from: https://www.ratecity.com.au/home-loans/articles/banks-change-interest-rates-cash-rate-steady [Accessed 1 February 2019]</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C10E88">
        <w:rPr>
          <w:rFonts w:ascii="Georgia" w:eastAsia="Times New Roman" w:hAnsi="Georgia" w:cs="Times New Roman"/>
          <w:color w:val="535353"/>
          <w:sz w:val="23"/>
          <w:szCs w:val="23"/>
        </w:rPr>
        <w:t>Braeutigam</w:t>
      </w:r>
      <w:proofErr w:type="spellEnd"/>
      <w:r w:rsidRPr="00C10E88">
        <w:rPr>
          <w:rFonts w:ascii="Georgia" w:eastAsia="Times New Roman" w:hAnsi="Georgia" w:cs="Times New Roman"/>
          <w:color w:val="535353"/>
          <w:sz w:val="23"/>
          <w:szCs w:val="23"/>
        </w:rPr>
        <w:t xml:space="preserve">, R. (2010) Microeconomics (4th </w:t>
      </w:r>
      <w:proofErr w:type="gramStart"/>
      <w:r w:rsidRPr="00C10E88">
        <w:rPr>
          <w:rFonts w:ascii="Georgia" w:eastAsia="Times New Roman" w:hAnsi="Georgia" w:cs="Times New Roman"/>
          <w:color w:val="535353"/>
          <w:sz w:val="23"/>
          <w:szCs w:val="23"/>
        </w:rPr>
        <w:t>ed</w:t>
      </w:r>
      <w:proofErr w:type="gramEnd"/>
      <w:r w:rsidRPr="00C10E88">
        <w:rPr>
          <w:rFonts w:ascii="Georgia" w:eastAsia="Times New Roman" w:hAnsi="Georgia" w:cs="Times New Roman"/>
          <w:color w:val="535353"/>
          <w:sz w:val="23"/>
          <w:szCs w:val="23"/>
        </w:rPr>
        <w:t>.). Wiley.</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C10E88">
        <w:rPr>
          <w:rFonts w:ascii="Georgia" w:eastAsia="Times New Roman" w:hAnsi="Georgia" w:cs="Times New Roman"/>
          <w:color w:val="535353"/>
          <w:sz w:val="23"/>
          <w:szCs w:val="23"/>
        </w:rPr>
        <w:t>Dolamore</w:t>
      </w:r>
      <w:proofErr w:type="spellEnd"/>
      <w:r w:rsidRPr="00C10E88">
        <w:rPr>
          <w:rFonts w:ascii="Georgia" w:eastAsia="Times New Roman" w:hAnsi="Georgia" w:cs="Times New Roman"/>
          <w:color w:val="535353"/>
          <w:sz w:val="23"/>
          <w:szCs w:val="23"/>
        </w:rPr>
        <w:t xml:space="preserve">, R. (2018) </w:t>
      </w:r>
      <w:proofErr w:type="gramStart"/>
      <w:r w:rsidRPr="00C10E88">
        <w:rPr>
          <w:rFonts w:ascii="Georgia" w:eastAsia="Times New Roman" w:hAnsi="Georgia" w:cs="Times New Roman"/>
          <w:color w:val="535353"/>
          <w:sz w:val="23"/>
          <w:szCs w:val="23"/>
        </w:rPr>
        <w:t>The</w:t>
      </w:r>
      <w:proofErr w:type="gramEnd"/>
      <w:r w:rsidRPr="00C10E88">
        <w:rPr>
          <w:rFonts w:ascii="Georgia" w:eastAsia="Times New Roman" w:hAnsi="Georgia" w:cs="Times New Roman"/>
          <w:color w:val="535353"/>
          <w:sz w:val="23"/>
          <w:szCs w:val="23"/>
        </w:rPr>
        <w:t xml:space="preserve"> tools of macroeconomic policy—a short primer. Available from: https://www.aph.gov.au/About_Parliament/Parliamentary_Departments/Parliamentary_Library/pubs/Briefing Book44p/</w:t>
      </w:r>
      <w:proofErr w:type="spellStart"/>
      <w:r w:rsidRPr="00C10E88">
        <w:rPr>
          <w:rFonts w:ascii="Georgia" w:eastAsia="Times New Roman" w:hAnsi="Georgia" w:cs="Times New Roman"/>
          <w:color w:val="535353"/>
          <w:sz w:val="23"/>
          <w:szCs w:val="23"/>
        </w:rPr>
        <w:t>MacroeconomicPolicy</w:t>
      </w:r>
      <w:proofErr w:type="spellEnd"/>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Mankiw N. </w:t>
      </w:r>
      <w:proofErr w:type="spellStart"/>
      <w:r w:rsidRPr="00C10E88">
        <w:rPr>
          <w:rFonts w:ascii="Georgia" w:eastAsia="Times New Roman" w:hAnsi="Georgia" w:cs="Times New Roman"/>
          <w:color w:val="535353"/>
          <w:sz w:val="23"/>
          <w:szCs w:val="23"/>
        </w:rPr>
        <w:t>Gregoryand</w:t>
      </w:r>
      <w:proofErr w:type="spellEnd"/>
      <w:r w:rsidRPr="00C10E88">
        <w:rPr>
          <w:rFonts w:ascii="Georgia" w:eastAsia="Times New Roman" w:hAnsi="Georgia" w:cs="Times New Roman"/>
          <w:color w:val="535353"/>
          <w:sz w:val="23"/>
          <w:szCs w:val="23"/>
        </w:rPr>
        <w:t xml:space="preserve">, S &amp; William M. (2011) Macroeconomics. Canadian ed., 4th </w:t>
      </w:r>
      <w:proofErr w:type="gramStart"/>
      <w:r w:rsidRPr="00C10E88">
        <w:rPr>
          <w:rFonts w:ascii="Georgia" w:eastAsia="Times New Roman" w:hAnsi="Georgia" w:cs="Times New Roman"/>
          <w:color w:val="535353"/>
          <w:sz w:val="23"/>
          <w:szCs w:val="23"/>
        </w:rPr>
        <w:t>ed</w:t>
      </w:r>
      <w:proofErr w:type="gramEnd"/>
      <w:r w:rsidRPr="00C10E88">
        <w:rPr>
          <w:rFonts w:ascii="Georgia" w:eastAsia="Times New Roman" w:hAnsi="Georgia" w:cs="Times New Roman"/>
          <w:color w:val="535353"/>
          <w:sz w:val="23"/>
          <w:szCs w:val="23"/>
        </w:rPr>
        <w:t>. New York: Worth Publishers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Mankiw, N.G &amp; Taylor, M.P. (2011) Economics (2nd </w:t>
      </w:r>
      <w:proofErr w:type="spellStart"/>
      <w:proofErr w:type="gramStart"/>
      <w:r w:rsidRPr="00C10E88">
        <w:rPr>
          <w:rFonts w:ascii="Georgia" w:eastAsia="Times New Roman" w:hAnsi="Georgia" w:cs="Times New Roman"/>
          <w:color w:val="535353"/>
          <w:sz w:val="23"/>
          <w:szCs w:val="23"/>
        </w:rPr>
        <w:t>ed</w:t>
      </w:r>
      <w:proofErr w:type="spellEnd"/>
      <w:proofErr w:type="gramEnd"/>
      <w:r w:rsidRPr="00C10E88">
        <w:rPr>
          <w:rFonts w:ascii="Georgia" w:eastAsia="Times New Roman" w:hAnsi="Georgia" w:cs="Times New Roman"/>
          <w:color w:val="535353"/>
          <w:sz w:val="23"/>
          <w:szCs w:val="23"/>
        </w:rPr>
        <w:t>) Andover: Cengage Learning</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Mathai, K. (2012) monetary policy: stabilizing prices and output. International Monetary Fund. Available from:</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C10E88">
        <w:rPr>
          <w:rFonts w:ascii="Georgia" w:eastAsia="Times New Roman" w:hAnsi="Georgia" w:cs="Times New Roman"/>
          <w:color w:val="535353"/>
          <w:sz w:val="23"/>
          <w:szCs w:val="23"/>
        </w:rPr>
        <w:t>Pennings</w:t>
      </w:r>
      <w:proofErr w:type="spellEnd"/>
      <w:r w:rsidRPr="00C10E88">
        <w:rPr>
          <w:rFonts w:ascii="Georgia" w:eastAsia="Times New Roman" w:hAnsi="Georgia" w:cs="Times New Roman"/>
          <w:color w:val="535353"/>
          <w:sz w:val="23"/>
          <w:szCs w:val="23"/>
        </w:rPr>
        <w:t xml:space="preserve">, S, </w:t>
      </w:r>
      <w:proofErr w:type="spellStart"/>
      <w:r w:rsidRPr="00C10E88">
        <w:rPr>
          <w:rFonts w:ascii="Georgia" w:eastAsia="Times New Roman" w:hAnsi="Georgia" w:cs="Times New Roman"/>
          <w:color w:val="535353"/>
          <w:sz w:val="23"/>
          <w:szCs w:val="23"/>
        </w:rPr>
        <w:t>Ramayandi</w:t>
      </w:r>
      <w:proofErr w:type="spellEnd"/>
      <w:r w:rsidRPr="00C10E88">
        <w:rPr>
          <w:rFonts w:ascii="Georgia" w:eastAsia="Times New Roman" w:hAnsi="Georgia" w:cs="Times New Roman"/>
          <w:color w:val="535353"/>
          <w:sz w:val="23"/>
          <w:szCs w:val="23"/>
        </w:rPr>
        <w:t>, A. &amp; Hsiao, C.T. (2015). The impact of monetary policy on financial markets in small open economies: More or less effective during the global financial crisis. Journal of Macroeconomics, 44, 60-70. Available from: https://www.adb.org/sites/default/files/publication/28560/wp72-pennings-impact-monetary-policy.pdf [Accessed 1 February 2019]</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RBA. (2018) </w:t>
      </w:r>
      <w:proofErr w:type="gramStart"/>
      <w:r w:rsidRPr="00C10E88">
        <w:rPr>
          <w:rFonts w:ascii="Georgia" w:eastAsia="Times New Roman" w:hAnsi="Georgia" w:cs="Times New Roman"/>
          <w:color w:val="535353"/>
          <w:sz w:val="23"/>
          <w:szCs w:val="23"/>
        </w:rPr>
        <w:t>The</w:t>
      </w:r>
      <w:proofErr w:type="gramEnd"/>
      <w:r w:rsidRPr="00C10E88">
        <w:rPr>
          <w:rFonts w:ascii="Georgia" w:eastAsia="Times New Roman" w:hAnsi="Georgia" w:cs="Times New Roman"/>
          <w:color w:val="535353"/>
          <w:sz w:val="23"/>
          <w:szCs w:val="23"/>
        </w:rPr>
        <w:t xml:space="preserve"> Implementation of Monetary Policy: Domestic Market Operations. Available from: https://www.rba.gov.au/mkt-operations/resources/implementation-mp.html [Accessed 1 February 2019]</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t xml:space="preserve">Sexton, R &amp; </w:t>
      </w:r>
      <w:proofErr w:type="spellStart"/>
      <w:r w:rsidRPr="00C10E88">
        <w:rPr>
          <w:rFonts w:ascii="Georgia" w:eastAsia="Times New Roman" w:hAnsi="Georgia" w:cs="Times New Roman"/>
          <w:color w:val="535353"/>
          <w:sz w:val="23"/>
          <w:szCs w:val="23"/>
        </w:rPr>
        <w:t>Fortura</w:t>
      </w:r>
      <w:proofErr w:type="spellEnd"/>
      <w:r w:rsidRPr="00C10E88">
        <w:rPr>
          <w:rFonts w:ascii="Georgia" w:eastAsia="Times New Roman" w:hAnsi="Georgia" w:cs="Times New Roman"/>
          <w:color w:val="535353"/>
          <w:sz w:val="23"/>
          <w:szCs w:val="23"/>
        </w:rPr>
        <w:t>, P. (2005) Exploring Economics. Oxford university press</w:t>
      </w:r>
    </w:p>
    <w:p w:rsidR="00C10E88" w:rsidRPr="00C10E88" w:rsidRDefault="00C10E88" w:rsidP="00C10E88">
      <w:pPr>
        <w:shd w:val="clear" w:color="auto" w:fill="FFFFFF"/>
        <w:spacing w:after="100" w:afterAutospacing="1" w:line="240" w:lineRule="auto"/>
        <w:rPr>
          <w:rFonts w:ascii="Georgia" w:eastAsia="Times New Roman" w:hAnsi="Georgia" w:cs="Times New Roman"/>
          <w:color w:val="535353"/>
          <w:sz w:val="23"/>
          <w:szCs w:val="23"/>
        </w:rPr>
      </w:pPr>
      <w:r w:rsidRPr="00C10E88">
        <w:rPr>
          <w:rFonts w:ascii="Georgia" w:eastAsia="Times New Roman" w:hAnsi="Georgia" w:cs="Times New Roman"/>
          <w:color w:val="535353"/>
          <w:sz w:val="23"/>
          <w:szCs w:val="23"/>
        </w:rPr>
        <w:lastRenderedPageBreak/>
        <w:t>Watson, T. (2018) Mortgage rates rising, but no official cash rate change in store for May RBA meeting. Available from: https://mozo.com.au/home-loans/articles/mortgage-rates-rising-but-no-official-cash-rate-change-in-store-for-may-rba-meeting [Accessed 1 February 2019]</w:t>
      </w:r>
    </w:p>
    <w:p w:rsidR="003F63C8" w:rsidRDefault="00C10E8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67F3F"/>
    <w:multiLevelType w:val="multilevel"/>
    <w:tmpl w:val="BEEE5BD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1410D7C"/>
    <w:multiLevelType w:val="multilevel"/>
    <w:tmpl w:val="221038E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DD1314"/>
    <w:multiLevelType w:val="multilevel"/>
    <w:tmpl w:val="180CE33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E88"/>
    <w:rsid w:val="00C10E88"/>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7744D2-DB95-420B-9080-AB6F09680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10E8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0E8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10E8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C10E8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0E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402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5008</Words>
  <Characters>28551</Characters>
  <Application>Microsoft Office Word</Application>
  <DocSecurity>0</DocSecurity>
  <Lines>237</Lines>
  <Paragraphs>66</Paragraphs>
  <ScaleCrop>false</ScaleCrop>
  <Company/>
  <LinksUpToDate>false</LinksUpToDate>
  <CharactersWithSpaces>33493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2022-02-14T11:54:00Z</dcterms:created>
  <dcterms:modified xsi:type="dcterms:W3CDTF">2022-02-14T11:54:00Z</dcterms:modified>
</cp:coreProperties>
</file>