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D46" w:rsidRDefault="00E24D46">
      <w:pPr>
        <w:spacing w:after="108" w:line="259" w:lineRule="auto"/>
        <w:ind w:left="510" w:right="-870" w:firstLine="0"/>
      </w:pPr>
    </w:p>
    <w:p w:rsidR="00E24D46" w:rsidRDefault="00D46513">
      <w:pPr>
        <w:pStyle w:val="Heading1"/>
        <w:ind w:left="2834" w:right="722"/>
      </w:pPr>
      <w:r>
        <w:t>Intelligent Writing for Students</w:t>
      </w:r>
    </w:p>
    <w:p w:rsidR="00E24D46" w:rsidRDefault="00D46513">
      <w:pPr>
        <w:spacing w:after="2"/>
        <w:ind w:left="2090" w:firstLine="0"/>
      </w:pPr>
      <w:r>
        <w:t xml:space="preserve"> </w:t>
      </w:r>
      <w:r>
        <w:tab/>
      </w:r>
      <w:r>
        <w:t xml:space="preserve">Several students write AP Test responses every year, but do they write in a way that the graders and University’s want to hear/read. The author, </w:t>
      </w:r>
      <w:proofErr w:type="spellStart"/>
      <w:r>
        <w:t>Bartholomae</w:t>
      </w:r>
      <w:proofErr w:type="spellEnd"/>
      <w:r>
        <w:t>, believes that when a student writes they need to invent the university. I like to categorize it by</w:t>
      </w:r>
      <w:r>
        <w:t xml:space="preserve"> saying “fake it until you make it”. With this style of writing, I feel as if you are writing the ideas down that the university wants to hea</w:t>
      </w:r>
      <w:bookmarkStart w:id="0" w:name="_GoBack"/>
      <w:bookmarkEnd w:id="0"/>
      <w:r>
        <w:t xml:space="preserve">r from incoming students. In </w:t>
      </w:r>
    </w:p>
    <w:p w:rsidR="00E24D46" w:rsidRDefault="00D46513">
      <w:pPr>
        <w:spacing w:after="1"/>
        <w:ind w:left="2090" w:firstLine="0"/>
      </w:pPr>
      <w:proofErr w:type="spellStart"/>
      <w:r>
        <w:t>Bartholomae’s</w:t>
      </w:r>
      <w:proofErr w:type="spellEnd"/>
      <w:r>
        <w:t xml:space="preserve"> </w:t>
      </w:r>
      <w:proofErr w:type="gramStart"/>
      <w:r>
        <w:rPr>
          <w:i/>
          <w:u w:val="single" w:color="000000"/>
        </w:rPr>
        <w:t>Inventing</w:t>
      </w:r>
      <w:proofErr w:type="gramEnd"/>
      <w:r>
        <w:rPr>
          <w:i/>
          <w:u w:val="single" w:color="000000"/>
        </w:rPr>
        <w:t xml:space="preserve"> the University</w:t>
      </w:r>
      <w:r>
        <w:t>, he states, “The student has to learn to speak</w:t>
      </w:r>
      <w:r>
        <w:t xml:space="preserve"> as we do, to try on the peculiar way of knowing course of our community. Or perhaps I </w:t>
      </w:r>
      <w:proofErr w:type="gramStart"/>
      <w:r>
        <w:t>should</w:t>
      </w:r>
      <w:proofErr w:type="gramEnd"/>
      <w:r>
        <w:t xml:space="preserve"> say the various discourses of our community,” (pg. 209). This excerpt from </w:t>
      </w:r>
      <w:proofErr w:type="spellStart"/>
      <w:r>
        <w:t>Bartholomae’s</w:t>
      </w:r>
      <w:proofErr w:type="spellEnd"/>
      <w:r>
        <w:t xml:space="preserve"> work has me wondering, does writing and learning how to write properly ma</w:t>
      </w:r>
      <w:r>
        <w:t xml:space="preserve">ke us then use everyday communication differently? To invent the university in my eyes, is a way for students to learn how they will need to speak to clients, their boss, etc. in the future. In this work, </w:t>
      </w:r>
      <w:proofErr w:type="spellStart"/>
      <w:r>
        <w:t>Bartholomae</w:t>
      </w:r>
      <w:proofErr w:type="spellEnd"/>
      <w:r>
        <w:t xml:space="preserve"> also adds that “Linda Flower has argued</w:t>
      </w:r>
      <w:r>
        <w:t xml:space="preserve"> that the difficulty inexperienced writers have with writing can be understood as a difficulty in negotiating the transition between “writer based” and “reader-based” prose” (213). When I read this, it made me then begin thinking more about making your pro</w:t>
      </w:r>
      <w:r>
        <w:t xml:space="preserve">fessional writing into the way you speak. An example of this professional writing translated into professional communication is shown on page 212 of </w:t>
      </w:r>
      <w:r>
        <w:rPr>
          <w:i/>
          <w:u w:val="single" w:color="000000"/>
        </w:rPr>
        <w:t>Inventing the University</w:t>
      </w:r>
      <w:r>
        <w:t xml:space="preserve">, when </w:t>
      </w:r>
    </w:p>
    <w:p w:rsidR="00E24D46" w:rsidRDefault="00D46513">
      <w:pPr>
        <w:spacing w:after="160" w:line="452" w:lineRule="auto"/>
        <w:ind w:left="2105" w:firstLine="0"/>
        <w:jc w:val="both"/>
      </w:pPr>
      <w:proofErr w:type="spellStart"/>
      <w:r>
        <w:t>Bartholomae</w:t>
      </w:r>
      <w:proofErr w:type="spellEnd"/>
      <w:r>
        <w:t xml:space="preserve"> states, “When the writer says, “I don’t know,” then, he is not </w:t>
      </w:r>
      <w:r>
        <w:t>saying that he has nothing to say. He is saying that he is not in a position to carry on this discussion”. Therefore, I took this as when in conversation you should find a way to sound more intelligent in the way you speak/write to impress the listener/rea</w:t>
      </w:r>
      <w:r>
        <w:t xml:space="preserve">der. </w:t>
      </w:r>
    </w:p>
    <w:p w:rsidR="00E24D46" w:rsidRDefault="00D46513">
      <w:pPr>
        <w:ind w:left="2090"/>
      </w:pPr>
      <w:r>
        <w:t xml:space="preserve">As for Graff and </w:t>
      </w:r>
      <w:proofErr w:type="spellStart"/>
      <w:r>
        <w:t>Birkenstein</w:t>
      </w:r>
      <w:proofErr w:type="spellEnd"/>
      <w:r>
        <w:t xml:space="preserve">, they believe in the They Say/ I Say style of writing, or in other works, argumentative writing, along with how you enter the conversation. It </w:t>
      </w:r>
      <w:r>
        <w:lastRenderedPageBreak/>
        <w:t>is important that you are writing to really draw in the readers/listeners atte</w:t>
      </w:r>
      <w:r>
        <w:t xml:space="preserve">ntion. I believe Graff and </w:t>
      </w:r>
      <w:proofErr w:type="spellStart"/>
      <w:r>
        <w:t>Birkenstein</w:t>
      </w:r>
      <w:proofErr w:type="spellEnd"/>
      <w:r>
        <w:t xml:space="preserve"> infer how to write/speak professionally when they wrote, </w:t>
      </w:r>
      <w:proofErr w:type="gramStart"/>
      <w:r>
        <w:t>“ It</w:t>
      </w:r>
      <w:proofErr w:type="gramEnd"/>
      <w:r>
        <w:t xml:space="preserve"> is true, of course, that critical thinking and writing go deeper than any set of linguistic formulas, requiring that you question assumptions, develop stro</w:t>
      </w:r>
      <w:r>
        <w:t>ng claims, offer supporting reasons, and evidence, consider opposing arguments and so on. But there deeper habits though cannot be put into practice unless you have a language for expressing them in clear organized ways.”(pg. 2). With this excerpt, I inter</w:t>
      </w:r>
      <w:r>
        <w:t xml:space="preserve">preted it as, that when writing you need to make sure </w:t>
      </w:r>
      <w:proofErr w:type="gramStart"/>
      <w:r>
        <w:t>your</w:t>
      </w:r>
      <w:proofErr w:type="gramEnd"/>
      <w:r>
        <w:t xml:space="preserve"> knowledgeable in what you are writing about. This is extremely important, as well as making sure you include a “They say” aspect of your paper. This is where the </w:t>
      </w:r>
      <w:proofErr w:type="spellStart"/>
      <w:r>
        <w:t>argumentized</w:t>
      </w:r>
      <w:proofErr w:type="spellEnd"/>
      <w:r>
        <w:t xml:space="preserve"> writing comes into pla</w:t>
      </w:r>
      <w:r>
        <w:t xml:space="preserve">ce. When </w:t>
      </w:r>
      <w:proofErr w:type="gramStart"/>
      <w:r>
        <w:t>writers</w:t>
      </w:r>
      <w:proofErr w:type="gramEnd"/>
      <w:r>
        <w:t xml:space="preserve"> s\use the “They say” aspect, it makes there writing sounds more intelligent. Graff and </w:t>
      </w:r>
      <w:proofErr w:type="spellStart"/>
      <w:r>
        <w:t>Birkenstein</w:t>
      </w:r>
      <w:proofErr w:type="spellEnd"/>
      <w:r>
        <w:t xml:space="preserve"> state on page 27, “When presenting your own claims, you should keep returning to the motivating “they say.” The Longer and more complicated </w:t>
      </w:r>
      <w:r>
        <w:t xml:space="preserve">your text, the greater the chance the reader s will forget what ideas originally motivated it”.  Both </w:t>
      </w:r>
      <w:proofErr w:type="spellStart"/>
      <w:r>
        <w:t>Barolomae</w:t>
      </w:r>
      <w:proofErr w:type="spellEnd"/>
      <w:r>
        <w:t xml:space="preserve"> and Graff and </w:t>
      </w:r>
      <w:proofErr w:type="spellStart"/>
      <w:r>
        <w:t>Birkenstein’s</w:t>
      </w:r>
      <w:proofErr w:type="spellEnd"/>
      <w:r>
        <w:t xml:space="preserve"> ideas of professional writing should be seen in these AP Test samples. Below I will go into depth on how these test </w:t>
      </w:r>
      <w:r>
        <w:t xml:space="preserve">samples do or do not relate to the ideas just talked about. </w:t>
      </w:r>
    </w:p>
    <w:p w:rsidR="00E24D46" w:rsidRDefault="00D46513">
      <w:pPr>
        <w:ind w:left="2090"/>
      </w:pPr>
      <w:r>
        <w:t xml:space="preserve"> In the AP test examples given to me, the third and fourth response were the two that really stood out to me.  Student number three starts off extremely well by bringing a question into the respo</w:t>
      </w:r>
      <w:r>
        <w:t>nse. This question then makes the reader think about how they feel about the topic. Student number three even goes straight into the facts still not using the word I. In the second paragraph they use statistics and is doing a very good job at mimicking the</w:t>
      </w:r>
      <w:r>
        <w:t xml:space="preserve"> language of those who have been through college and gave these statistics. You can tell they took the source and mimicked </w:t>
      </w:r>
      <w:proofErr w:type="spellStart"/>
      <w:r>
        <w:t>they</w:t>
      </w:r>
      <w:proofErr w:type="spellEnd"/>
      <w:r>
        <w:t xml:space="preserve"> way they wrote but put their thoughts in their own words. The student continues to ask questions, bringing back the attention. T</w:t>
      </w:r>
      <w:r>
        <w:t xml:space="preserve">he student also uses the They Say aspect from Graff and </w:t>
      </w:r>
      <w:proofErr w:type="spellStart"/>
      <w:r>
        <w:t>Birkenstein’s</w:t>
      </w:r>
      <w:proofErr w:type="spellEnd"/>
      <w:r>
        <w:t xml:space="preserve"> </w:t>
      </w:r>
      <w:r>
        <w:lastRenderedPageBreak/>
        <w:t>work as well. She continues pointing out common views that others have on college. One thing the student writer does is end the topic on a positive note still giving information. The wri</w:t>
      </w:r>
      <w:r>
        <w:t>ter although should have put in this information stating how they feel, bringing in the argumentative aspect of their paper.</w:t>
      </w:r>
    </w:p>
    <w:p w:rsidR="00E24D46" w:rsidRDefault="00D46513">
      <w:pPr>
        <w:ind w:left="2090"/>
      </w:pPr>
      <w:r>
        <w:t>As for student number four, they did not do a very good job at introducing the topic, for he began the paper talking about himself.</w:t>
      </w:r>
      <w:r>
        <w:t xml:space="preserve"> Just like Graff and </w:t>
      </w:r>
      <w:proofErr w:type="spellStart"/>
      <w:r>
        <w:t>Birkenstein</w:t>
      </w:r>
      <w:proofErr w:type="spellEnd"/>
      <w:r>
        <w:t xml:space="preserve"> say, you need to introduce the topic and how others feel and think before you bring yourself into the conversation. Student number four, brought into </w:t>
      </w:r>
      <w:proofErr w:type="gramStart"/>
      <w:r>
        <w:t>the they</w:t>
      </w:r>
      <w:proofErr w:type="gramEnd"/>
      <w:r>
        <w:t xml:space="preserve"> say into the picture after talking about his pressure about gett</w:t>
      </w:r>
      <w:r>
        <w:t>ing into college. He asks several questions in a row after his introduction, although I believe he would be better with starting out with the questions he wrote as his introduction. People like to hear/read what other people say or think not what the write</w:t>
      </w:r>
      <w:r>
        <w:t>r’s views as soon as they start reading. This student tends to use very intelligent words, although they tend to use so many that it makes me think is this truly what the student believes. The student is not really “faking” that he actually is very educate</w:t>
      </w:r>
      <w:r>
        <w:t xml:space="preserve">d in this topic. The conclusion as well could be </w:t>
      </w:r>
      <w:proofErr w:type="gramStart"/>
      <w:r>
        <w:t>more strong</w:t>
      </w:r>
      <w:proofErr w:type="gramEnd"/>
      <w:r>
        <w:t xml:space="preserve">. </w:t>
      </w:r>
    </w:p>
    <w:p w:rsidR="00E24D46" w:rsidRDefault="00D46513">
      <w:pPr>
        <w:ind w:left="2090"/>
      </w:pPr>
      <w:r>
        <w:t xml:space="preserve">Now for comparing and contrasting the two students works. They both seem to do a very nice job at using </w:t>
      </w:r>
      <w:proofErr w:type="gramStart"/>
      <w:r>
        <w:t>the they</w:t>
      </w:r>
      <w:proofErr w:type="gramEnd"/>
      <w:r>
        <w:t xml:space="preserve"> say, while student number three seems to do a better job at this than student nu</w:t>
      </w:r>
      <w:r>
        <w:t xml:space="preserve">mber four. They both cited their information and made sure to back up their points. Overall I did like student number three’s paper better than student number four. Student number three just seemed to ask all the right questions and truly seem educated in </w:t>
      </w:r>
      <w:r>
        <w:t xml:space="preserve">what they were talking about. While student four just wrote things down I felt like, while trying to seem like he was mimicking the writing. Student number three entered the conversation better then student four did. </w:t>
      </w:r>
    </w:p>
    <w:p w:rsidR="00E24D46" w:rsidRDefault="00D46513">
      <w:pPr>
        <w:spacing w:after="1"/>
        <w:ind w:left="2090"/>
      </w:pPr>
      <w:r>
        <w:t>Overall, both of these students in the</w:t>
      </w:r>
      <w:r>
        <w:t xml:space="preserve">ir AP Test’s seemed to do fairly well and followed most of the ideas of </w:t>
      </w:r>
      <w:proofErr w:type="spellStart"/>
      <w:r>
        <w:t>Bartholomae</w:t>
      </w:r>
      <w:proofErr w:type="spellEnd"/>
      <w:r>
        <w:t xml:space="preserve"> then Graff and </w:t>
      </w:r>
      <w:proofErr w:type="spellStart"/>
      <w:r>
        <w:t>Birkenstein</w:t>
      </w:r>
      <w:proofErr w:type="spellEnd"/>
      <w:r>
        <w:t xml:space="preserve">. I also feel as if </w:t>
      </w:r>
      <w:r>
        <w:lastRenderedPageBreak/>
        <w:t>you can tell each student had different educators teaching them how to complete their thought process then how to write down t</w:t>
      </w:r>
      <w:r>
        <w:t xml:space="preserve">hese thoughts in a professional manner. </w:t>
      </w:r>
    </w:p>
    <w:p w:rsidR="00E24D46" w:rsidRDefault="00D46513">
      <w:pPr>
        <w:spacing w:line="259" w:lineRule="auto"/>
        <w:ind w:left="2090" w:firstLine="0"/>
      </w:pPr>
      <w:r>
        <w:t>Everyone does have their own opinion.</w:t>
      </w:r>
    </w:p>
    <w:p w:rsidR="00E24D46" w:rsidRDefault="00D46513">
      <w:pPr>
        <w:pStyle w:val="Heading1"/>
        <w:ind w:left="2834"/>
      </w:pPr>
      <w:r>
        <w:t>Works Cited</w:t>
      </w:r>
    </w:p>
    <w:p w:rsidR="00E24D46" w:rsidRDefault="00D46513">
      <w:pPr>
        <w:numPr>
          <w:ilvl w:val="0"/>
          <w:numId w:val="1"/>
        </w:numPr>
        <w:spacing w:after="237" w:line="259" w:lineRule="auto"/>
        <w:ind w:right="631" w:hanging="360"/>
        <w:jc w:val="right"/>
      </w:pPr>
      <w:r>
        <w:t xml:space="preserve">AP Test Samples: </w:t>
      </w:r>
      <w:r>
        <w:rPr>
          <w:color w:val="0563C1"/>
          <w:u w:val="single" w:color="0563C1"/>
        </w:rPr>
        <w:t>https://ace.uindy.edu/access/content/group/201720-</w:t>
      </w:r>
    </w:p>
    <w:p w:rsidR="00E24D46" w:rsidRDefault="00D46513">
      <w:pPr>
        <w:spacing w:after="226" w:line="259" w:lineRule="auto"/>
        <w:ind w:left="3545" w:firstLine="0"/>
      </w:pPr>
      <w:r>
        <w:rPr>
          <w:color w:val="0563C1"/>
          <w:u w:val="single" w:color="0563C1"/>
        </w:rPr>
        <w:t>ENGL-101-ONL/Readings/AP_TextExamples1_2.pdf</w:t>
      </w:r>
      <w:r>
        <w:t xml:space="preserve"> </w:t>
      </w:r>
    </w:p>
    <w:tbl>
      <w:tblPr>
        <w:tblStyle w:val="TableGrid"/>
        <w:tblpPr w:vertAnchor="text" w:tblpX="3543" w:tblpY="-48"/>
        <w:tblOverlap w:val="never"/>
        <w:tblW w:w="6810" w:type="dxa"/>
        <w:tblInd w:w="0" w:type="dxa"/>
        <w:tblCellMar>
          <w:top w:w="49" w:type="dxa"/>
          <w:left w:w="2" w:type="dxa"/>
          <w:bottom w:w="0" w:type="dxa"/>
          <w:right w:w="0" w:type="dxa"/>
        </w:tblCellMar>
        <w:tblLook w:val="04A0" w:firstRow="1" w:lastRow="0" w:firstColumn="1" w:lastColumn="0" w:noHBand="0" w:noVBand="1"/>
      </w:tblPr>
      <w:tblGrid>
        <w:gridCol w:w="6810"/>
      </w:tblGrid>
      <w:tr w:rsidR="00E24D46" w:rsidRPr="00433A81">
        <w:trPr>
          <w:trHeight w:val="268"/>
        </w:trPr>
        <w:tc>
          <w:tcPr>
            <w:tcW w:w="6810" w:type="dxa"/>
            <w:tcBorders>
              <w:top w:val="nil"/>
              <w:left w:val="nil"/>
              <w:bottom w:val="nil"/>
              <w:right w:val="nil"/>
            </w:tcBorders>
            <w:shd w:val="clear" w:color="auto" w:fill="FFE7AF"/>
          </w:tcPr>
          <w:p w:rsidR="00E24D46" w:rsidRPr="00433A81" w:rsidRDefault="00D46513">
            <w:pPr>
              <w:spacing w:after="0" w:line="259" w:lineRule="auto"/>
              <w:ind w:left="0" w:firstLine="0"/>
              <w:jc w:val="both"/>
            </w:pPr>
            <w:proofErr w:type="spellStart"/>
            <w:r w:rsidRPr="00433A81">
              <w:rPr>
                <w:color w:val="333333"/>
                <w:sz w:val="22"/>
              </w:rPr>
              <w:t>Bartholomae</w:t>
            </w:r>
            <w:proofErr w:type="spellEnd"/>
            <w:r w:rsidRPr="00433A81">
              <w:rPr>
                <w:color w:val="333333"/>
                <w:sz w:val="22"/>
              </w:rPr>
              <w:t xml:space="preserve">, David. “Inventing the University.” </w:t>
            </w:r>
            <w:r w:rsidRPr="00433A81">
              <w:rPr>
                <w:i/>
                <w:color w:val="333333"/>
                <w:sz w:val="22"/>
              </w:rPr>
              <w:t>Inventing the University</w:t>
            </w:r>
            <w:r w:rsidRPr="00433A81">
              <w:rPr>
                <w:color w:val="333333"/>
                <w:sz w:val="22"/>
              </w:rPr>
              <w:t xml:space="preserve">, pp. </w:t>
            </w:r>
          </w:p>
        </w:tc>
      </w:tr>
    </w:tbl>
    <w:p w:rsidR="00E24D46" w:rsidRPr="00433A81" w:rsidRDefault="00D46513">
      <w:pPr>
        <w:spacing w:after="222" w:line="259" w:lineRule="auto"/>
        <w:ind w:left="3185" w:right="393" w:firstLine="0"/>
      </w:pPr>
      <w:r w:rsidRPr="00433A81">
        <w:t></w:t>
      </w:r>
    </w:p>
    <w:p w:rsidR="00E24D46" w:rsidRPr="00433A81" w:rsidRDefault="00D46513">
      <w:pPr>
        <w:shd w:val="clear" w:color="auto" w:fill="FFE7AF"/>
        <w:spacing w:after="279" w:line="259" w:lineRule="auto"/>
        <w:ind w:left="3545" w:firstLine="0"/>
      </w:pPr>
      <w:r w:rsidRPr="00433A81">
        <w:rPr>
          <w:color w:val="333333"/>
          <w:sz w:val="22"/>
        </w:rPr>
        <w:t>208–213. I was unable to obtain the publisher information.</w:t>
      </w:r>
    </w:p>
    <w:p w:rsidR="00E24D46" w:rsidRPr="00433A81" w:rsidRDefault="00D46513">
      <w:pPr>
        <w:numPr>
          <w:ilvl w:val="0"/>
          <w:numId w:val="1"/>
        </w:numPr>
        <w:spacing w:after="225" w:line="259" w:lineRule="auto"/>
        <w:ind w:right="631" w:hanging="360"/>
        <w:jc w:val="right"/>
      </w:pPr>
      <w:r w:rsidRPr="00433A81">
        <w:rPr>
          <w:color w:val="333333"/>
          <w:sz w:val="22"/>
          <w:shd w:val="clear" w:color="auto" w:fill="FFE7AF"/>
        </w:rPr>
        <w:t xml:space="preserve">Graff, Gerald, and Cathy </w:t>
      </w:r>
      <w:proofErr w:type="spellStart"/>
      <w:r w:rsidRPr="00433A81">
        <w:rPr>
          <w:color w:val="333333"/>
          <w:sz w:val="22"/>
          <w:shd w:val="clear" w:color="auto" w:fill="FFE7AF"/>
        </w:rPr>
        <w:t>Birkenstein</w:t>
      </w:r>
      <w:proofErr w:type="spellEnd"/>
      <w:r w:rsidRPr="00433A81">
        <w:rPr>
          <w:color w:val="333333"/>
          <w:sz w:val="22"/>
          <w:shd w:val="clear" w:color="auto" w:fill="FFE7AF"/>
        </w:rPr>
        <w:t xml:space="preserve">. “Entering The Conversation and They </w:t>
      </w:r>
    </w:p>
    <w:p w:rsidR="00E24D46" w:rsidRDefault="00D46513" w:rsidP="00433A81">
      <w:pPr>
        <w:shd w:val="clear" w:color="auto" w:fill="FFE7AF"/>
        <w:spacing w:after="10329" w:line="259" w:lineRule="auto"/>
        <w:ind w:left="0" w:right="1219" w:firstLine="0"/>
        <w:jc w:val="right"/>
      </w:pPr>
      <w:r w:rsidRPr="00433A81">
        <w:rPr>
          <w:color w:val="333333"/>
          <w:sz w:val="22"/>
        </w:rPr>
        <w:t xml:space="preserve">Say.” </w:t>
      </w:r>
      <w:r w:rsidRPr="00433A81">
        <w:rPr>
          <w:i/>
          <w:color w:val="333333"/>
          <w:sz w:val="22"/>
        </w:rPr>
        <w:t>They Say/ I Say</w:t>
      </w:r>
      <w:r w:rsidRPr="00433A81">
        <w:rPr>
          <w:color w:val="333333"/>
          <w:sz w:val="22"/>
        </w:rPr>
        <w:t>, W.W. Norton &amp; Company Inc., 2014, pp. 1–29.</w:t>
      </w:r>
    </w:p>
    <w:sectPr w:rsidR="00E24D46">
      <w:headerReference w:type="even" r:id="rId7"/>
      <w:headerReference w:type="default" r:id="rId8"/>
      <w:footerReference w:type="even" r:id="rId9"/>
      <w:footerReference w:type="default" r:id="rId10"/>
      <w:headerReference w:type="first" r:id="rId11"/>
      <w:footerReference w:type="first" r:id="rId12"/>
      <w:pgSz w:w="12240" w:h="15840"/>
      <w:pgMar w:top="387" w:right="143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6513" w:rsidRDefault="00D46513">
      <w:pPr>
        <w:spacing w:after="0" w:line="240" w:lineRule="auto"/>
      </w:pPr>
      <w:r>
        <w:separator/>
      </w:r>
    </w:p>
  </w:endnote>
  <w:endnote w:type="continuationSeparator" w:id="0">
    <w:p w:rsidR="00D46513" w:rsidRDefault="00D465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D46513">
    <w:pPr>
      <w:spacing w:after="367" w:line="259" w:lineRule="auto"/>
      <w:ind w:left="567" w:firstLine="0"/>
    </w:pPr>
    <w:r>
      <w:rPr>
        <w:rFonts w:ascii="Times New Roman" w:eastAsia="Times New Roman" w:hAnsi="Times New Roman" w:cs="Times New Roman"/>
        <w:sz w:val="16"/>
      </w:rPr>
      <w:t>This study source was downloaded by 100000846643214 from CourseHero.com on 06-10-2022 03:38:25 GMT -05:00</w:t>
    </w:r>
  </w:p>
  <w:p w:rsidR="00E24D46" w:rsidRDefault="00D46513">
    <w:pPr>
      <w:spacing w:after="0" w:line="259" w:lineRule="auto"/>
      <w:ind w:left="567" w:firstLine="0"/>
    </w:pPr>
    <w:r>
      <w:rPr>
        <w:rFonts w:ascii="Times New Roman" w:eastAsia="Times New Roman" w:hAnsi="Times New Roman" w:cs="Times New Roman"/>
        <w:sz w:val="16"/>
      </w:rPr>
      <w:t>https://www.coursehero.com/file/46682422/English-Essay-1-Rough-Draftdocx/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E24D46">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E24D46">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6513" w:rsidRDefault="00D46513">
      <w:pPr>
        <w:spacing w:after="0" w:line="240" w:lineRule="auto"/>
      </w:pPr>
      <w:r>
        <w:separator/>
      </w:r>
    </w:p>
  </w:footnote>
  <w:footnote w:type="continuationSeparator" w:id="0">
    <w:p w:rsidR="00D46513" w:rsidRDefault="00D465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D46513">
    <w:pPr>
      <w:spacing w:after="0" w:line="248" w:lineRule="auto"/>
      <w:ind w:left="9131" w:firstLine="0"/>
      <w:jc w:val="right"/>
    </w:pPr>
    <w:r>
      <w:rPr>
        <w:sz w:val="22"/>
      </w:rPr>
      <w:t xml:space="preserve">Page </w:t>
    </w:r>
    <w:r>
      <w:rPr>
        <w:b/>
      </w:rPr>
      <w:fldChar w:fldCharType="begin"/>
    </w:r>
    <w:r>
      <w:rPr>
        <w:b/>
      </w:rPr>
      <w:instrText xml:space="preserve"> PAGE   \* MERGEFORMAT </w:instrText>
    </w:r>
    <w:r>
      <w:rPr>
        <w:b/>
      </w:rPr>
      <w:fldChar w:fldCharType="separate"/>
    </w:r>
    <w:r>
      <w:rPr>
        <w:b/>
      </w:rPr>
      <w:t>2</w:t>
    </w:r>
    <w:r>
      <w:rPr>
        <w:b/>
      </w:rPr>
      <w:fldChar w:fldCharType="end"/>
    </w:r>
    <w:r>
      <w:rPr>
        <w:sz w:val="22"/>
      </w:rPr>
      <w:t xml:space="preserve"> of </w:t>
    </w:r>
    <w:r>
      <w:rPr>
        <w:b/>
      </w:rPr>
      <w:fldChar w:fldCharType="begin"/>
    </w:r>
    <w:r>
      <w:rPr>
        <w:b/>
      </w:rPr>
      <w:instrText xml:space="preserve"> NUMPAGES   \* MERGEFORMAT </w:instrText>
    </w:r>
    <w:r>
      <w:rPr>
        <w:b/>
      </w:rPr>
      <w:fldChar w:fldCharType="separate"/>
    </w:r>
    <w:r>
      <w:rPr>
        <w:b/>
      </w:rPr>
      <w:t>5</w:t>
    </w:r>
    <w:r>
      <w:rPr>
        <w:b/>
      </w:rPr>
      <w:fldChar w:fldCharType="end"/>
    </w:r>
    <w:r>
      <w:rPr>
        <w:sz w:val="22"/>
      </w:rPr>
      <w:t>2/4/18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E24D46">
    <w:pPr>
      <w:spacing w:after="0" w:line="248" w:lineRule="auto"/>
      <w:ind w:left="913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D46" w:rsidRDefault="00E24D46">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54D1E"/>
    <w:multiLevelType w:val="hybridMultilevel"/>
    <w:tmpl w:val="934A1996"/>
    <w:lvl w:ilvl="0" w:tplc="0DC49E7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FA0B858">
      <w:start w:val="1"/>
      <w:numFmt w:val="bullet"/>
      <w:lvlText w:val="o"/>
      <w:lvlJc w:val="left"/>
      <w:pPr>
        <w:ind w:left="42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504294E">
      <w:start w:val="1"/>
      <w:numFmt w:val="bullet"/>
      <w:lvlText w:val="▪"/>
      <w:lvlJc w:val="left"/>
      <w:pPr>
        <w:ind w:left="49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6F4D0F2">
      <w:start w:val="1"/>
      <w:numFmt w:val="bullet"/>
      <w:lvlText w:val="•"/>
      <w:lvlJc w:val="left"/>
      <w:pPr>
        <w:ind w:left="5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C92EB98">
      <w:start w:val="1"/>
      <w:numFmt w:val="bullet"/>
      <w:lvlText w:val="o"/>
      <w:lvlJc w:val="left"/>
      <w:pPr>
        <w:ind w:left="64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3042404">
      <w:start w:val="1"/>
      <w:numFmt w:val="bullet"/>
      <w:lvlText w:val="▪"/>
      <w:lvlJc w:val="left"/>
      <w:pPr>
        <w:ind w:left="71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6969A40">
      <w:start w:val="1"/>
      <w:numFmt w:val="bullet"/>
      <w:lvlText w:val="•"/>
      <w:lvlJc w:val="left"/>
      <w:pPr>
        <w:ind w:left="78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1CCD6CE">
      <w:start w:val="1"/>
      <w:numFmt w:val="bullet"/>
      <w:lvlText w:val="o"/>
      <w:lvlJc w:val="left"/>
      <w:pPr>
        <w:ind w:left="85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842C098">
      <w:start w:val="1"/>
      <w:numFmt w:val="bullet"/>
      <w:lvlText w:val="▪"/>
      <w:lvlJc w:val="left"/>
      <w:pPr>
        <w:ind w:left="93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D46"/>
    <w:rsid w:val="00433A81"/>
    <w:rsid w:val="00D46513"/>
    <w:rsid w:val="00E24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614607-0A62-4F46-875B-F12C3C728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8" w:line="451" w:lineRule="auto"/>
      <w:ind w:left="9353"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9363"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1033</Words>
  <Characters>5891</Characters>
  <Application>Microsoft Office Word</Application>
  <DocSecurity>0</DocSecurity>
  <Lines>49</Lines>
  <Paragraphs>13</Paragraphs>
  <ScaleCrop>false</ScaleCrop>
  <Company/>
  <LinksUpToDate>false</LinksUpToDate>
  <CharactersWithSpaces>6911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100000768472475,CHDL-UGC-Meta</cp:keywords>
  <cp:lastModifiedBy>Microsoft account</cp:lastModifiedBy>
  <cp:revision>2</cp:revision>
  <dcterms:created xsi:type="dcterms:W3CDTF">2022-06-10T08:42:00Z</dcterms:created>
  <dcterms:modified xsi:type="dcterms:W3CDTF">2022-06-10T08:42:00Z</dcterms:modified>
</cp:coreProperties>
</file>