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438A" w:rsidRPr="003E09E2" w:rsidRDefault="00A02C86" w:rsidP="003E09E2">
      <w:pPr>
        <w:pStyle w:val="Title"/>
        <w:ind w:left="0" w:firstLine="0"/>
        <w:jc w:val="center"/>
        <w:rPr>
          <w:sz w:val="36"/>
        </w:rPr>
      </w:pPr>
      <w:bookmarkStart w:id="0" w:name="_GoBack"/>
      <w:r w:rsidRPr="003E09E2">
        <w:rPr>
          <w:sz w:val="36"/>
        </w:rPr>
        <w:t>Higher Education and Apprenticeship Alignment</w:t>
      </w:r>
    </w:p>
    <w:bookmarkEnd w:id="0"/>
    <w:p w:rsidR="0023438A" w:rsidRDefault="00A02C86">
      <w:pPr>
        <w:spacing w:after="163" w:line="259" w:lineRule="auto"/>
        <w:ind w:left="0" w:firstLine="0"/>
        <w:jc w:val="right"/>
      </w:pPr>
      <w:r>
        <w:t xml:space="preserve"> </w:t>
      </w:r>
    </w:p>
    <w:p w:rsidR="0023438A" w:rsidRDefault="00A02C86">
      <w:pPr>
        <w:spacing w:after="0" w:line="259" w:lineRule="auto"/>
        <w:ind w:left="5481" w:firstLine="0"/>
      </w:pPr>
      <w:r>
        <w:rPr>
          <w:b/>
        </w:rPr>
        <w:t xml:space="preserve"> </w:t>
      </w:r>
    </w:p>
    <w:p w:rsidR="0023438A" w:rsidRDefault="00A02C86">
      <w:pPr>
        <w:pStyle w:val="Heading1"/>
        <w:spacing w:after="249"/>
        <w:ind w:right="316"/>
        <w:jc w:val="center"/>
      </w:pPr>
      <w:r>
        <w:t xml:space="preserve">Abstract </w:t>
      </w:r>
    </w:p>
    <w:p w:rsidR="0023438A" w:rsidRDefault="00A02C86">
      <w:pPr>
        <w:ind w:left="643" w:right="55" w:firstLine="720"/>
      </w:pPr>
      <w:r>
        <w:t>Apprenticeship is an enduring form of knowledge transfer that combine</w:t>
      </w:r>
      <w:r>
        <w:t>s work-based learning with classroom instruction. The educational model allows participants to earn while they learn through on-the-job and formalized training that often leads to a college credential (</w:t>
      </w:r>
      <w:proofErr w:type="spellStart"/>
      <w:r>
        <w:t>Prebil</w:t>
      </w:r>
      <w:proofErr w:type="spellEnd"/>
      <w:r>
        <w:t>, 2019). Mounting college debt, combined with mo</w:t>
      </w:r>
      <w:r>
        <w:t>re American businesses facing recruitment challenges fueled an expanding skills gap, have contributed to the resurgent public interest in apprenticeship. Scaling the national apprenticeship system has been a bipartisan goal of American policymakers for sev</w:t>
      </w:r>
      <w:r>
        <w:t xml:space="preserve">eral years. In a time of political polarization, apprenticeship has maintained widespread appeal (McCarthy, Palmer, &amp; </w:t>
      </w:r>
      <w:proofErr w:type="spellStart"/>
      <w:r>
        <w:t>Prebil</w:t>
      </w:r>
      <w:proofErr w:type="spellEnd"/>
      <w:r>
        <w:t>, 2017). Despite the broad interest in apprenticeship, the system has failed to match the participation levels seen in other industr</w:t>
      </w:r>
      <w:r>
        <w:t>ialized countries (</w:t>
      </w:r>
      <w:proofErr w:type="spellStart"/>
      <w:r>
        <w:t>Amoyaw</w:t>
      </w:r>
      <w:proofErr w:type="spellEnd"/>
      <w:r>
        <w:t xml:space="preserve"> &amp; Brown, 2018). The purpose of this descriptive survey research is to examine </w:t>
      </w:r>
      <w:proofErr w:type="gramStart"/>
      <w:r>
        <w:t>the disconnect</w:t>
      </w:r>
      <w:proofErr w:type="gramEnd"/>
      <w:r>
        <w:t xml:space="preserve"> between the higher education and employer community and assess the barriers and opportunities for apprenticeship alignment. Mid-Atlantic </w:t>
      </w:r>
      <w:r>
        <w:t xml:space="preserve">regional employers and higher education officials formed two participant groups. The study used a </w:t>
      </w:r>
      <w:proofErr w:type="spellStart"/>
      <w:r>
        <w:t>crosssectional</w:t>
      </w:r>
      <w:proofErr w:type="spellEnd"/>
      <w:r>
        <w:t xml:space="preserve"> data analysis of the employer and educator groups’ responses to parallel questionnaire items. The research findings show a current lack of know</w:t>
      </w:r>
      <w:r>
        <w:t xml:space="preserve">ledge and communication regarding modern apprenticeship modifications and the need for an expanded higher education connected apprenticeship system. Based on the results, recommendations for future practices and additional research are presented. </w:t>
      </w:r>
    </w:p>
    <w:p w:rsidR="0023438A" w:rsidRDefault="00A02C86">
      <w:pPr>
        <w:spacing w:after="247" w:line="259" w:lineRule="auto"/>
        <w:ind w:left="1363" w:firstLine="0"/>
      </w:pPr>
      <w:r>
        <w:rPr>
          <w:b/>
        </w:rPr>
        <w:t xml:space="preserve"> </w:t>
      </w:r>
    </w:p>
    <w:p w:rsidR="0023438A" w:rsidRDefault="00A02C86">
      <w:pPr>
        <w:spacing w:after="96" w:line="476" w:lineRule="auto"/>
        <w:ind w:left="643" w:right="715" w:firstLine="720"/>
      </w:pPr>
      <w:r>
        <w:rPr>
          <w:b/>
        </w:rPr>
        <w:t xml:space="preserve">Keywords. </w:t>
      </w:r>
      <w:r>
        <w:rPr>
          <w:i/>
        </w:rPr>
        <w:t xml:space="preserve">Apprenticeships, career and technical education, experiential learning, higher education, skills-gap, work-based learning. </w:t>
      </w:r>
      <w:r>
        <w:t xml:space="preserve"> </w:t>
      </w:r>
    </w:p>
    <w:p w:rsidR="0023438A" w:rsidRDefault="0023438A">
      <w:pPr>
        <w:sectPr w:rsidR="0023438A">
          <w:headerReference w:type="even" r:id="rId7"/>
          <w:headerReference w:type="default" r:id="rId8"/>
          <w:headerReference w:type="first" r:id="rId9"/>
          <w:pgSz w:w="12240" w:h="15840"/>
          <w:pgMar w:top="1440" w:right="1380" w:bottom="303" w:left="797" w:header="720" w:footer="720" w:gutter="0"/>
          <w:pgNumType w:start="0"/>
          <w:cols w:space="720"/>
          <w:titlePg/>
        </w:sectPr>
      </w:pPr>
    </w:p>
    <w:p w:rsidR="0023438A" w:rsidRDefault="00A02C86">
      <w:pPr>
        <w:pStyle w:val="Heading1"/>
        <w:spacing w:after="0"/>
        <w:ind w:right="887"/>
        <w:jc w:val="center"/>
      </w:pPr>
      <w:r>
        <w:lastRenderedPageBreak/>
        <w:t xml:space="preserve">Table of Contents </w:t>
      </w:r>
    </w:p>
    <w:p w:rsidR="0023438A" w:rsidRDefault="00A02C86">
      <w:pPr>
        <w:spacing w:after="356" w:line="259" w:lineRule="auto"/>
        <w:ind w:left="231"/>
      </w:pPr>
      <w:proofErr w:type="gramStart"/>
      <w:r>
        <w:rPr>
          <w:b/>
        </w:rPr>
        <w:t>Acknowledgements</w:t>
      </w:r>
      <w:r>
        <w:t xml:space="preserve"> ....................................................................................................................</w:t>
      </w:r>
      <w:proofErr w:type="gramEnd"/>
      <w:r>
        <w:t xml:space="preserve"> 3</w:t>
      </w:r>
      <w:r>
        <w:rPr>
          <w:rFonts w:ascii="Calibri" w:eastAsia="Calibri" w:hAnsi="Calibri" w:cs="Calibri"/>
          <w:sz w:val="22"/>
        </w:rPr>
        <w:t xml:space="preserve"> </w:t>
      </w:r>
    </w:p>
    <w:p w:rsidR="0023438A" w:rsidRDefault="00A02C86">
      <w:pPr>
        <w:spacing w:after="354" w:line="259" w:lineRule="auto"/>
        <w:ind w:left="10"/>
      </w:pPr>
      <w:r>
        <w:t>CHAPTER I .............................................................................................................................</w:t>
      </w:r>
      <w:r>
        <w:t>..... 11</w:t>
      </w:r>
      <w:r>
        <w:rPr>
          <w:rFonts w:ascii="Calibri" w:eastAsia="Calibri" w:hAnsi="Calibri" w:cs="Calibri"/>
          <w:sz w:val="22"/>
        </w:rPr>
        <w:t xml:space="preserve"> </w:t>
      </w:r>
    </w:p>
    <w:p w:rsidR="0023438A" w:rsidRDefault="00A02C86">
      <w:pPr>
        <w:spacing w:after="356" w:line="259" w:lineRule="auto"/>
        <w:ind w:left="10"/>
      </w:pPr>
      <w:proofErr w:type="gramStart"/>
      <w:r>
        <w:t>Introduction ...................................................................................................................................</w:t>
      </w:r>
      <w:proofErr w:type="gramEnd"/>
      <w:r>
        <w:t xml:space="preserve"> 11</w:t>
      </w:r>
      <w:r>
        <w:rPr>
          <w:rFonts w:ascii="Calibri" w:eastAsia="Calibri" w:hAnsi="Calibri" w:cs="Calibri"/>
          <w:sz w:val="22"/>
        </w:rPr>
        <w:t xml:space="preserve"> </w:t>
      </w:r>
    </w:p>
    <w:p w:rsidR="0023438A" w:rsidRDefault="00A02C86">
      <w:pPr>
        <w:spacing w:after="356" w:line="259" w:lineRule="auto"/>
        <w:ind w:left="231"/>
      </w:pPr>
      <w:r>
        <w:t>Historical Background............................................................................</w:t>
      </w:r>
      <w:r>
        <w:t>................................... 15</w:t>
      </w:r>
      <w:r>
        <w:rPr>
          <w:rFonts w:ascii="Calibri" w:eastAsia="Calibri" w:hAnsi="Calibri" w:cs="Calibri"/>
          <w:sz w:val="22"/>
        </w:rPr>
        <w:t xml:space="preserve"> </w:t>
      </w:r>
    </w:p>
    <w:p w:rsidR="0023438A" w:rsidRDefault="00A02C86">
      <w:pPr>
        <w:spacing w:after="354" w:line="259" w:lineRule="auto"/>
        <w:ind w:left="231"/>
      </w:pPr>
      <w:r>
        <w:t xml:space="preserve">Problem </w:t>
      </w:r>
      <w:proofErr w:type="gramStart"/>
      <w:r>
        <w:t>Statement ....................................................................................................................</w:t>
      </w:r>
      <w:proofErr w:type="gramEnd"/>
      <w:r>
        <w:t xml:space="preserve"> 17</w:t>
      </w:r>
      <w:r>
        <w:rPr>
          <w:rFonts w:ascii="Calibri" w:eastAsia="Calibri" w:hAnsi="Calibri" w:cs="Calibri"/>
          <w:sz w:val="22"/>
        </w:rPr>
        <w:t xml:space="preserve"> </w:t>
      </w:r>
    </w:p>
    <w:p w:rsidR="0023438A" w:rsidRDefault="00A02C86">
      <w:pPr>
        <w:spacing w:after="356" w:line="259" w:lineRule="auto"/>
        <w:ind w:left="231"/>
      </w:pPr>
      <w:r>
        <w:t xml:space="preserve">Purpose of the </w:t>
      </w:r>
      <w:proofErr w:type="gramStart"/>
      <w:r>
        <w:t>Study ........................................................</w:t>
      </w:r>
      <w:r>
        <w:t>.........................................................</w:t>
      </w:r>
      <w:proofErr w:type="gramEnd"/>
      <w:r>
        <w:t xml:space="preserve"> 19</w:t>
      </w:r>
      <w:r>
        <w:rPr>
          <w:rFonts w:ascii="Calibri" w:eastAsia="Calibri" w:hAnsi="Calibri" w:cs="Calibri"/>
          <w:sz w:val="22"/>
        </w:rPr>
        <w:t xml:space="preserve"> </w:t>
      </w:r>
    </w:p>
    <w:p w:rsidR="0023438A" w:rsidRDefault="00A02C86">
      <w:pPr>
        <w:spacing w:after="356" w:line="259" w:lineRule="auto"/>
        <w:ind w:left="231"/>
      </w:pPr>
      <w:r>
        <w:t>Research Questions ................................................................................................................... 19</w:t>
      </w:r>
      <w:r>
        <w:rPr>
          <w:rFonts w:ascii="Calibri" w:eastAsia="Calibri" w:hAnsi="Calibri" w:cs="Calibri"/>
          <w:sz w:val="22"/>
        </w:rPr>
        <w:t xml:space="preserve"> </w:t>
      </w:r>
    </w:p>
    <w:p w:rsidR="0023438A" w:rsidRDefault="00A02C86">
      <w:pPr>
        <w:spacing w:after="354" w:line="259" w:lineRule="auto"/>
        <w:ind w:left="231"/>
      </w:pPr>
      <w:proofErr w:type="gramStart"/>
      <w:r>
        <w:t>Methodology ...........................................</w:t>
      </w:r>
      <w:r>
        <w:t>..................................................................................</w:t>
      </w:r>
      <w:proofErr w:type="gramEnd"/>
      <w:r>
        <w:t xml:space="preserve"> 20</w:t>
      </w:r>
      <w:r>
        <w:rPr>
          <w:rFonts w:ascii="Calibri" w:eastAsia="Calibri" w:hAnsi="Calibri" w:cs="Calibri"/>
          <w:sz w:val="22"/>
        </w:rPr>
        <w:t xml:space="preserve"> </w:t>
      </w:r>
    </w:p>
    <w:p w:rsidR="0023438A" w:rsidRDefault="00A02C86">
      <w:pPr>
        <w:spacing w:after="356" w:line="259" w:lineRule="auto"/>
        <w:ind w:left="231"/>
      </w:pPr>
      <w:r>
        <w:t>Theoretical Framework ............................................................................................................. 21</w:t>
      </w:r>
      <w:r>
        <w:rPr>
          <w:rFonts w:ascii="Calibri" w:eastAsia="Calibri" w:hAnsi="Calibri" w:cs="Calibri"/>
          <w:sz w:val="22"/>
        </w:rPr>
        <w:t xml:space="preserve"> </w:t>
      </w:r>
    </w:p>
    <w:p w:rsidR="0023438A" w:rsidRDefault="00A02C86">
      <w:pPr>
        <w:spacing w:after="356" w:line="259" w:lineRule="auto"/>
        <w:ind w:left="231"/>
      </w:pPr>
      <w:r>
        <w:t>Definitions of Terms.............</w:t>
      </w:r>
      <w:r>
        <w:t>..................................................................................................... 22</w:t>
      </w:r>
      <w:r>
        <w:rPr>
          <w:rFonts w:ascii="Calibri" w:eastAsia="Calibri" w:hAnsi="Calibri" w:cs="Calibri"/>
          <w:sz w:val="22"/>
        </w:rPr>
        <w:t xml:space="preserve"> </w:t>
      </w:r>
    </w:p>
    <w:p w:rsidR="0023438A" w:rsidRDefault="00A02C86">
      <w:pPr>
        <w:spacing w:after="354" w:line="259" w:lineRule="auto"/>
        <w:ind w:left="231"/>
      </w:pPr>
      <w:r>
        <w:t>Significance of the Research Study ........................................................................................... 23</w:t>
      </w:r>
      <w:r>
        <w:rPr>
          <w:rFonts w:ascii="Calibri" w:eastAsia="Calibri" w:hAnsi="Calibri" w:cs="Calibri"/>
          <w:sz w:val="22"/>
        </w:rPr>
        <w:t xml:space="preserve"> </w:t>
      </w:r>
    </w:p>
    <w:p w:rsidR="0023438A" w:rsidRDefault="00A02C86">
      <w:pPr>
        <w:spacing w:after="356" w:line="259" w:lineRule="auto"/>
        <w:ind w:left="231"/>
      </w:pPr>
      <w:r>
        <w:t>Assumptions .......</w:t>
      </w:r>
      <w:r>
        <w:t>....................................................................................................................... 24</w:t>
      </w:r>
      <w:r>
        <w:rPr>
          <w:rFonts w:ascii="Calibri" w:eastAsia="Calibri" w:hAnsi="Calibri" w:cs="Calibri"/>
          <w:sz w:val="22"/>
        </w:rPr>
        <w:t xml:space="preserve"> </w:t>
      </w:r>
    </w:p>
    <w:p w:rsidR="0023438A" w:rsidRDefault="00A02C86">
      <w:pPr>
        <w:spacing w:after="356" w:line="259" w:lineRule="auto"/>
        <w:ind w:left="231"/>
      </w:pPr>
      <w:r>
        <w:t>Limitations and Delimitations of the Research Design ............................................................. 24</w:t>
      </w:r>
      <w:r>
        <w:rPr>
          <w:rFonts w:ascii="Calibri" w:eastAsia="Calibri" w:hAnsi="Calibri" w:cs="Calibri"/>
          <w:sz w:val="22"/>
        </w:rPr>
        <w:t xml:space="preserve"> </w:t>
      </w:r>
    </w:p>
    <w:p w:rsidR="0023438A" w:rsidRDefault="00A02C86">
      <w:pPr>
        <w:spacing w:after="354" w:line="259" w:lineRule="auto"/>
        <w:ind w:left="10"/>
      </w:pPr>
      <w:r>
        <w:lastRenderedPageBreak/>
        <w:t>CHAPTER II</w:t>
      </w:r>
      <w:proofErr w:type="gramStart"/>
      <w:r>
        <w:t>:..</w:t>
      </w:r>
      <w:r>
        <w:t>..............................................................................................................................</w:t>
      </w:r>
      <w:proofErr w:type="gramEnd"/>
      <w:r>
        <w:t xml:space="preserve"> 26</w:t>
      </w:r>
      <w:r>
        <w:rPr>
          <w:rFonts w:ascii="Calibri" w:eastAsia="Calibri" w:hAnsi="Calibri" w:cs="Calibri"/>
          <w:sz w:val="22"/>
        </w:rPr>
        <w:t xml:space="preserve"> </w:t>
      </w:r>
    </w:p>
    <w:p w:rsidR="0023438A" w:rsidRDefault="00A02C86">
      <w:pPr>
        <w:spacing w:after="356" w:line="259" w:lineRule="auto"/>
        <w:ind w:left="10"/>
      </w:pPr>
      <w:r>
        <w:t>Literature Review............................................................................................................</w:t>
      </w:r>
      <w:r>
        <w:t>.............. 26</w:t>
      </w:r>
      <w:r>
        <w:rPr>
          <w:rFonts w:ascii="Calibri" w:eastAsia="Calibri" w:hAnsi="Calibri" w:cs="Calibri"/>
          <w:sz w:val="22"/>
        </w:rPr>
        <w:t xml:space="preserve"> </w:t>
      </w:r>
    </w:p>
    <w:p w:rsidR="0023438A" w:rsidRDefault="00A02C86">
      <w:pPr>
        <w:spacing w:after="354" w:line="259" w:lineRule="auto"/>
        <w:ind w:left="231"/>
      </w:pPr>
      <w:r>
        <w:t>Introduction ............................................................................................................................... 26</w:t>
      </w:r>
      <w:r>
        <w:rPr>
          <w:rFonts w:ascii="Calibri" w:eastAsia="Calibri" w:hAnsi="Calibri" w:cs="Calibri"/>
          <w:sz w:val="22"/>
        </w:rPr>
        <w:t xml:space="preserve"> </w:t>
      </w:r>
    </w:p>
    <w:p w:rsidR="0023438A" w:rsidRDefault="00A02C86">
      <w:pPr>
        <w:spacing w:after="355" w:line="259" w:lineRule="auto"/>
        <w:ind w:left="10" w:right="-15"/>
        <w:jc w:val="right"/>
      </w:pPr>
      <w:r>
        <w:t>Types of WBL. ..............................................................................</w:t>
      </w:r>
      <w:r>
        <w:t>........................................ 44</w:t>
      </w:r>
      <w:r>
        <w:rPr>
          <w:rFonts w:ascii="Calibri" w:eastAsia="Calibri" w:hAnsi="Calibri" w:cs="Calibri"/>
          <w:sz w:val="22"/>
        </w:rPr>
        <w:t xml:space="preserve"> </w:t>
      </w:r>
    </w:p>
    <w:p w:rsidR="0023438A" w:rsidRDefault="00A02C86">
      <w:pPr>
        <w:spacing w:after="355" w:line="259" w:lineRule="auto"/>
        <w:ind w:left="10" w:right="-15"/>
        <w:jc w:val="right"/>
      </w:pPr>
      <w:r>
        <w:t>Apprenticeships. .................................................................................................................... 45</w:t>
      </w:r>
      <w:r>
        <w:rPr>
          <w:rFonts w:ascii="Calibri" w:eastAsia="Calibri" w:hAnsi="Calibri" w:cs="Calibri"/>
          <w:sz w:val="22"/>
        </w:rPr>
        <w:t xml:space="preserve"> </w:t>
      </w:r>
    </w:p>
    <w:p w:rsidR="0023438A" w:rsidRDefault="00A02C86">
      <w:pPr>
        <w:spacing w:after="355" w:line="259" w:lineRule="auto"/>
        <w:ind w:left="10" w:right="-15"/>
        <w:jc w:val="right"/>
      </w:pPr>
      <w:r>
        <w:t>School-based simulations. ...............................................</w:t>
      </w:r>
      <w:r>
        <w:t>...................................................... 47</w:t>
      </w:r>
      <w:r>
        <w:rPr>
          <w:rFonts w:ascii="Calibri" w:eastAsia="Calibri" w:hAnsi="Calibri" w:cs="Calibri"/>
          <w:sz w:val="22"/>
        </w:rPr>
        <w:t xml:space="preserve"> </w:t>
      </w:r>
      <w:r>
        <w:t>Internships/Co-operative (Co-op)/Clinical education. .......................................................... 47</w:t>
      </w:r>
      <w:r>
        <w:rPr>
          <w:rFonts w:ascii="Calibri" w:eastAsia="Calibri" w:hAnsi="Calibri" w:cs="Calibri"/>
          <w:sz w:val="22"/>
        </w:rPr>
        <w:t xml:space="preserve"> </w:t>
      </w:r>
    </w:p>
    <w:p w:rsidR="0023438A" w:rsidRDefault="00A02C86">
      <w:pPr>
        <w:spacing w:after="354" w:line="259" w:lineRule="auto"/>
        <w:ind w:left="10"/>
      </w:pPr>
      <w:r>
        <w:t>CHAPTER III: .....................................................................</w:t>
      </w:r>
      <w:r>
        <w:t>......................................................... 66</w:t>
      </w:r>
      <w:r>
        <w:rPr>
          <w:rFonts w:ascii="Calibri" w:eastAsia="Calibri" w:hAnsi="Calibri" w:cs="Calibri"/>
          <w:sz w:val="22"/>
        </w:rPr>
        <w:t xml:space="preserve"> </w:t>
      </w:r>
    </w:p>
    <w:p w:rsidR="0023438A" w:rsidRDefault="00A02C86">
      <w:pPr>
        <w:spacing w:after="356" w:line="259" w:lineRule="auto"/>
        <w:ind w:left="10"/>
      </w:pPr>
      <w:r>
        <w:t>Methodology ................................................................................................................................. 66</w:t>
      </w:r>
      <w:r>
        <w:rPr>
          <w:rFonts w:ascii="Calibri" w:eastAsia="Calibri" w:hAnsi="Calibri" w:cs="Calibri"/>
          <w:sz w:val="22"/>
        </w:rPr>
        <w:t xml:space="preserve"> </w:t>
      </w:r>
    </w:p>
    <w:p w:rsidR="0023438A" w:rsidRDefault="00A02C86">
      <w:pPr>
        <w:spacing w:after="356" w:line="259" w:lineRule="auto"/>
        <w:ind w:left="231"/>
      </w:pPr>
      <w:r>
        <w:t xml:space="preserve">Problem </w:t>
      </w:r>
      <w:proofErr w:type="gramStart"/>
      <w:r>
        <w:t>Statement ..............................</w:t>
      </w:r>
      <w:r>
        <w:t>......................................................................................</w:t>
      </w:r>
      <w:proofErr w:type="gramEnd"/>
      <w:r>
        <w:t xml:space="preserve"> 66</w:t>
      </w:r>
      <w:r>
        <w:rPr>
          <w:rFonts w:ascii="Calibri" w:eastAsia="Calibri" w:hAnsi="Calibri" w:cs="Calibri"/>
          <w:sz w:val="22"/>
        </w:rPr>
        <w:t xml:space="preserve"> </w:t>
      </w:r>
    </w:p>
    <w:p w:rsidR="0023438A" w:rsidRDefault="00A02C86">
      <w:pPr>
        <w:spacing w:after="354" w:line="259" w:lineRule="auto"/>
        <w:ind w:left="231"/>
      </w:pPr>
      <w:r>
        <w:t>Research Questions ................................................................................................................... 67</w:t>
      </w:r>
      <w:r>
        <w:rPr>
          <w:rFonts w:ascii="Calibri" w:eastAsia="Calibri" w:hAnsi="Calibri" w:cs="Calibri"/>
          <w:sz w:val="22"/>
        </w:rPr>
        <w:t xml:space="preserve"> </w:t>
      </w:r>
    </w:p>
    <w:p w:rsidR="0023438A" w:rsidRDefault="00A02C86">
      <w:pPr>
        <w:spacing w:after="356" w:line="259" w:lineRule="auto"/>
        <w:ind w:left="231"/>
      </w:pPr>
      <w:r>
        <w:t>Target Population, Sampling Method, and Related Procedures................................................ 68</w:t>
      </w:r>
      <w:r>
        <w:rPr>
          <w:rFonts w:ascii="Calibri" w:eastAsia="Calibri" w:hAnsi="Calibri" w:cs="Calibri"/>
          <w:sz w:val="22"/>
        </w:rPr>
        <w:t xml:space="preserve"> </w:t>
      </w:r>
    </w:p>
    <w:p w:rsidR="0023438A" w:rsidRDefault="00A02C86">
      <w:pPr>
        <w:spacing w:after="356" w:line="259" w:lineRule="auto"/>
        <w:ind w:left="231"/>
      </w:pPr>
      <w:r>
        <w:t>Instrumentation.......................................................................................................................... 69</w:t>
      </w:r>
      <w:r>
        <w:rPr>
          <w:rFonts w:ascii="Calibri" w:eastAsia="Calibri" w:hAnsi="Calibri" w:cs="Calibri"/>
          <w:sz w:val="22"/>
        </w:rPr>
        <w:t xml:space="preserve"> </w:t>
      </w:r>
    </w:p>
    <w:p w:rsidR="0023438A" w:rsidRDefault="00A02C86">
      <w:pPr>
        <w:spacing w:after="354" w:line="259" w:lineRule="auto"/>
        <w:ind w:left="231"/>
      </w:pPr>
      <w:r>
        <w:t>Dat</w:t>
      </w:r>
      <w:r>
        <w:t xml:space="preserve">a </w:t>
      </w:r>
      <w:proofErr w:type="gramStart"/>
      <w:r>
        <w:t>Collection ..........................................................................................................................</w:t>
      </w:r>
      <w:proofErr w:type="gramEnd"/>
      <w:r>
        <w:t xml:space="preserve"> 71</w:t>
      </w:r>
      <w:r>
        <w:rPr>
          <w:rFonts w:ascii="Calibri" w:eastAsia="Calibri" w:hAnsi="Calibri" w:cs="Calibri"/>
          <w:sz w:val="22"/>
        </w:rPr>
        <w:t xml:space="preserve"> </w:t>
      </w:r>
    </w:p>
    <w:p w:rsidR="0023438A" w:rsidRDefault="00A02C86">
      <w:pPr>
        <w:spacing w:after="356" w:line="259" w:lineRule="auto"/>
        <w:ind w:left="231"/>
      </w:pPr>
      <w:r>
        <w:t>Data Analysis Procedures............................................................................................</w:t>
      </w:r>
      <w:r>
        <w:t>.............. 71</w:t>
      </w:r>
      <w:r>
        <w:rPr>
          <w:rFonts w:ascii="Calibri" w:eastAsia="Calibri" w:hAnsi="Calibri" w:cs="Calibri"/>
          <w:sz w:val="22"/>
        </w:rPr>
        <w:t xml:space="preserve"> </w:t>
      </w:r>
    </w:p>
    <w:p w:rsidR="0023438A" w:rsidRDefault="00A02C86">
      <w:pPr>
        <w:spacing w:after="354" w:line="259" w:lineRule="auto"/>
        <w:ind w:left="231"/>
      </w:pPr>
      <w:r>
        <w:lastRenderedPageBreak/>
        <w:t xml:space="preserve">Ethical </w:t>
      </w:r>
      <w:proofErr w:type="gramStart"/>
      <w:r>
        <w:t>Issues .............................................................................................................................</w:t>
      </w:r>
      <w:proofErr w:type="gramEnd"/>
      <w:r>
        <w:t xml:space="preserve"> 72</w:t>
      </w:r>
      <w:r>
        <w:rPr>
          <w:rFonts w:ascii="Calibri" w:eastAsia="Calibri" w:hAnsi="Calibri" w:cs="Calibri"/>
          <w:sz w:val="22"/>
        </w:rPr>
        <w:t xml:space="preserve"> </w:t>
      </w:r>
    </w:p>
    <w:p w:rsidR="0023438A" w:rsidRDefault="00A02C86">
      <w:pPr>
        <w:spacing w:after="356" w:line="259" w:lineRule="auto"/>
        <w:ind w:left="231"/>
      </w:pPr>
      <w:proofErr w:type="gramStart"/>
      <w:r>
        <w:t>Summary ....................................................................................</w:t>
      </w:r>
      <w:r>
        <w:t>...............................................</w:t>
      </w:r>
      <w:proofErr w:type="gramEnd"/>
      <w:r>
        <w:t xml:space="preserve"> 72</w:t>
      </w:r>
      <w:r>
        <w:rPr>
          <w:rFonts w:ascii="Calibri" w:eastAsia="Calibri" w:hAnsi="Calibri" w:cs="Calibri"/>
          <w:sz w:val="22"/>
        </w:rPr>
        <w:t xml:space="preserve"> </w:t>
      </w:r>
    </w:p>
    <w:p w:rsidR="0023438A" w:rsidRDefault="00A02C86">
      <w:pPr>
        <w:spacing w:after="356" w:line="259" w:lineRule="auto"/>
        <w:ind w:left="10"/>
      </w:pPr>
      <w:r>
        <w:t>CHAPTER IV ............................................................................................................................... 74</w:t>
      </w:r>
      <w:r>
        <w:rPr>
          <w:rFonts w:ascii="Calibri" w:eastAsia="Calibri" w:hAnsi="Calibri" w:cs="Calibri"/>
          <w:sz w:val="22"/>
        </w:rPr>
        <w:t xml:space="preserve"> </w:t>
      </w:r>
    </w:p>
    <w:p w:rsidR="0023438A" w:rsidRDefault="00A02C86">
      <w:pPr>
        <w:spacing w:after="354" w:line="259" w:lineRule="auto"/>
        <w:ind w:left="10"/>
      </w:pPr>
      <w:r>
        <w:t>Results .....................................................</w:t>
      </w:r>
      <w:r>
        <w:t>...................................................................................... 74</w:t>
      </w:r>
      <w:r>
        <w:rPr>
          <w:rFonts w:ascii="Calibri" w:eastAsia="Calibri" w:hAnsi="Calibri" w:cs="Calibri"/>
          <w:sz w:val="22"/>
        </w:rPr>
        <w:t xml:space="preserve"> </w:t>
      </w:r>
    </w:p>
    <w:p w:rsidR="0023438A" w:rsidRDefault="00A02C86">
      <w:pPr>
        <w:spacing w:after="356" w:line="259" w:lineRule="auto"/>
        <w:ind w:left="231"/>
      </w:pPr>
      <w:r>
        <w:t xml:space="preserve">Data Collection </w:t>
      </w:r>
      <w:proofErr w:type="gramStart"/>
      <w:r>
        <w:t>Methods ...........................................................................................................</w:t>
      </w:r>
      <w:proofErr w:type="gramEnd"/>
      <w:r>
        <w:t xml:space="preserve"> 75</w:t>
      </w:r>
      <w:r>
        <w:rPr>
          <w:rFonts w:ascii="Calibri" w:eastAsia="Calibri" w:hAnsi="Calibri" w:cs="Calibri"/>
          <w:sz w:val="22"/>
        </w:rPr>
        <w:t xml:space="preserve"> </w:t>
      </w:r>
    </w:p>
    <w:p w:rsidR="0023438A" w:rsidRDefault="00A02C86">
      <w:pPr>
        <w:spacing w:after="356" w:line="259" w:lineRule="auto"/>
        <w:ind w:left="231"/>
      </w:pPr>
      <w:r>
        <w:t>Research Questions ..........</w:t>
      </w:r>
      <w:r>
        <w:t>......................................................................................................... 76</w:t>
      </w:r>
      <w:r>
        <w:rPr>
          <w:rFonts w:ascii="Calibri" w:eastAsia="Calibri" w:hAnsi="Calibri" w:cs="Calibri"/>
          <w:sz w:val="22"/>
        </w:rPr>
        <w:t xml:space="preserve"> </w:t>
      </w:r>
    </w:p>
    <w:p w:rsidR="0023438A" w:rsidRDefault="00A02C86">
      <w:pPr>
        <w:spacing w:after="354" w:line="259" w:lineRule="auto"/>
        <w:ind w:left="231"/>
      </w:pPr>
      <w:r>
        <w:t>Results of the Study................................................................................................................... 76</w:t>
      </w:r>
      <w:r>
        <w:rPr>
          <w:rFonts w:ascii="Calibri" w:eastAsia="Calibri" w:hAnsi="Calibri" w:cs="Calibri"/>
          <w:sz w:val="22"/>
        </w:rPr>
        <w:t xml:space="preserve"> </w:t>
      </w:r>
    </w:p>
    <w:p w:rsidR="0023438A" w:rsidRDefault="00A02C86">
      <w:pPr>
        <w:spacing w:after="356" w:line="259" w:lineRule="auto"/>
        <w:ind w:left="435"/>
      </w:pPr>
      <w:r>
        <w:t>Demogr</w:t>
      </w:r>
      <w:r>
        <w:t>aphic Characteristics ................................................................................................. 76</w:t>
      </w:r>
      <w:r>
        <w:rPr>
          <w:rFonts w:ascii="Calibri" w:eastAsia="Calibri" w:hAnsi="Calibri" w:cs="Calibri"/>
          <w:sz w:val="22"/>
        </w:rPr>
        <w:t xml:space="preserve"> </w:t>
      </w:r>
    </w:p>
    <w:p w:rsidR="0023438A" w:rsidRDefault="00A02C86">
      <w:pPr>
        <w:spacing w:after="356" w:line="259" w:lineRule="auto"/>
        <w:ind w:left="435"/>
      </w:pPr>
      <w:r>
        <w:t xml:space="preserve">Reliability of the </w:t>
      </w:r>
      <w:proofErr w:type="gramStart"/>
      <w:r>
        <w:t>Instrument ..................................................................................................</w:t>
      </w:r>
      <w:proofErr w:type="gramEnd"/>
      <w:r>
        <w:t xml:space="preserve"> 79</w:t>
      </w:r>
      <w:r>
        <w:rPr>
          <w:rFonts w:ascii="Calibri" w:eastAsia="Calibri" w:hAnsi="Calibri" w:cs="Calibri"/>
          <w:sz w:val="22"/>
        </w:rPr>
        <w:t xml:space="preserve"> </w:t>
      </w:r>
    </w:p>
    <w:p w:rsidR="0023438A" w:rsidRDefault="00A02C86">
      <w:pPr>
        <w:spacing w:after="354" w:line="259" w:lineRule="auto"/>
        <w:ind w:left="435"/>
      </w:pPr>
      <w:r>
        <w:t xml:space="preserve">Results for Research Question </w:t>
      </w:r>
      <w:proofErr w:type="gramStart"/>
      <w:r>
        <w:t>1 ............................................................................................</w:t>
      </w:r>
      <w:proofErr w:type="gramEnd"/>
      <w:r>
        <w:t xml:space="preserve"> 80</w:t>
      </w:r>
      <w:r>
        <w:rPr>
          <w:rFonts w:ascii="Calibri" w:eastAsia="Calibri" w:hAnsi="Calibri" w:cs="Calibri"/>
          <w:sz w:val="22"/>
        </w:rPr>
        <w:t xml:space="preserve"> </w:t>
      </w:r>
    </w:p>
    <w:p w:rsidR="0023438A" w:rsidRDefault="00A02C86">
      <w:pPr>
        <w:spacing w:after="356" w:line="259" w:lineRule="auto"/>
        <w:ind w:left="435"/>
      </w:pPr>
      <w:r>
        <w:t xml:space="preserve">Results for Research Question </w:t>
      </w:r>
      <w:proofErr w:type="gramStart"/>
      <w:r>
        <w:t>2 ............................................................................................</w:t>
      </w:r>
      <w:proofErr w:type="gramEnd"/>
      <w:r>
        <w:t xml:space="preserve"> 8</w:t>
      </w:r>
      <w:r>
        <w:t>6</w:t>
      </w:r>
      <w:r>
        <w:rPr>
          <w:rFonts w:ascii="Calibri" w:eastAsia="Calibri" w:hAnsi="Calibri" w:cs="Calibri"/>
          <w:sz w:val="22"/>
        </w:rPr>
        <w:t xml:space="preserve"> </w:t>
      </w:r>
      <w:r>
        <w:t xml:space="preserve">Qualitative Question </w:t>
      </w:r>
      <w:proofErr w:type="gramStart"/>
      <w:r>
        <w:t>Findings ...............................................................................................</w:t>
      </w:r>
      <w:proofErr w:type="gramEnd"/>
      <w:r>
        <w:t xml:space="preserve"> 94</w:t>
      </w:r>
      <w:r>
        <w:rPr>
          <w:rFonts w:ascii="Calibri" w:eastAsia="Calibri" w:hAnsi="Calibri" w:cs="Calibri"/>
          <w:sz w:val="22"/>
        </w:rPr>
        <w:t xml:space="preserve"> </w:t>
      </w:r>
    </w:p>
    <w:p w:rsidR="0023438A" w:rsidRDefault="00A02C86">
      <w:pPr>
        <w:spacing w:after="354" w:line="259" w:lineRule="auto"/>
        <w:ind w:left="435"/>
      </w:pPr>
      <w:r>
        <w:t>Summary of Results..........................................................................................................</w:t>
      </w:r>
      <w:r>
        <w:t>..... 99</w:t>
      </w:r>
      <w:r>
        <w:rPr>
          <w:rFonts w:ascii="Calibri" w:eastAsia="Calibri" w:hAnsi="Calibri" w:cs="Calibri"/>
          <w:sz w:val="22"/>
        </w:rPr>
        <w:t xml:space="preserve"> </w:t>
      </w:r>
    </w:p>
    <w:p w:rsidR="0023438A" w:rsidRDefault="00A02C86">
      <w:pPr>
        <w:spacing w:after="356" w:line="259" w:lineRule="auto"/>
        <w:ind w:left="10"/>
      </w:pPr>
      <w:r>
        <w:t>CHAPTER V .............................................................................................................................. 101</w:t>
      </w:r>
      <w:r>
        <w:rPr>
          <w:rFonts w:ascii="Calibri" w:eastAsia="Calibri" w:hAnsi="Calibri" w:cs="Calibri"/>
          <w:sz w:val="22"/>
        </w:rPr>
        <w:t xml:space="preserve"> </w:t>
      </w:r>
    </w:p>
    <w:p w:rsidR="0023438A" w:rsidRDefault="00A02C86">
      <w:pPr>
        <w:spacing w:after="356" w:line="259" w:lineRule="auto"/>
        <w:ind w:left="10"/>
      </w:pPr>
      <w:r>
        <w:lastRenderedPageBreak/>
        <w:t xml:space="preserve">Findings and </w:t>
      </w:r>
      <w:proofErr w:type="gramStart"/>
      <w:r>
        <w:t>Conclusions ...............................................................................</w:t>
      </w:r>
      <w:r>
        <w:t>............................</w:t>
      </w:r>
      <w:proofErr w:type="gramEnd"/>
      <w:r>
        <w:t xml:space="preserve"> 101</w:t>
      </w:r>
      <w:r>
        <w:rPr>
          <w:rFonts w:ascii="Calibri" w:eastAsia="Calibri" w:hAnsi="Calibri" w:cs="Calibri"/>
          <w:sz w:val="22"/>
        </w:rPr>
        <w:t xml:space="preserve"> </w:t>
      </w:r>
    </w:p>
    <w:p w:rsidR="0023438A" w:rsidRDefault="00A02C86">
      <w:pPr>
        <w:spacing w:after="355" w:line="259" w:lineRule="auto"/>
        <w:ind w:left="10" w:right="-15"/>
        <w:jc w:val="right"/>
      </w:pPr>
      <w:r>
        <w:t>Key Findings ........................................................................................................................... 102</w:t>
      </w:r>
      <w:r>
        <w:rPr>
          <w:rFonts w:ascii="Calibri" w:eastAsia="Calibri" w:hAnsi="Calibri" w:cs="Calibri"/>
          <w:sz w:val="22"/>
        </w:rPr>
        <w:t xml:space="preserve"> </w:t>
      </w:r>
    </w:p>
    <w:p w:rsidR="0023438A" w:rsidRDefault="00A02C86">
      <w:pPr>
        <w:spacing w:after="356" w:line="259" w:lineRule="auto"/>
        <w:ind w:left="435"/>
      </w:pPr>
      <w:r>
        <w:t>Summary of Results............................................................................................................. 103</w:t>
      </w:r>
      <w:r>
        <w:rPr>
          <w:rFonts w:ascii="Calibri" w:eastAsia="Calibri" w:hAnsi="Calibri" w:cs="Calibri"/>
          <w:sz w:val="22"/>
        </w:rPr>
        <w:t xml:space="preserve"> </w:t>
      </w:r>
    </w:p>
    <w:p w:rsidR="0023438A" w:rsidRDefault="00A02C86">
      <w:pPr>
        <w:spacing w:after="356" w:line="259" w:lineRule="auto"/>
        <w:ind w:left="435"/>
      </w:pPr>
      <w:r>
        <w:t>Research Question 1 .......................................................................................................</w:t>
      </w:r>
      <w:r>
        <w:t>..... 104</w:t>
      </w:r>
      <w:r>
        <w:rPr>
          <w:rFonts w:ascii="Calibri" w:eastAsia="Calibri" w:hAnsi="Calibri" w:cs="Calibri"/>
          <w:sz w:val="22"/>
        </w:rPr>
        <w:t xml:space="preserve"> </w:t>
      </w:r>
    </w:p>
    <w:p w:rsidR="0023438A" w:rsidRDefault="00A02C86">
      <w:pPr>
        <w:spacing w:after="354" w:line="259" w:lineRule="auto"/>
        <w:ind w:left="435"/>
      </w:pPr>
      <w:r>
        <w:t>Research Question 2 ............................................................................................................ 107</w:t>
      </w:r>
      <w:r>
        <w:rPr>
          <w:rFonts w:ascii="Calibri" w:eastAsia="Calibri" w:hAnsi="Calibri" w:cs="Calibri"/>
          <w:sz w:val="22"/>
        </w:rPr>
        <w:t xml:space="preserve"> </w:t>
      </w:r>
    </w:p>
    <w:p w:rsidR="0023438A" w:rsidRDefault="00A02C86">
      <w:pPr>
        <w:spacing w:after="356" w:line="259" w:lineRule="auto"/>
        <w:ind w:left="435"/>
      </w:pPr>
      <w:r>
        <w:t>Limitations and Delimitations .................................................................................</w:t>
      </w:r>
      <w:r>
        <w:t>............ 112</w:t>
      </w:r>
      <w:r>
        <w:rPr>
          <w:rFonts w:ascii="Calibri" w:eastAsia="Calibri" w:hAnsi="Calibri" w:cs="Calibri"/>
          <w:sz w:val="22"/>
        </w:rPr>
        <w:t xml:space="preserve"> </w:t>
      </w:r>
    </w:p>
    <w:p w:rsidR="0023438A" w:rsidRDefault="00A02C86">
      <w:pPr>
        <w:spacing w:after="355" w:line="259" w:lineRule="auto"/>
        <w:ind w:left="10" w:right="-15"/>
        <w:jc w:val="right"/>
      </w:pPr>
      <w:proofErr w:type="gramStart"/>
      <w:r>
        <w:t>Implications .............................................................................................................................</w:t>
      </w:r>
      <w:proofErr w:type="gramEnd"/>
      <w:r>
        <w:t xml:space="preserve"> 113</w:t>
      </w:r>
      <w:r>
        <w:rPr>
          <w:rFonts w:ascii="Calibri" w:eastAsia="Calibri" w:hAnsi="Calibri" w:cs="Calibri"/>
          <w:sz w:val="22"/>
        </w:rPr>
        <w:t xml:space="preserve"> </w:t>
      </w:r>
    </w:p>
    <w:p w:rsidR="0023438A" w:rsidRDefault="00A02C86">
      <w:pPr>
        <w:spacing w:after="356" w:line="259" w:lineRule="auto"/>
        <w:ind w:left="435"/>
      </w:pPr>
      <w:r>
        <w:t xml:space="preserve">Recommendations from the </w:t>
      </w:r>
      <w:proofErr w:type="gramStart"/>
      <w:r>
        <w:t>Study ...............................................................</w:t>
      </w:r>
      <w:r>
        <w:t>.......................</w:t>
      </w:r>
      <w:proofErr w:type="gramEnd"/>
      <w:r>
        <w:t xml:space="preserve"> 114</w:t>
      </w:r>
      <w:r>
        <w:rPr>
          <w:rFonts w:ascii="Calibri" w:eastAsia="Calibri" w:hAnsi="Calibri" w:cs="Calibri"/>
          <w:sz w:val="22"/>
        </w:rPr>
        <w:t xml:space="preserve"> </w:t>
      </w:r>
    </w:p>
    <w:p w:rsidR="0023438A" w:rsidRDefault="00A02C86">
      <w:pPr>
        <w:spacing w:after="356" w:line="259" w:lineRule="auto"/>
        <w:ind w:left="435"/>
      </w:pPr>
      <w:r>
        <w:t>Recommendations for Future Research ............................................................................... 115</w:t>
      </w:r>
      <w:r>
        <w:rPr>
          <w:rFonts w:ascii="Calibri" w:eastAsia="Calibri" w:hAnsi="Calibri" w:cs="Calibri"/>
          <w:sz w:val="22"/>
        </w:rPr>
        <w:t xml:space="preserve"> </w:t>
      </w:r>
    </w:p>
    <w:p w:rsidR="0023438A" w:rsidRDefault="00A02C86">
      <w:pPr>
        <w:spacing w:after="355" w:line="259" w:lineRule="auto"/>
        <w:ind w:left="10" w:right="-15"/>
        <w:jc w:val="right"/>
      </w:pPr>
      <w:r>
        <w:t>Conclusion ...............................................................................................</w:t>
      </w:r>
      <w:r>
        <w:t>................................ 115</w:t>
      </w:r>
      <w:r>
        <w:rPr>
          <w:rFonts w:ascii="Calibri" w:eastAsia="Calibri" w:hAnsi="Calibri" w:cs="Calibri"/>
          <w:sz w:val="22"/>
        </w:rPr>
        <w:t xml:space="preserve"> </w:t>
      </w:r>
    </w:p>
    <w:p w:rsidR="0023438A" w:rsidRDefault="00A02C86">
      <w:pPr>
        <w:spacing w:after="247" w:line="259" w:lineRule="auto"/>
        <w:ind w:left="10"/>
      </w:pPr>
      <w:proofErr w:type="gramStart"/>
      <w:r>
        <w:t>References ...................................................................................................................................</w:t>
      </w:r>
      <w:proofErr w:type="gramEnd"/>
      <w:r>
        <w:t xml:space="preserve"> 117</w:t>
      </w:r>
      <w:r>
        <w:rPr>
          <w:rFonts w:ascii="Calibri" w:eastAsia="Calibri" w:hAnsi="Calibri" w:cs="Calibri"/>
          <w:sz w:val="22"/>
        </w:rPr>
        <w:t xml:space="preserve"> </w:t>
      </w:r>
    </w:p>
    <w:p w:rsidR="0023438A" w:rsidRDefault="00A02C86">
      <w:pPr>
        <w:spacing w:after="247" w:line="259" w:lineRule="auto"/>
        <w:ind w:left="10"/>
      </w:pPr>
      <w:r>
        <w:rPr>
          <w:b/>
        </w:rPr>
        <w:t xml:space="preserve">List of Tables </w:t>
      </w:r>
    </w:p>
    <w:p w:rsidR="0023438A" w:rsidRDefault="00A02C86">
      <w:pPr>
        <w:spacing w:after="255" w:line="259" w:lineRule="auto"/>
        <w:ind w:left="10"/>
      </w:pPr>
      <w:r>
        <w:t>Table 1 ..............................................</w:t>
      </w:r>
      <w:r>
        <w:t>............................................................................................ 70</w:t>
      </w:r>
      <w:r>
        <w:rPr>
          <w:rFonts w:ascii="Calibri" w:eastAsia="Calibri" w:hAnsi="Calibri" w:cs="Calibri"/>
          <w:sz w:val="22"/>
        </w:rPr>
        <w:t xml:space="preserve"> </w:t>
      </w:r>
    </w:p>
    <w:p w:rsidR="0023438A" w:rsidRDefault="00A02C86">
      <w:pPr>
        <w:spacing w:after="255" w:line="259" w:lineRule="auto"/>
        <w:ind w:left="10"/>
      </w:pPr>
      <w:r>
        <w:t>Table 2 .......................................................................................................................................... 77</w:t>
      </w:r>
      <w:r>
        <w:rPr>
          <w:rFonts w:ascii="Calibri" w:eastAsia="Calibri" w:hAnsi="Calibri" w:cs="Calibri"/>
          <w:sz w:val="22"/>
        </w:rPr>
        <w:t xml:space="preserve"> </w:t>
      </w:r>
    </w:p>
    <w:p w:rsidR="0023438A" w:rsidRDefault="00A02C86">
      <w:pPr>
        <w:spacing w:after="255" w:line="259" w:lineRule="auto"/>
        <w:ind w:left="10"/>
      </w:pPr>
      <w:r>
        <w:t>Table 3 .......................................................................................................................................... 78</w:t>
      </w:r>
      <w:r>
        <w:rPr>
          <w:rFonts w:ascii="Calibri" w:eastAsia="Calibri" w:hAnsi="Calibri" w:cs="Calibri"/>
          <w:sz w:val="22"/>
        </w:rPr>
        <w:t xml:space="preserve"> </w:t>
      </w:r>
    </w:p>
    <w:p w:rsidR="0023438A" w:rsidRDefault="00A02C86">
      <w:pPr>
        <w:spacing w:after="255" w:line="259" w:lineRule="auto"/>
        <w:ind w:left="10"/>
      </w:pPr>
      <w:r>
        <w:lastRenderedPageBreak/>
        <w:t>Table 4 .................................................................................................</w:t>
      </w:r>
      <w:r>
        <w:t>......................................... 79</w:t>
      </w:r>
      <w:r>
        <w:rPr>
          <w:rFonts w:ascii="Calibri" w:eastAsia="Calibri" w:hAnsi="Calibri" w:cs="Calibri"/>
          <w:sz w:val="22"/>
        </w:rPr>
        <w:t xml:space="preserve"> </w:t>
      </w:r>
    </w:p>
    <w:p w:rsidR="0023438A" w:rsidRDefault="00A02C86">
      <w:pPr>
        <w:spacing w:after="255" w:line="259" w:lineRule="auto"/>
        <w:ind w:left="10"/>
      </w:pPr>
      <w:r>
        <w:t>Table 5 .......................................................................................................................................... 81</w:t>
      </w:r>
      <w:r>
        <w:rPr>
          <w:rFonts w:ascii="Calibri" w:eastAsia="Calibri" w:hAnsi="Calibri" w:cs="Calibri"/>
          <w:sz w:val="22"/>
        </w:rPr>
        <w:t xml:space="preserve"> </w:t>
      </w:r>
    </w:p>
    <w:p w:rsidR="0023438A" w:rsidRDefault="00A02C86">
      <w:pPr>
        <w:spacing w:after="255" w:line="259" w:lineRule="auto"/>
        <w:ind w:left="10"/>
      </w:pPr>
      <w:r>
        <w:t>Table 6 ...................................................</w:t>
      </w:r>
      <w:r>
        <w:t>....................................................................................... 83</w:t>
      </w:r>
      <w:r>
        <w:rPr>
          <w:rFonts w:ascii="Calibri" w:eastAsia="Calibri" w:hAnsi="Calibri" w:cs="Calibri"/>
          <w:sz w:val="22"/>
        </w:rPr>
        <w:t xml:space="preserve"> </w:t>
      </w:r>
    </w:p>
    <w:p w:rsidR="0023438A" w:rsidRDefault="00A02C86">
      <w:pPr>
        <w:spacing w:after="255" w:line="259" w:lineRule="auto"/>
        <w:ind w:left="10"/>
      </w:pPr>
      <w:r>
        <w:t>Table 7 .......................................................................................................................................... 84</w:t>
      </w:r>
      <w:r>
        <w:rPr>
          <w:rFonts w:ascii="Calibri" w:eastAsia="Calibri" w:hAnsi="Calibri" w:cs="Calibri"/>
          <w:sz w:val="22"/>
        </w:rPr>
        <w:t xml:space="preserve"> </w:t>
      </w:r>
    </w:p>
    <w:p w:rsidR="0023438A" w:rsidRDefault="00A02C86">
      <w:pPr>
        <w:spacing w:after="255" w:line="259" w:lineRule="auto"/>
        <w:ind w:left="10"/>
      </w:pPr>
      <w:r>
        <w:t>Table 8 .....</w:t>
      </w:r>
      <w:r>
        <w:t>..................................................................................................................................... 87</w:t>
      </w:r>
      <w:r>
        <w:rPr>
          <w:rFonts w:ascii="Calibri" w:eastAsia="Calibri" w:hAnsi="Calibri" w:cs="Calibri"/>
          <w:sz w:val="22"/>
        </w:rPr>
        <w:t xml:space="preserve"> </w:t>
      </w:r>
    </w:p>
    <w:p w:rsidR="0023438A" w:rsidRDefault="00A02C86">
      <w:pPr>
        <w:spacing w:after="255" w:line="259" w:lineRule="auto"/>
        <w:ind w:left="10"/>
      </w:pPr>
      <w:r>
        <w:t>Table 9 ..............................................................................................................</w:t>
      </w:r>
      <w:r>
        <w:t>............................ 89</w:t>
      </w:r>
      <w:r>
        <w:rPr>
          <w:rFonts w:ascii="Calibri" w:eastAsia="Calibri" w:hAnsi="Calibri" w:cs="Calibri"/>
          <w:sz w:val="22"/>
        </w:rPr>
        <w:t xml:space="preserve"> </w:t>
      </w:r>
    </w:p>
    <w:p w:rsidR="0023438A" w:rsidRDefault="00A02C86">
      <w:pPr>
        <w:spacing w:after="255" w:line="259" w:lineRule="auto"/>
        <w:ind w:left="10"/>
      </w:pPr>
      <w:r>
        <w:t>Table 10 ........................................................................................................................................ 91</w:t>
      </w:r>
      <w:r>
        <w:rPr>
          <w:rFonts w:ascii="Calibri" w:eastAsia="Calibri" w:hAnsi="Calibri" w:cs="Calibri"/>
          <w:sz w:val="22"/>
        </w:rPr>
        <w:t xml:space="preserve"> </w:t>
      </w:r>
    </w:p>
    <w:p w:rsidR="0023438A" w:rsidRDefault="00A02C86">
      <w:pPr>
        <w:spacing w:after="249" w:line="478" w:lineRule="auto"/>
        <w:ind w:left="10"/>
        <w:jc w:val="both"/>
      </w:pPr>
      <w:r>
        <w:t>Table 11 ........................................................................................................................................ 93</w:t>
      </w:r>
      <w:r>
        <w:rPr>
          <w:rFonts w:ascii="Calibri" w:eastAsia="Calibri" w:hAnsi="Calibri" w:cs="Calibri"/>
          <w:sz w:val="22"/>
        </w:rPr>
        <w:t xml:space="preserve"> </w:t>
      </w:r>
      <w:r>
        <w:t>Table 12 ..................................................................................................</w:t>
      </w:r>
      <w:r>
        <w:t>...................................... 95</w:t>
      </w:r>
      <w:r>
        <w:rPr>
          <w:rFonts w:ascii="Calibri" w:eastAsia="Calibri" w:hAnsi="Calibri" w:cs="Calibri"/>
          <w:sz w:val="22"/>
        </w:rPr>
        <w:t xml:space="preserve"> </w:t>
      </w:r>
      <w:r>
        <w:rPr>
          <w:b/>
        </w:rPr>
        <w:t xml:space="preserve">List of Figures </w:t>
      </w:r>
    </w:p>
    <w:p w:rsidR="0023438A" w:rsidRDefault="00A02C86">
      <w:pPr>
        <w:ind w:left="10"/>
      </w:pPr>
      <w:r>
        <w:rPr>
          <w:i/>
        </w:rPr>
        <w:t xml:space="preserve">Figure 1. </w:t>
      </w:r>
      <w:r>
        <w:t>Kolb’s four-stage learning cycle (Kolb, 1984)</w:t>
      </w:r>
      <w:r>
        <w:rPr>
          <w:i/>
        </w:rPr>
        <w:t>.</w:t>
      </w:r>
      <w:r>
        <w:t xml:space="preserve"> ............................................................ 44</w:t>
      </w:r>
      <w:r>
        <w:rPr>
          <w:rFonts w:ascii="Calibri" w:eastAsia="Calibri" w:hAnsi="Calibri" w:cs="Calibri"/>
          <w:sz w:val="22"/>
        </w:rPr>
        <w:t xml:space="preserve"> </w:t>
      </w:r>
      <w:r>
        <w:rPr>
          <w:i/>
        </w:rPr>
        <w:t>Figure 2</w:t>
      </w:r>
      <w:r>
        <w:t xml:space="preserve">. Respondents’ impressions of the top three clusters with an excess </w:t>
      </w:r>
      <w:r>
        <w:t xml:space="preserve">demand for </w:t>
      </w:r>
    </w:p>
    <w:p w:rsidR="0023438A" w:rsidRDefault="00A02C86">
      <w:pPr>
        <w:spacing w:after="255" w:line="259" w:lineRule="auto"/>
        <w:ind w:left="10"/>
      </w:pPr>
      <w:proofErr w:type="gramStart"/>
      <w:r>
        <w:t>apprentices</w:t>
      </w:r>
      <w:proofErr w:type="gramEnd"/>
      <w:r>
        <w:t xml:space="preserve"> in your area, compared to the number of applicants. .................................................. 85</w:t>
      </w:r>
      <w:r>
        <w:rPr>
          <w:rFonts w:ascii="Calibri" w:eastAsia="Calibri" w:hAnsi="Calibri" w:cs="Calibri"/>
          <w:sz w:val="22"/>
        </w:rPr>
        <w:t xml:space="preserve"> </w:t>
      </w:r>
    </w:p>
    <w:p w:rsidR="0023438A" w:rsidRDefault="00A02C86">
      <w:pPr>
        <w:spacing w:after="255" w:line="259" w:lineRule="auto"/>
        <w:ind w:left="10"/>
      </w:pPr>
      <w:r>
        <w:rPr>
          <w:i/>
        </w:rPr>
        <w:t>Figure 3</w:t>
      </w:r>
      <w:r>
        <w:t>. Frequencies of open-ended response themes. ............................................................... 98</w:t>
      </w:r>
      <w:r>
        <w:rPr>
          <w:rFonts w:ascii="Calibri" w:eastAsia="Calibri" w:hAnsi="Calibri" w:cs="Calibri"/>
          <w:sz w:val="22"/>
        </w:rP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lastRenderedPageBreak/>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252" w:line="259" w:lineRule="auto"/>
        <w:ind w:left="70" w:firstLine="0"/>
        <w:jc w:val="center"/>
      </w:pPr>
      <w:r>
        <w:t xml:space="preserve"> </w:t>
      </w:r>
    </w:p>
    <w:p w:rsidR="0023438A" w:rsidRDefault="00A02C86">
      <w:pPr>
        <w:spacing w:after="0" w:line="259" w:lineRule="auto"/>
        <w:ind w:left="70" w:firstLine="0"/>
        <w:jc w:val="center"/>
      </w:pPr>
      <w:r>
        <w:t xml:space="preserve"> </w:t>
      </w:r>
    </w:p>
    <w:p w:rsidR="0023438A" w:rsidRDefault="0023438A">
      <w:pPr>
        <w:sectPr w:rsidR="0023438A">
          <w:headerReference w:type="even" r:id="rId10"/>
          <w:headerReference w:type="default" r:id="rId11"/>
          <w:headerReference w:type="first" r:id="rId12"/>
          <w:pgSz w:w="12240" w:h="15840"/>
          <w:pgMar w:top="1442" w:right="1450" w:bottom="1693" w:left="1440" w:header="717" w:footer="720" w:gutter="0"/>
          <w:cols w:space="720"/>
        </w:sectPr>
      </w:pPr>
    </w:p>
    <w:p w:rsidR="0023438A" w:rsidRDefault="00A02C86">
      <w:pPr>
        <w:pStyle w:val="Heading1"/>
        <w:spacing w:after="249"/>
        <w:ind w:right="1239"/>
        <w:jc w:val="center"/>
      </w:pPr>
      <w:r>
        <w:lastRenderedPageBreak/>
        <w:t xml:space="preserve">List of Appendices </w:t>
      </w:r>
    </w:p>
    <w:p w:rsidR="0023438A" w:rsidRDefault="00A02C86">
      <w:pPr>
        <w:spacing w:after="255" w:line="259" w:lineRule="auto"/>
        <w:ind w:left="435" w:right="777"/>
      </w:pPr>
      <w:r>
        <w:t>Appendix A ..........................................................................................................................</w:t>
      </w:r>
      <w:r>
        <w:t>....... 134</w:t>
      </w:r>
      <w:r>
        <w:rPr>
          <w:rFonts w:ascii="Calibri" w:eastAsia="Calibri" w:hAnsi="Calibri" w:cs="Calibri"/>
          <w:sz w:val="22"/>
        </w:rPr>
        <w:t xml:space="preserve"> </w:t>
      </w:r>
    </w:p>
    <w:p w:rsidR="0023438A" w:rsidRDefault="00A02C86">
      <w:pPr>
        <w:spacing w:after="255" w:line="259" w:lineRule="auto"/>
        <w:ind w:left="435" w:right="777"/>
      </w:pPr>
      <w:r>
        <w:t>Appendix B ................................................................................................................................. 144</w:t>
      </w:r>
      <w:r>
        <w:rPr>
          <w:rFonts w:ascii="Calibri" w:eastAsia="Calibri" w:hAnsi="Calibri" w:cs="Calibri"/>
          <w:sz w:val="22"/>
        </w:rPr>
        <w:t xml:space="preserve"> </w:t>
      </w:r>
    </w:p>
    <w:p w:rsidR="0023438A" w:rsidRDefault="00A02C86">
      <w:pPr>
        <w:spacing w:after="255" w:line="259" w:lineRule="auto"/>
        <w:ind w:left="435" w:right="777"/>
      </w:pPr>
      <w:r>
        <w:t>Appendix C ......................................................................................</w:t>
      </w:r>
      <w:r>
        <w:t>........................................... 154</w:t>
      </w:r>
      <w:r>
        <w:rPr>
          <w:rFonts w:ascii="Calibri" w:eastAsia="Calibri" w:hAnsi="Calibri" w:cs="Calibri"/>
          <w:sz w:val="22"/>
        </w:rPr>
        <w:t xml:space="preserve"> </w:t>
      </w:r>
    </w:p>
    <w:p w:rsidR="0023438A" w:rsidRDefault="00A02C86">
      <w:pPr>
        <w:spacing w:after="252"/>
        <w:ind w:left="10" w:right="267"/>
        <w:jc w:val="center"/>
      </w:pPr>
      <w:r>
        <w:t>Appendix D ................................................................................................................................. 161</w:t>
      </w:r>
      <w:r>
        <w:rPr>
          <w:rFonts w:ascii="Calibri" w:eastAsia="Calibri" w:hAnsi="Calibri" w:cs="Calibri"/>
          <w:sz w:val="22"/>
        </w:rPr>
        <w:t xml:space="preserve"> </w:t>
      </w:r>
      <w:r>
        <w:t>Appendix E ...................................................</w:t>
      </w:r>
      <w:r>
        <w:t>.............................................................................. 162</w:t>
      </w:r>
      <w:r>
        <w:rPr>
          <w:rFonts w:ascii="Calibri" w:eastAsia="Calibri" w:hAnsi="Calibri" w:cs="Calibri"/>
          <w:sz w:val="22"/>
        </w:rPr>
        <w:t xml:space="preserve"> </w:t>
      </w:r>
    </w:p>
    <w:p w:rsidR="0023438A" w:rsidRDefault="00A02C86">
      <w:pPr>
        <w:spacing w:after="252"/>
        <w:ind w:left="10" w:right="267"/>
        <w:jc w:val="center"/>
      </w:pPr>
      <w:r>
        <w:rPr>
          <w:b/>
        </w:rPr>
        <w:t xml:space="preserve">CHAPTER I </w:t>
      </w:r>
    </w:p>
    <w:p w:rsidR="0023438A" w:rsidRDefault="00A02C86">
      <w:pPr>
        <w:pStyle w:val="Heading1"/>
        <w:spacing w:after="249"/>
        <w:ind w:right="1240"/>
        <w:jc w:val="center"/>
      </w:pPr>
      <w:r>
        <w:t>Introduction</w:t>
      </w:r>
      <w:r>
        <w:rPr>
          <w:sz w:val="23"/>
        </w:rPr>
        <w:t xml:space="preserve"> </w:t>
      </w:r>
    </w:p>
    <w:p w:rsidR="0023438A" w:rsidRDefault="00A02C86">
      <w:pPr>
        <w:ind w:left="425" w:right="777" w:firstLine="720"/>
      </w:pPr>
      <w:r>
        <w:t>Higher education institutions across the United States are increasingly under scrutiny to deliver positive career outcomes for their graduates. Res</w:t>
      </w:r>
      <w:r>
        <w:t xml:space="preserve">earch has demonstrated that offering some form of experiential learning before graduation helps students gain exposure to the </w:t>
      </w:r>
      <w:proofErr w:type="spellStart"/>
      <w:r>
        <w:t>realworld</w:t>
      </w:r>
      <w:proofErr w:type="spellEnd"/>
      <w:r>
        <w:t xml:space="preserve"> application of their program of study. Early exposure to the profession improves graduate outcomes for job placement rat</w:t>
      </w:r>
      <w:r>
        <w:t xml:space="preserve">es and wage attainment (Boudreau &amp; Marx, 2018; Brooks &amp; </w:t>
      </w:r>
      <w:proofErr w:type="spellStart"/>
      <w:r>
        <w:t>Youngson</w:t>
      </w:r>
      <w:proofErr w:type="spellEnd"/>
      <w:r>
        <w:t>, 2015; Nicholas, 2016). Termed work-based learning (WBL), this pedagogy is by no means a recent phenomenon as the antecedents to today’s formalized programs can be traced back to the early 19</w:t>
      </w:r>
      <w:r>
        <w:t xml:space="preserve">00s’ in business and medical schools’ training of physicians and nurses </w:t>
      </w:r>
    </w:p>
    <w:p w:rsidR="0023438A" w:rsidRDefault="00A02C86">
      <w:pPr>
        <w:spacing w:after="252" w:line="259" w:lineRule="auto"/>
        <w:ind w:left="435" w:right="777"/>
      </w:pPr>
      <w:r>
        <w:t>(</w:t>
      </w:r>
      <w:proofErr w:type="spellStart"/>
      <w:r>
        <w:t>Frenette</w:t>
      </w:r>
      <w:proofErr w:type="spellEnd"/>
      <w:r>
        <w:t xml:space="preserve">, 2015). The first true academic internship is often credited to the Accounting </w:t>
      </w:r>
    </w:p>
    <w:p w:rsidR="0023438A" w:rsidRDefault="00A02C86">
      <w:pPr>
        <w:spacing w:after="252" w:line="259" w:lineRule="auto"/>
        <w:ind w:left="435" w:right="777"/>
      </w:pPr>
      <w:r>
        <w:t xml:space="preserve">Department at the University of Cincinnati in 1906 (Cook, Stokes &amp; Parker, 2015).  </w:t>
      </w:r>
    </w:p>
    <w:p w:rsidR="0023438A" w:rsidRDefault="00A02C86">
      <w:pPr>
        <w:ind w:left="425" w:right="777" w:firstLine="720"/>
      </w:pPr>
      <w:r>
        <w:t>Decades l</w:t>
      </w:r>
      <w:r>
        <w:t xml:space="preserve">ater, at the college level, these experiences grew into being associated with </w:t>
      </w:r>
      <w:proofErr w:type="spellStart"/>
      <w:r>
        <w:t>preservice</w:t>
      </w:r>
      <w:proofErr w:type="spellEnd"/>
      <w:r>
        <w:t xml:space="preserve"> years for student teachers and clinical rotations for medical students; and then fields such as social work, engineering, and business became the first to embrace what</w:t>
      </w:r>
      <w:r>
        <w:t xml:space="preserve"> society knows today as the formalized internship program (</w:t>
      </w:r>
      <w:proofErr w:type="spellStart"/>
      <w:r>
        <w:t>Hora</w:t>
      </w:r>
      <w:proofErr w:type="spellEnd"/>
      <w:r>
        <w:t xml:space="preserve">, </w:t>
      </w:r>
      <w:proofErr w:type="spellStart"/>
      <w:r>
        <w:t>Wolfgram</w:t>
      </w:r>
      <w:proofErr w:type="spellEnd"/>
      <w:r>
        <w:t xml:space="preserve">, &amp; Thompson, 2017). Although not codified until the 1960s, these experiential, work-based learning offerings became known as </w:t>
      </w:r>
      <w:r>
        <w:lastRenderedPageBreak/>
        <w:t>internships, and in one form or another, are now a mainst</w:t>
      </w:r>
      <w:r>
        <w:t>ay in college and university programming (</w:t>
      </w:r>
      <w:proofErr w:type="spellStart"/>
      <w:r>
        <w:t>Frenette</w:t>
      </w:r>
      <w:proofErr w:type="spellEnd"/>
      <w:r>
        <w:t>, 2015). Today, three out of four, amounting to approximately 14 million, college graduates have at least one internship, and 90% of four-year colleges now offer some type of experiential, work-based learni</w:t>
      </w:r>
      <w:r>
        <w:t xml:space="preserve">ng related to a student’s career field or academic major </w:t>
      </w:r>
    </w:p>
    <w:p w:rsidR="0023438A" w:rsidRDefault="00A02C86">
      <w:pPr>
        <w:spacing w:line="259" w:lineRule="auto"/>
        <w:ind w:left="435" w:right="777"/>
      </w:pPr>
      <w:r>
        <w:t>(</w:t>
      </w:r>
      <w:proofErr w:type="spellStart"/>
      <w:r>
        <w:t>Gault</w:t>
      </w:r>
      <w:proofErr w:type="spellEnd"/>
      <w:r>
        <w:t xml:space="preserve">, Leach, &amp; </w:t>
      </w:r>
      <w:proofErr w:type="spellStart"/>
      <w:r>
        <w:t>Duey</w:t>
      </w:r>
      <w:proofErr w:type="spellEnd"/>
      <w:r>
        <w:t xml:space="preserve">, 2010; Held, 2016; </w:t>
      </w:r>
      <w:proofErr w:type="spellStart"/>
      <w:r>
        <w:t>Rodkin</w:t>
      </w:r>
      <w:proofErr w:type="spellEnd"/>
      <w:r>
        <w:t xml:space="preserve">, 2014). </w:t>
      </w:r>
    </w:p>
    <w:p w:rsidR="0023438A" w:rsidRDefault="00A02C86">
      <w:pPr>
        <w:ind w:left="425" w:right="777" w:firstLine="720"/>
      </w:pPr>
      <w:r>
        <w:rPr>
          <w:b/>
        </w:rPr>
        <w:t xml:space="preserve">Experiential learning in higher education. </w:t>
      </w:r>
      <w:r>
        <w:t>The vast number of internships at the college level demonstrate the academic value placed on experiential learning in a college or university curriculum. Around the country, numerous colleges and universities proclaim that all of their students have had at</w:t>
      </w:r>
      <w:r>
        <w:t xml:space="preserve"> least one experiential learning experience, sometimes in the form of an extended internship (</w:t>
      </w:r>
      <w:proofErr w:type="spellStart"/>
      <w:r>
        <w:t>Domholt</w:t>
      </w:r>
      <w:proofErr w:type="spellEnd"/>
      <w:r>
        <w:t>, 2018). One of the State University of New York System's current goals, for instance, is “to ensure that every SUNY student has the opportunity to take pa</w:t>
      </w:r>
      <w:r>
        <w:t>rt in at least one applied learning experience before they graduate” (SUNY, 2019, p. 3). Other institutions trumpet their experiential learning approach in their marketing materials as a distinctive, overarching characteristic that sets them apart. As a re</w:t>
      </w:r>
      <w:r>
        <w:t>sult, the public’s awareness of experiential learning is based largely on their understanding of the college-level application of the pedagogy (</w:t>
      </w:r>
      <w:proofErr w:type="spellStart"/>
      <w:r>
        <w:t>Domholt</w:t>
      </w:r>
      <w:proofErr w:type="spellEnd"/>
      <w:r>
        <w:t>, 2018). Experiential learning has long been described as the process of learning by doing (</w:t>
      </w:r>
      <w:proofErr w:type="spellStart"/>
      <w:r>
        <w:t>Frenette</w:t>
      </w:r>
      <w:proofErr w:type="spellEnd"/>
      <w:r>
        <w:t>, 201</w:t>
      </w:r>
      <w:r>
        <w:t>5) and is defined as any form of learning that allows the learner to put theory to practice (Kolb, 1984). The definition of experiential learning also encompasses commonly known work-based learning (WBL) programs such as internships, co-ops, workplace simu</w:t>
      </w:r>
      <w:r>
        <w:t xml:space="preserve">lations, practicums, laboratory exercises, apprenticeships, and clinical rotations (Moore, 2010). However, internships stand out as the most prevalent type of WBL in U.S. colleges and universities (Alfred et al., 2013; NACE, 2018).  </w:t>
      </w:r>
    </w:p>
    <w:p w:rsidR="0023438A" w:rsidRDefault="00A02C86">
      <w:pPr>
        <w:ind w:left="425" w:right="777" w:firstLine="720"/>
      </w:pPr>
      <w:r>
        <w:t xml:space="preserve"> Even with these exper</w:t>
      </w:r>
      <w:r>
        <w:t xml:space="preserve">iential learning opportunities being afforded to them, for nearly 100 million American adults, a traditional college bachelor's degree is not a reality. In 2018, nearly 42% of first-time, full-time students who began a four-year college degree had not yet </w:t>
      </w:r>
      <w:r>
        <w:t xml:space="preserve">completed it six years later (Shapiro et al., 2018). For the same cohort of first-time, full-time </w:t>
      </w:r>
      <w:r>
        <w:lastRenderedPageBreak/>
        <w:t>students, the four-year completion rate, which is the intended completion time of bachelor degree programs, is just 28% (Long, 2018; Shapiro et al., 2018). St</w:t>
      </w:r>
      <w:r>
        <w:t>ated differently, nearly 2 million students who begin college each year will drop out before completing their education (Long, 2018; National Clearinghouse, 2019). In addition to the 2 million college non-completers annually, another 44 million working-age</w:t>
      </w:r>
      <w:r>
        <w:t xml:space="preserve"> adults in the United States are not earning a living wage of at least $35,000 annually (</w:t>
      </w:r>
      <w:proofErr w:type="spellStart"/>
      <w:r>
        <w:t>Strada</w:t>
      </w:r>
      <w:proofErr w:type="spellEnd"/>
      <w:r>
        <w:t>, 2018). There is a strong need for an alternative system for those students who are not successful in earning a traditional four-year degree. For this reason, S</w:t>
      </w:r>
      <w:r>
        <w:t xml:space="preserve">ymonds, Schwarz, and Ferguson (2011) found that identifying alternative career readiness pathways is as essential to the national economy as preparing students in the traditional, academic, classroom-based approach.  </w:t>
      </w:r>
    </w:p>
    <w:p w:rsidR="0023438A" w:rsidRDefault="00A02C86">
      <w:pPr>
        <w:ind w:left="425" w:right="777" w:firstLine="720"/>
      </w:pPr>
      <w:r>
        <w:rPr>
          <w:b/>
        </w:rPr>
        <w:t>Apprenticeship as an alternative pathw</w:t>
      </w:r>
      <w:r>
        <w:rPr>
          <w:b/>
        </w:rPr>
        <w:t xml:space="preserve">ay. </w:t>
      </w:r>
      <w:r>
        <w:t xml:space="preserve">The United States is in the minority among industrialized countries in terms of providing a limited number of alternative pathways for citizens to cultivate a meaningful career (Brooks &amp; </w:t>
      </w:r>
      <w:proofErr w:type="spellStart"/>
      <w:r>
        <w:t>Youngson</w:t>
      </w:r>
      <w:proofErr w:type="spellEnd"/>
      <w:r>
        <w:t>, 2015; Symonds et al., 2011). In many industrialized nat</w:t>
      </w:r>
      <w:r>
        <w:t>ions such as Great Britain, Australia, Switzerland, Germany, France, and Norway, apprenticeships serve as that alternative pathway. For example, in Switzerland, 70% of all students choose apprenticeships, and 40% of companies participate (Colorado, 2019; H</w:t>
      </w:r>
      <w:r>
        <w:t xml:space="preserve">offman &amp; Schwartz, 2015). The country also boasts a 58% college enrollment rate, suggesting that apprenticeships are a complement to, rather than a detractor from, college education (Hoffman &amp; Schwartz, 2015). Contrary to the ubiquity of apprenticeship in </w:t>
      </w:r>
      <w:r>
        <w:t xml:space="preserve">Switzerland, in 2012, just shy of 150,000 Americans began an apprenticeship (Steinberg &amp; </w:t>
      </w:r>
      <w:proofErr w:type="spellStart"/>
      <w:r>
        <w:t>Gurwitz</w:t>
      </w:r>
      <w:proofErr w:type="spellEnd"/>
      <w:r>
        <w:t>, 2014). If the United States had the same rate of participation as Switzerland, that figure would rise to 3.1 million. These numbers suggest that U.S. employer</w:t>
      </w:r>
      <w:r>
        <w:t>s are barely leveraging the potential of apprenticeships (</w:t>
      </w:r>
      <w:proofErr w:type="spellStart"/>
      <w:r>
        <w:t>Amoyaw</w:t>
      </w:r>
      <w:proofErr w:type="spellEnd"/>
      <w:r>
        <w:t xml:space="preserve"> &amp; Brown, 2018). </w:t>
      </w:r>
    </w:p>
    <w:p w:rsidR="0023438A" w:rsidRDefault="00A02C86">
      <w:pPr>
        <w:ind w:left="425" w:right="777" w:firstLine="720"/>
      </w:pPr>
      <w:r>
        <w:t>Accreditors and the U.S. Department of Education restrict universities from offering more types of experiential learning, such as apprenticeship in a typical four-year degree</w:t>
      </w:r>
      <w:r>
        <w:t xml:space="preserve">, due to the statutory limitations placed by regulations on the credit hour calculations and completion rates </w:t>
      </w:r>
      <w:r>
        <w:lastRenderedPageBreak/>
        <w:t>(Jones, 2017). Two-year associate degrees like those awarded by community colleges, trade, and technical schools offer more flexibility than their</w:t>
      </w:r>
      <w:r>
        <w:t xml:space="preserve"> traditional bachelor degree-granting institution counterparts due to the shorter completion times and fewer general education credit requirements (de Alva &amp; Schneider, 2018). A recent report stated: “A significant barrier to the integration of Registered </w:t>
      </w:r>
      <w:r>
        <w:t>Apprenticeship programs into the postsecondary system is the lack of mechanisms for evaluating student achievement and assigning academic credit for the hands-on portion of an apprentice’s training program” (Jones, 2011, p. 55).  As a result, there is a ga</w:t>
      </w:r>
      <w:r>
        <w:t>p in the research describing apprentice outcomes after completion of the program, so it is not known if the benefits of the apprenticeship program are meeting expectations. It would help make the case for apprenticeship growth if participant data displayed</w:t>
      </w:r>
      <w:r>
        <w:t xml:space="preserve"> career advancement, wage growth, industry-recognized credential attainment, and college credit or degrees obtained (Jones, 2017). </w:t>
      </w:r>
    </w:p>
    <w:p w:rsidR="0023438A" w:rsidRDefault="00A02C86">
      <w:pPr>
        <w:pStyle w:val="Heading1"/>
        <w:ind w:left="435"/>
      </w:pPr>
      <w:r>
        <w:t xml:space="preserve">Two-Year Degrees and the Skills Gap </w:t>
      </w:r>
    </w:p>
    <w:p w:rsidR="0023438A" w:rsidRDefault="00A02C86">
      <w:pPr>
        <w:ind w:left="425" w:right="777" w:firstLine="720"/>
      </w:pPr>
      <w:r>
        <w:t>In addition to offering the needed flexibility for apprenticeship frameworks, the progr</w:t>
      </w:r>
      <w:r>
        <w:t xml:space="preserve">ams typically offered by two-year degree-granting institutions best align with the high demand technical jobs often associated with the skills-gap. The skills-gap in the U.S. economy is a result of </w:t>
      </w:r>
      <w:proofErr w:type="gramStart"/>
      <w:r>
        <w:t>a disconnect</w:t>
      </w:r>
      <w:proofErr w:type="gramEnd"/>
      <w:r>
        <w:t xml:space="preserve"> between employers’ workforce needs and the su</w:t>
      </w:r>
      <w:r>
        <w:t>pply of graduates from the postsecondary educational system (</w:t>
      </w:r>
      <w:proofErr w:type="spellStart"/>
      <w:r>
        <w:t>Giffi</w:t>
      </w:r>
      <w:proofErr w:type="spellEnd"/>
      <w:r>
        <w:t xml:space="preserve"> et al., 2018). The National Science Board (2019) found in a recent study that while demand for America's skilled technical workforce, including Career and Technical Education (CTE) related </w:t>
      </w:r>
      <w:r>
        <w:t xml:space="preserve">professions like HVAC technicians, nurses, electricians, computer support technicians, mechanics, and fabricators is expected to increase rapidly, a labor shortfall of 3.4 million employees for these positions is projected by 2022. This means that too few </w:t>
      </w:r>
      <w:r>
        <w:t xml:space="preserve">workers are being trained for good-paying, middle-skill jobs. These middle-skill occupations are defined as jobs that require significant training beyond a high school diploma but less than a four-year college degree (National Skills Coalition, 2017). The </w:t>
      </w:r>
      <w:r>
        <w:t xml:space="preserve">training required can involve an associate’s degree, diploma, a professional certificate, or other specialized licensing or credentials.  Middle-skill jobs constitute a vast segment of the employment spectrum. They make </w:t>
      </w:r>
      <w:r>
        <w:lastRenderedPageBreak/>
        <w:t xml:space="preserve">up more than half of the U.S. labor </w:t>
      </w:r>
      <w:r>
        <w:t xml:space="preserve">market (National Skills Coalition, 2017).  Job titles range from dental hygienists and critical care nurses who earn $70,000 a year to CNC Machinists who earn $53,000 a year (ONET, 2019). Only 43% of the nation’s workforce is trained at the </w:t>
      </w:r>
      <w:proofErr w:type="spellStart"/>
      <w:r>
        <w:t>middleskill</w:t>
      </w:r>
      <w:proofErr w:type="spellEnd"/>
      <w:r>
        <w:t xml:space="preserve"> lev</w:t>
      </w:r>
      <w:r>
        <w:t xml:space="preserve">el; however, these occupations make up 53% of jobs in the United States, creating a middle-skills gap (Johnson &amp; </w:t>
      </w:r>
      <w:proofErr w:type="spellStart"/>
      <w:r>
        <w:t>Spiker</w:t>
      </w:r>
      <w:proofErr w:type="spellEnd"/>
      <w:r>
        <w:t xml:space="preserve">, 2018). Considering that there is an oversupply of </w:t>
      </w:r>
      <w:proofErr w:type="spellStart"/>
      <w:r>
        <w:t>lowskilled</w:t>
      </w:r>
      <w:proofErr w:type="spellEnd"/>
      <w:r>
        <w:t xml:space="preserve"> workers who have a high school diploma or less education, constituting 21%</w:t>
      </w:r>
      <w:r>
        <w:t xml:space="preserve"> of the workforce, relative to 16% of low-skill job demands, educating more people at the middle-skill level would provide upward mobility to a significant portion of the population (</w:t>
      </w:r>
      <w:proofErr w:type="spellStart"/>
      <w:r>
        <w:t>Amoyaw</w:t>
      </w:r>
      <w:proofErr w:type="spellEnd"/>
      <w:r>
        <w:t xml:space="preserve"> &amp; Brown, 2018). This unmet demand for a middle-skill trained workf</w:t>
      </w:r>
      <w:r>
        <w:t>orce is a lost opportunity for both businesses who are then unable to take advantage of economic growth and the section of the population that does not possess the right skills to access good jobs. Fortunately, a proven system exists to address this discon</w:t>
      </w:r>
      <w:r>
        <w:t>nect that combines educators from these high demand middle-skill programs and employers together in a way that gives workers the ability to earn wages while learning new skills and employers a more reliable pipeline to middle-skills talent: the apprentices</w:t>
      </w:r>
      <w:r>
        <w:t xml:space="preserve">hip (Johnson &amp; </w:t>
      </w:r>
      <w:proofErr w:type="spellStart"/>
      <w:r>
        <w:t>Spiker</w:t>
      </w:r>
      <w:proofErr w:type="spellEnd"/>
      <w:r>
        <w:t xml:space="preserve">, 2018). </w:t>
      </w:r>
      <w:r>
        <w:rPr>
          <w:b/>
        </w:rPr>
        <w:t xml:space="preserve"> </w:t>
      </w:r>
      <w:r>
        <w:t xml:space="preserve"> </w:t>
      </w:r>
    </w:p>
    <w:p w:rsidR="0023438A" w:rsidRDefault="00A02C86">
      <w:pPr>
        <w:pStyle w:val="Heading1"/>
        <w:ind w:left="435"/>
      </w:pPr>
      <w:r>
        <w:t>Historical Background</w:t>
      </w:r>
      <w:r>
        <w:rPr>
          <w:sz w:val="23"/>
        </w:rPr>
        <w:t xml:space="preserve"> </w:t>
      </w:r>
    </w:p>
    <w:p w:rsidR="0023438A" w:rsidRDefault="00A02C86">
      <w:pPr>
        <w:ind w:left="425" w:right="777" w:firstLine="720"/>
      </w:pPr>
      <w:r>
        <w:t>For low-skill workers or those not participating in the workforce, work-based learning and apprenticeships offer a pathway to a middle-class career that includes a paying job from the start and traini</w:t>
      </w:r>
      <w:r>
        <w:t>ng toward a degree or industry-recognized credential. Access to work-based learning opportunities in high-wage industries such as healthcare, information technology construction, advanced manufacturing, or transportation leads to long term positive employm</w:t>
      </w:r>
      <w:r>
        <w:t xml:space="preserve">ent outcomes for people with barriers to employment (Johnson &amp; </w:t>
      </w:r>
      <w:proofErr w:type="spellStart"/>
      <w:r>
        <w:t>Spiker</w:t>
      </w:r>
      <w:proofErr w:type="spellEnd"/>
      <w:r>
        <w:t>, 2018). WBL has been a component of formalized educational models for millennia dating back to Europe during the Middle-Ages. As one of the oldest forms of knowledge transfer in the worl</w:t>
      </w:r>
      <w:r>
        <w:t>d, WBL initially took the form of apprenticeship and craft guilds (</w:t>
      </w:r>
      <w:proofErr w:type="spellStart"/>
      <w:r>
        <w:t>Frennette</w:t>
      </w:r>
      <w:proofErr w:type="spellEnd"/>
      <w:r>
        <w:t xml:space="preserve">, 2015). Today, WBL has evolved through several different iterations into programs that connect the student to the workplace. Beginning at </w:t>
      </w:r>
      <w:r>
        <w:lastRenderedPageBreak/>
        <w:t>the secondary and continuing at the posts</w:t>
      </w:r>
      <w:r>
        <w:t>econdary levels, the CTE sector is most commonly associated with adopting several forms of WBL as a foundational component of its curriculum design (</w:t>
      </w:r>
      <w:proofErr w:type="spellStart"/>
      <w:r>
        <w:t>Holzer</w:t>
      </w:r>
      <w:proofErr w:type="spellEnd"/>
      <w:r>
        <w:t xml:space="preserve"> &amp; </w:t>
      </w:r>
      <w:proofErr w:type="spellStart"/>
      <w:r>
        <w:t>Lerman</w:t>
      </w:r>
      <w:proofErr w:type="spellEnd"/>
      <w:r>
        <w:t xml:space="preserve">, 2014). CTE was first taught on the high school level in the CTE centers, once referred to </w:t>
      </w:r>
      <w:r>
        <w:t>as Vocational Education. It then evolved to the postsecondary level, where it found prominence among the curriculum continuum at community colleges and at private trade and technical schools, both of which grant associate degrees and diplomas for the skill</w:t>
      </w:r>
      <w:r>
        <w:t xml:space="preserve">s earned by the students (Rosen, </w:t>
      </w:r>
      <w:proofErr w:type="spellStart"/>
      <w:r>
        <w:t>Visher</w:t>
      </w:r>
      <w:proofErr w:type="spellEnd"/>
      <w:r>
        <w:t xml:space="preserve"> &amp; Beal, 2018). Nevertheless, all levels of CTE institutions employ several forms of WBL, such as simulated hands-on classroom labs, cooperative learning agreements (co-ops), healthcare clinical rotations, externships</w:t>
      </w:r>
      <w:r>
        <w:t xml:space="preserve">, internships, and apprenticeships (Benson et al., 2008).  </w:t>
      </w:r>
    </w:p>
    <w:p w:rsidR="0023438A" w:rsidRDefault="00A02C86">
      <w:pPr>
        <w:ind w:left="425" w:right="777" w:firstLine="720"/>
      </w:pPr>
      <w:r>
        <w:rPr>
          <w:b/>
        </w:rPr>
        <w:t xml:space="preserve">Legislative history. </w:t>
      </w:r>
      <w:r>
        <w:t>Wisconsin created the first state Registered Apprenticeship system in 1911, and in 1937 Congress enacted the National Apprenticeship Act (29 U.S.C. 50), also known as the Fitz</w:t>
      </w:r>
      <w:r>
        <w:t>gerald Act, establishing the system as it is today (U.S. Department of Labor, 2019).</w:t>
      </w:r>
      <w:r>
        <w:rPr>
          <w:rFonts w:ascii="Arial" w:eastAsia="Arial" w:hAnsi="Arial" w:cs="Arial"/>
          <w:sz w:val="21"/>
        </w:rPr>
        <w:t xml:space="preserve"> </w:t>
      </w:r>
      <w:r>
        <w:t>In 2014, Congress passed the Workforce Innovation and Opportunity Act (WIOA), which served to enhance the program by creating industry sector-based partnerships across the</w:t>
      </w:r>
      <w:r>
        <w:t xml:space="preserve"> country, funding new grant programs to expand apprenticeship employer support and outreach, and creating new innovative apprenticeship frameworks (U.S. Department of Labor, 2019). These frameworks give more flexibility to employers and educators to design</w:t>
      </w:r>
      <w:r>
        <w:t xml:space="preserve"> programs that are not strictly time-based. Competency-based and hybrid frameworks that require a combination of time and competency are now eligible for Registry with the Office of Apprenticeship (Kuehn, </w:t>
      </w:r>
    </w:p>
    <w:p w:rsidR="0023438A" w:rsidRDefault="00A02C86">
      <w:pPr>
        <w:ind w:left="435" w:right="777"/>
      </w:pPr>
      <w:r>
        <w:t>2019). Additionally, the most recent reauthorizati</w:t>
      </w:r>
      <w:r>
        <w:t>on of the Carl D. Perkins Career and Technical Education Act further bolstered apprenticeship through additional funding allocation and policy guidance (</w:t>
      </w:r>
      <w:proofErr w:type="spellStart"/>
      <w:r>
        <w:t>Spiker</w:t>
      </w:r>
      <w:proofErr w:type="spellEnd"/>
      <w:r>
        <w:t>, 2019). The significant alterations to the original apprenticeship system amount to what this st</w:t>
      </w:r>
      <w:r>
        <w:t xml:space="preserve">udy refers to as the modern apprenticeship or the Post WIOA Registered </w:t>
      </w:r>
    </w:p>
    <w:p w:rsidR="0023438A" w:rsidRDefault="00A02C86">
      <w:pPr>
        <w:spacing w:after="252" w:line="259" w:lineRule="auto"/>
        <w:ind w:left="435" w:right="777"/>
      </w:pPr>
      <w:r>
        <w:t xml:space="preserve">Apprenticeship (PWRA). </w:t>
      </w:r>
    </w:p>
    <w:p w:rsidR="0023438A" w:rsidRDefault="00A02C86">
      <w:pPr>
        <w:ind w:left="425" w:right="777" w:firstLine="720"/>
      </w:pPr>
      <w:r>
        <w:rPr>
          <w:b/>
        </w:rPr>
        <w:lastRenderedPageBreak/>
        <w:t xml:space="preserve">Apprenticeships today. </w:t>
      </w:r>
      <w:r>
        <w:t>In 2019, the Registered Apprenticeship program celebrated its 82nd anniversary in this country, and since its PWRA resurgence has benefit</w:t>
      </w:r>
      <w:r>
        <w:t>ed from nearly $500 million in new funding appropriations from bi-partisan supporters (</w:t>
      </w:r>
      <w:proofErr w:type="spellStart"/>
      <w:r>
        <w:t>Lerman</w:t>
      </w:r>
      <w:proofErr w:type="spellEnd"/>
      <w:r>
        <w:t>, 2018). As a result, the Trump administration tasked the Office of Apprenticeship with the goal of providing education and training to more than one million appre</w:t>
      </w:r>
      <w:r>
        <w:t>ntices in the next five years. “These apprenticeships will be created in emerging and high-growth sectors such as energy conservation, health care, and information technology, in addition to traditional industries such as manufacturing and construction” (U</w:t>
      </w:r>
      <w:r>
        <w:t xml:space="preserve">.S. Department of Labor, 2019, p. 1). </w:t>
      </w:r>
      <w:r>
        <w:rPr>
          <w:b/>
        </w:rPr>
        <w:t xml:space="preserve"> </w:t>
      </w:r>
    </w:p>
    <w:p w:rsidR="0023438A" w:rsidRDefault="00A02C86">
      <w:pPr>
        <w:pStyle w:val="Heading1"/>
        <w:ind w:left="435"/>
      </w:pPr>
      <w:r>
        <w:t xml:space="preserve">Problem Statement </w:t>
      </w:r>
    </w:p>
    <w:p w:rsidR="0023438A" w:rsidRDefault="00A02C86">
      <w:pPr>
        <w:ind w:left="425" w:right="777" w:firstLine="475"/>
      </w:pPr>
      <w:r>
        <w:t xml:space="preserve"> </w:t>
      </w:r>
      <w:r>
        <w:tab/>
        <w:t>Research has arguably demonstrated that apprenticeship programs not only in the United States but throughout the industrialized world have produced the best return on investment of any WBL initia</w:t>
      </w:r>
      <w:r>
        <w:t xml:space="preserve">tive (Hollenbeck &amp; Huang, 2016; </w:t>
      </w:r>
      <w:proofErr w:type="spellStart"/>
      <w:r>
        <w:t>Moretti</w:t>
      </w:r>
      <w:proofErr w:type="spellEnd"/>
      <w:r>
        <w:t xml:space="preserve"> et al., 2017; Reed et al., 2012). Since 2014 the U.S. Department of Labor has committed nearly $500 million in funding toward the expansion of apprenticeship to over 1,000 different occupations and publicly stated th</w:t>
      </w:r>
      <w:r>
        <w:t>eir goal is to grow apprenticeships to one million participants (Kuehn, 2019). Despite these proclamations, apprenticeship has not grown proportionally to the funding expansion. In 2018, the Registered Apprenticeship program increased to approximately 500,</w:t>
      </w:r>
      <w:r>
        <w:t>000 participants; however, that increase only marked a return to 2002 participation levels, not an overall improvement to enrollment counts (U.S. DOL, 2019). If substantial progress is not exhibited in the near future, the potential exists for financial ap</w:t>
      </w:r>
      <w:r>
        <w:t xml:space="preserve">propriations and political enthusiasm to dissipate.   </w:t>
      </w:r>
    </w:p>
    <w:p w:rsidR="0023438A" w:rsidRDefault="00A02C86">
      <w:pPr>
        <w:ind w:left="425" w:right="777" w:firstLine="475"/>
      </w:pPr>
      <w:r>
        <w:t xml:space="preserve"> </w:t>
      </w:r>
      <w:r>
        <w:tab/>
        <w:t>For the two million students who drop out each year from colleges all over the country, it is incumbent upon leadership in higher education, government policymakers, and the employer community to find and champion an alternative training program. Establi</w:t>
      </w:r>
      <w:r>
        <w:t xml:space="preserve">shed apprenticeship programs throughout the developed world demonstrate that the most successful programs are a complement to, not a replacement for, higher education (Hoffman &amp; Schwartz, </w:t>
      </w:r>
      <w:r>
        <w:lastRenderedPageBreak/>
        <w:t>2015). However, in the United States, only a small number of two-yea</w:t>
      </w:r>
      <w:r>
        <w:t xml:space="preserve">r community colleges and trade schools have embraced apprenticeship training (de Alva &amp; Schneider, 2018). A disconnect exists between the higher education community and apprenticeship administrators, which limits career opportunities for the students left </w:t>
      </w:r>
      <w:r>
        <w:t>behind. This disparity has meant that prospective apprenticeship participants do not have access to the degrees that are necessary to advance in most careers. In fact, outside of the skilled trades, career advancement in the United States increasingly requ</w:t>
      </w:r>
      <w:r>
        <w:t xml:space="preserve">ires an associate’s or bachelor’s degree, which only colleges and universities can award (McCarthy, Palmer, &amp; </w:t>
      </w:r>
      <w:proofErr w:type="spellStart"/>
      <w:r>
        <w:t>Prebil</w:t>
      </w:r>
      <w:proofErr w:type="spellEnd"/>
      <w:r>
        <w:t>, 2017). Despite all of the financial incentives and aligned interests in place, the resulting apprenticeship growth has failed to meet expe</w:t>
      </w:r>
      <w:r>
        <w:t xml:space="preserve">ctations.  </w:t>
      </w:r>
    </w:p>
    <w:p w:rsidR="0023438A" w:rsidRDefault="00A02C86">
      <w:pPr>
        <w:spacing w:line="259" w:lineRule="auto"/>
        <w:ind w:left="435" w:right="777"/>
      </w:pPr>
      <w:r>
        <w:t xml:space="preserve">An investigation is needed to determine why this disconnect exists. </w:t>
      </w:r>
    </w:p>
    <w:p w:rsidR="0023438A" w:rsidRDefault="00A02C86">
      <w:pPr>
        <w:pStyle w:val="Heading1"/>
        <w:ind w:left="435"/>
      </w:pPr>
      <w:r>
        <w:t xml:space="preserve">Purpose of the Study </w:t>
      </w:r>
    </w:p>
    <w:p w:rsidR="0023438A" w:rsidRDefault="00A02C86">
      <w:pPr>
        <w:spacing w:after="280"/>
        <w:ind w:left="425" w:right="777" w:firstLine="720"/>
      </w:pPr>
      <w:r>
        <w:t>The purpose of this descriptive research study was to investigate the perceptions and experiences of employers and postsecondary CTE providers related to</w:t>
      </w:r>
      <w:r>
        <w:t xml:space="preserve"> the implementation and utilization of apprenticeship programs and examine the extent to which any disconnect exists between these two groups. The study was conducted using large scale cross-sectional survey research. Examining the perspectives of employer</w:t>
      </w:r>
      <w:r>
        <w:t>s and educators engaged in apprenticeships provides insight into how such programs can enhance college curriculum and career awareness among students and address alignment with employer skills needs. Additionally, analyzing the survey results provides info</w:t>
      </w:r>
      <w:r>
        <w:t xml:space="preserve">rmation about the structure and organization of effective programs from the employer’s point of view and offers insights into the perceived barriers of employers who have not opted into the program. This study engaged the primary stakeholders: educational </w:t>
      </w:r>
      <w:r>
        <w:t>providers and employers who are involved in the apprenticeship programs to gain a better understanding of how each group approaches apprenticeship through their perceptions of the strengths, weaknesses, opportunities, and threats to the initiative’s growth</w:t>
      </w:r>
      <w:r>
        <w:t xml:space="preserve"> prospects.  </w:t>
      </w:r>
    </w:p>
    <w:p w:rsidR="0023438A" w:rsidRDefault="00A02C86">
      <w:pPr>
        <w:pStyle w:val="Heading1"/>
        <w:ind w:left="435"/>
      </w:pPr>
      <w:r>
        <w:t xml:space="preserve">Research Questions </w:t>
      </w:r>
    </w:p>
    <w:p w:rsidR="0023438A" w:rsidRDefault="00A02C86">
      <w:pPr>
        <w:tabs>
          <w:tab w:val="center" w:pos="440"/>
          <w:tab w:val="center" w:pos="4274"/>
        </w:tabs>
        <w:spacing w:after="261" w:line="259" w:lineRule="auto"/>
        <w:ind w:left="0" w:firstLine="0"/>
      </w:pPr>
      <w:r>
        <w:rPr>
          <w:rFonts w:ascii="Calibri" w:eastAsia="Calibri" w:hAnsi="Calibri" w:cs="Calibri"/>
          <w:sz w:val="22"/>
        </w:rPr>
        <w:tab/>
      </w:r>
      <w:r>
        <w:t xml:space="preserve"> </w:t>
      </w:r>
      <w:r>
        <w:tab/>
        <w:t xml:space="preserve">The following research questions were investigated in this study. </w:t>
      </w:r>
    </w:p>
    <w:p w:rsidR="0023438A" w:rsidRDefault="00A02C86">
      <w:pPr>
        <w:numPr>
          <w:ilvl w:val="0"/>
          <w:numId w:val="2"/>
        </w:numPr>
        <w:ind w:right="1219" w:hanging="240"/>
      </w:pPr>
      <w:r>
        <w:lastRenderedPageBreak/>
        <w:t xml:space="preserve">What are the perceptions and experiences of small and medium-size employers and the postsecondary, Career and Technical Education providers regarding apprenticeship programs? </w:t>
      </w:r>
    </w:p>
    <w:p w:rsidR="0023438A" w:rsidRDefault="00A02C86">
      <w:pPr>
        <w:numPr>
          <w:ilvl w:val="0"/>
          <w:numId w:val="2"/>
        </w:numPr>
        <w:ind w:right="1219" w:hanging="240"/>
      </w:pPr>
      <w:r>
        <w:t>What are the perceived barriers /disconnects and opportunities for alignment bet</w:t>
      </w:r>
      <w:r>
        <w:t xml:space="preserve">ween small and medium-size employers and the postsecondary, Career and </w:t>
      </w:r>
    </w:p>
    <w:p w:rsidR="0023438A" w:rsidRDefault="00A02C86">
      <w:pPr>
        <w:spacing w:after="252" w:line="259" w:lineRule="auto"/>
        <w:ind w:left="1369" w:right="777"/>
      </w:pPr>
      <w:r>
        <w:t xml:space="preserve">Technical Education providers regarding starting new Registered </w:t>
      </w:r>
    </w:p>
    <w:p w:rsidR="0023438A" w:rsidRDefault="00A02C86">
      <w:pPr>
        <w:spacing w:line="259" w:lineRule="auto"/>
        <w:ind w:left="1369" w:right="777"/>
      </w:pPr>
      <w:r>
        <w:t xml:space="preserve">Apprenticeship program offerings? </w:t>
      </w:r>
    </w:p>
    <w:p w:rsidR="0023438A" w:rsidRDefault="00A02C86">
      <w:pPr>
        <w:pStyle w:val="Heading1"/>
        <w:ind w:left="435"/>
      </w:pPr>
      <w:r>
        <w:t xml:space="preserve">Methodology </w:t>
      </w:r>
    </w:p>
    <w:p w:rsidR="0023438A" w:rsidRDefault="00A02C86">
      <w:pPr>
        <w:ind w:left="425" w:right="777" w:firstLine="720"/>
      </w:pPr>
      <w:r>
        <w:t>This study utilized two populations: small and medium-size employers an</w:t>
      </w:r>
      <w:r>
        <w:t>d postsecondary career and technical education providers, to examine the perceptions and experiences about apprenticeship programs of each group. The employer sample consisting of approximately 500 unique entities in Western Pennsylvania, Eastern Ohio, and</w:t>
      </w:r>
      <w:r>
        <w:t xml:space="preserve"> </w:t>
      </w:r>
      <w:proofErr w:type="spellStart"/>
      <w:r>
        <w:t>Northcentral</w:t>
      </w:r>
      <w:proofErr w:type="spellEnd"/>
      <w:r>
        <w:t xml:space="preserve"> West Virginia reflects a broad cross-section of small and medium-size businesses in the Mid-Atlantic region of the United </w:t>
      </w:r>
    </w:p>
    <w:p w:rsidR="0023438A" w:rsidRDefault="00A02C86">
      <w:pPr>
        <w:ind w:left="435" w:right="777"/>
      </w:pPr>
      <w:r>
        <w:t>States. These employers were actively engaged in the recruitment of graduates from an Associate Degree-granting CTE ins</w:t>
      </w:r>
      <w:r>
        <w:t>titution who prepare students for a variety of middle-skills related employment opportunities. These businesses encompass the broad scope of approved occupations that the PWRA now encompasses. They include large healthcare providers, information technology</w:t>
      </w:r>
      <w:r>
        <w:t xml:space="preserve"> firms, community-based nonprofits, small and medium-size advanced manufacturing as well as general service-based businesses. The sample of higher education institutions selected for the study totals approximately 300 institutions in Western Pennsylvania, </w:t>
      </w:r>
      <w:r>
        <w:t xml:space="preserve">Eastern Ohio, and </w:t>
      </w:r>
      <w:proofErr w:type="spellStart"/>
      <w:r>
        <w:t>Northcentral</w:t>
      </w:r>
      <w:proofErr w:type="spellEnd"/>
      <w:r>
        <w:t xml:space="preserve"> West Virginia which are based in a similar Mid-Atlantic regional footprint as the employer population. The educational providers are both public and private postsecondary degree-granting institutions that specialize in CTE-re</w:t>
      </w:r>
      <w:r>
        <w:t xml:space="preserve">lated programs of study. These schools serve as the educational workforce development leaders in the communities they serve.  </w:t>
      </w:r>
    </w:p>
    <w:p w:rsidR="0023438A" w:rsidRDefault="00A02C86">
      <w:pPr>
        <w:ind w:left="425" w:right="777" w:firstLine="720"/>
      </w:pPr>
      <w:r>
        <w:lastRenderedPageBreak/>
        <w:t>Based upon the review of literature, two separate researcher-created instruments were developed to collect data for this study. O</w:t>
      </w:r>
      <w:r>
        <w:t>ne questionnaire was designed for employers, and a second questionnaire was created for the higher education population. Similar or parallel questions were included on both instruments when possible.  Prior to the questionnaire administration, a small pilo</w:t>
      </w:r>
      <w:r>
        <w:t>t test of item content was conducted among five employers and two full-time educational staff members of the technical school’s campus-based program, and two student interns to help establish content validity and language accessibility. Prior research work</w:t>
      </w:r>
      <w:r>
        <w:t>ing with survey research samples suggests that shorter duration (e.g., less than 13 minutes for online survey completion time) results in a higher response rate (Fan &amp; Yan, 2010), so attempts to meet these criteria were made. All quantitative sections used</w:t>
      </w:r>
      <w:r>
        <w:t xml:space="preserve"> a 4-point Likert–type scale). Each questionnaire is similar in that they both have two sections: a demographics section and a content section with specific questions for each population. The questionnaires were sent via email to actual 850 employers and 2</w:t>
      </w:r>
      <w:r>
        <w:t xml:space="preserve">72 educators using </w:t>
      </w:r>
      <w:proofErr w:type="spellStart"/>
      <w:r>
        <w:t>SurveyMonkey</w:t>
      </w:r>
      <w:proofErr w:type="spellEnd"/>
      <w:r>
        <w:t xml:space="preserve">. </w:t>
      </w:r>
    </w:p>
    <w:p w:rsidR="0023438A" w:rsidRDefault="00A02C86">
      <w:pPr>
        <w:pStyle w:val="Heading1"/>
        <w:ind w:left="435"/>
      </w:pPr>
      <w:r>
        <w:t xml:space="preserve">Theoretical Framework </w:t>
      </w:r>
    </w:p>
    <w:p w:rsidR="0023438A" w:rsidRDefault="00A02C86">
      <w:pPr>
        <w:ind w:left="425" w:right="777" w:firstLine="720"/>
      </w:pPr>
      <w:r>
        <w:t xml:space="preserve">Several commonly-used, seminal learning theories are referenced in WBL environments and may be applied to higher education. WBL, a form of experiential learning, is most commonly defined by applying </w:t>
      </w:r>
      <w:r>
        <w:t>technical, academic, or occupational skills learned in a classroom to a real-world work environment (</w:t>
      </w:r>
      <w:proofErr w:type="spellStart"/>
      <w:r>
        <w:t>Alfeld</w:t>
      </w:r>
      <w:proofErr w:type="spellEnd"/>
      <w:r>
        <w:t xml:space="preserve"> et al., 2013). WBL is consistent with the concept of on-the-job training, where the student is learning by doing. This methodology can be attributed</w:t>
      </w:r>
      <w:r>
        <w:t xml:space="preserve"> to John Dewey’s broader pedagogical philosophy of experiential education (</w:t>
      </w:r>
      <w:proofErr w:type="spellStart"/>
      <w:r>
        <w:t>Frenette</w:t>
      </w:r>
      <w:proofErr w:type="spellEnd"/>
      <w:r>
        <w:t>, 2015). Dewey theorizes that life and learning should be integrated and occur based on an active engagement with the world, which in this case is the workplace. “The inclin</w:t>
      </w:r>
      <w:r>
        <w:t>ation to learn from life itself and to make the conditions of life such that all will learn in the process of living is the finest product of schooling” (Dewey, 1916, p. 51). Kolb (1984) expounded upon Dewey’s notion and rooted his philosophy of experienti</w:t>
      </w:r>
      <w:r>
        <w:t xml:space="preserve">al learning theory in the work of Dewey (1916), </w:t>
      </w:r>
      <w:proofErr w:type="spellStart"/>
      <w:r>
        <w:t>Lewin</w:t>
      </w:r>
      <w:proofErr w:type="spellEnd"/>
      <w:r>
        <w:t xml:space="preserve"> (1951), and Piaget (1971). Kolb’s theory is holistic in nature and focuses on the affective, perceptive, </w:t>
      </w:r>
      <w:r>
        <w:lastRenderedPageBreak/>
        <w:t>cognitive, and behavioral dimensions of the learner (</w:t>
      </w:r>
      <w:proofErr w:type="spellStart"/>
      <w:r>
        <w:t>Stirling</w:t>
      </w:r>
      <w:proofErr w:type="spellEnd"/>
      <w:r>
        <w:t xml:space="preserve"> et al., 2017). Therefore, WBL is fi</w:t>
      </w:r>
      <w:r>
        <w:t xml:space="preserve">rmly grounded in an accepted theoretical framework, and the merits of its implementation warrant further discussion.  </w:t>
      </w:r>
    </w:p>
    <w:p w:rsidR="0023438A" w:rsidRDefault="00A02C86">
      <w:pPr>
        <w:ind w:left="425" w:right="777" w:firstLine="720"/>
      </w:pPr>
      <w:r>
        <w:t>As this study addresses a postsecondary population, Knowles’ (1990) theory of andragogy intersects with the above theory as it provides a</w:t>
      </w:r>
      <w:r>
        <w:t xml:space="preserve"> context as to how to relate these experiential learning exercises to the adult population. Understanding that teaching adults is both an art and science, adult learning theory emphasizes that adults are self-directed and expect to take responsibility for </w:t>
      </w:r>
      <w:r>
        <w:t>their actions. It is on this basis upon which the reciprocal nature of on-</w:t>
      </w:r>
      <w:proofErr w:type="spellStart"/>
      <w:r>
        <w:t>thejob</w:t>
      </w:r>
      <w:proofErr w:type="spellEnd"/>
      <w:r>
        <w:t xml:space="preserve"> training is structured. For example, learning assessments should be an exchange between the student and the instructor. Faculty should develop student assessments that measure</w:t>
      </w:r>
      <w:r>
        <w:t xml:space="preserve"> aptitude relevant to their field of study. Similarly, students should provide regular feedback to their instructors to better inform teaching methodologies. WBL provides an excellent forum for these ideas to be put into practice.  </w:t>
      </w:r>
    </w:p>
    <w:p w:rsidR="0023438A" w:rsidRDefault="00A02C86">
      <w:pPr>
        <w:pStyle w:val="Heading1"/>
        <w:ind w:left="435"/>
      </w:pPr>
      <w:r>
        <w:t xml:space="preserve">Definitions of Terms </w:t>
      </w:r>
    </w:p>
    <w:p w:rsidR="0023438A" w:rsidRDefault="00A02C86">
      <w:pPr>
        <w:spacing w:after="372" w:line="259" w:lineRule="auto"/>
        <w:ind w:left="435" w:right="777"/>
      </w:pPr>
      <w:r>
        <w:t>T</w:t>
      </w:r>
      <w:r>
        <w:t xml:space="preserve">erms used in this study include: </w:t>
      </w:r>
    </w:p>
    <w:p w:rsidR="0023438A" w:rsidRDefault="00A02C86">
      <w:pPr>
        <w:spacing w:after="117"/>
        <w:ind w:left="435" w:right="777"/>
      </w:pPr>
      <w:r>
        <w:rPr>
          <w:i/>
        </w:rPr>
        <w:t>Apprenticeship</w:t>
      </w:r>
      <w:r>
        <w:t>: Apprenticeships are contractual arrangements between private employers and personnel in which the business already regards the students as employees, paying a salary during supervised on-the-job training an</w:t>
      </w:r>
      <w:r>
        <w:t>d conducting related technical instruction (</w:t>
      </w:r>
      <w:proofErr w:type="spellStart"/>
      <w:r>
        <w:t>Holzer</w:t>
      </w:r>
      <w:proofErr w:type="spellEnd"/>
      <w:r>
        <w:t xml:space="preserve"> &amp; </w:t>
      </w:r>
      <w:proofErr w:type="spellStart"/>
      <w:r>
        <w:t>Lerman</w:t>
      </w:r>
      <w:proofErr w:type="spellEnd"/>
      <w:r>
        <w:t xml:space="preserve">, 2014; Rodriguez, Fox &amp; </w:t>
      </w:r>
      <w:proofErr w:type="spellStart"/>
      <w:r>
        <w:t>McCambly</w:t>
      </w:r>
      <w:proofErr w:type="spellEnd"/>
      <w:r>
        <w:t xml:space="preserve">, 2016; U.S. Department of Labor, 2019). </w:t>
      </w:r>
    </w:p>
    <w:p w:rsidR="0023438A" w:rsidRDefault="00A02C86">
      <w:pPr>
        <w:spacing w:after="117"/>
        <w:ind w:left="435" w:right="777"/>
      </w:pPr>
      <w:r>
        <w:rPr>
          <w:i/>
        </w:rPr>
        <w:t>Internship</w:t>
      </w:r>
      <w:r>
        <w:t>: An internship is a form of experiential learning that integrates knowledge and theory learned in the classroom with practical application and skills development in a professional setting. Internships give students the opportunity to gain valuable applied</w:t>
      </w:r>
      <w:r>
        <w:t xml:space="preserve"> experience and make connections in professional fields they are considering for career paths; and give employers the opportunity to guide and evaluate talent (NACE, 2011).  </w:t>
      </w:r>
    </w:p>
    <w:p w:rsidR="0023438A" w:rsidRDefault="00A02C86">
      <w:pPr>
        <w:spacing w:after="252" w:line="259" w:lineRule="auto"/>
        <w:ind w:left="435" w:right="777"/>
      </w:pPr>
      <w:r>
        <w:rPr>
          <w:i/>
        </w:rPr>
        <w:t>Post-WIOA Registered Apprenticeship (PWRA)</w:t>
      </w:r>
      <w:r>
        <w:t>: The modern apprenticeship system in t</w:t>
      </w:r>
      <w:r>
        <w:t xml:space="preserve">he United </w:t>
      </w:r>
    </w:p>
    <w:p w:rsidR="0023438A" w:rsidRDefault="00A02C86">
      <w:pPr>
        <w:spacing w:line="259" w:lineRule="auto"/>
        <w:ind w:left="435" w:right="777"/>
      </w:pPr>
      <w:r>
        <w:lastRenderedPageBreak/>
        <w:t xml:space="preserve">States was created following the 2014 passage of the Workforce Innovation and Opportunity Act.  </w:t>
      </w:r>
    </w:p>
    <w:p w:rsidR="0023438A" w:rsidRDefault="00A02C86">
      <w:pPr>
        <w:ind w:left="435" w:right="777"/>
      </w:pPr>
      <w:r>
        <w:rPr>
          <w:i/>
        </w:rPr>
        <w:t>Student and Degree Apprenticeship</w:t>
      </w:r>
      <w:r>
        <w:t>: “A “student-apprentice” is a student or apprentice who meets the definition of “regular student,” as defined by t</w:t>
      </w:r>
      <w:r>
        <w:t xml:space="preserve">he Higher Education Act, 34 CFR Part 600, and </w:t>
      </w:r>
    </w:p>
    <w:p w:rsidR="0023438A" w:rsidRDefault="00A02C86">
      <w:pPr>
        <w:spacing w:after="252" w:line="259" w:lineRule="auto"/>
        <w:ind w:left="435" w:right="777"/>
      </w:pPr>
      <w:r>
        <w:t>“</w:t>
      </w:r>
      <w:proofErr w:type="gramStart"/>
      <w:r>
        <w:t>apprentice</w:t>
      </w:r>
      <w:proofErr w:type="gramEnd"/>
      <w:r>
        <w:t xml:space="preserve">” as defined by the National Apprenticeship Act, 29 CFR Part 29.2. A “Degree </w:t>
      </w:r>
    </w:p>
    <w:p w:rsidR="0023438A" w:rsidRDefault="00A02C86">
      <w:pPr>
        <w:spacing w:after="0" w:line="478" w:lineRule="auto"/>
        <w:ind w:left="435" w:right="764"/>
        <w:jc w:val="both"/>
      </w:pPr>
      <w:r>
        <w:t xml:space="preserve">Apprenticeship” is an apprenticeship program that meets the standards established in the National Apprenticeship Act 29 </w:t>
      </w:r>
      <w:r>
        <w:t xml:space="preserve">CFR Part 29 and the requirements of a postsecondary degree program as established by the relevant state education agency in the state where the program is delivered” (McCarthy, Palmer, &amp; </w:t>
      </w:r>
      <w:proofErr w:type="spellStart"/>
      <w:r>
        <w:t>Prebil</w:t>
      </w:r>
      <w:proofErr w:type="spellEnd"/>
      <w:r>
        <w:t xml:space="preserve">, 2017). </w:t>
      </w:r>
    </w:p>
    <w:p w:rsidR="0023438A" w:rsidRDefault="00A02C86">
      <w:pPr>
        <w:spacing w:after="0" w:line="478" w:lineRule="auto"/>
        <w:ind w:left="435" w:right="764"/>
        <w:jc w:val="both"/>
      </w:pPr>
      <w:r>
        <w:rPr>
          <w:i/>
        </w:rPr>
        <w:t>Related Technical Instruction</w:t>
      </w:r>
      <w:r>
        <w:t>: The educational requir</w:t>
      </w:r>
      <w:r>
        <w:t xml:space="preserve">ement of all Registered Apprenticeship programs that must meet the minimum requirement of 144 hours annually per apprentice.  </w:t>
      </w:r>
      <w:r>
        <w:rPr>
          <w:i/>
        </w:rPr>
        <w:t>Work-Based Learning</w:t>
      </w:r>
      <w:r>
        <w:t xml:space="preserve"> (</w:t>
      </w:r>
      <w:r>
        <w:rPr>
          <w:i/>
        </w:rPr>
        <w:t>WBL</w:t>
      </w:r>
      <w:r>
        <w:t>): Work-based learning is training that takes place within the context of a wage-earning, long-term employ</w:t>
      </w:r>
      <w:r>
        <w:t xml:space="preserve">ment relationship between a business and a worker, in which the learning worker can develop measurable skills through instruction both in the workplace and, when necessary, off-site at a school or training program. Apprenticeships, </w:t>
      </w:r>
      <w:proofErr w:type="spellStart"/>
      <w:r>
        <w:t>onthe</w:t>
      </w:r>
      <w:proofErr w:type="spellEnd"/>
      <w:r>
        <w:t xml:space="preserve">-job training with </w:t>
      </w:r>
      <w:r>
        <w:t xml:space="preserve">a classroom component, and forms of incumbent worker training, fellowships, or paid internships can all fall under this definition of work-based learning (Johnson </w:t>
      </w:r>
    </w:p>
    <w:p w:rsidR="0023438A" w:rsidRDefault="00A02C86">
      <w:pPr>
        <w:spacing w:after="376" w:line="259" w:lineRule="auto"/>
        <w:ind w:left="435" w:right="777"/>
      </w:pPr>
      <w:r>
        <w:t xml:space="preserve">&amp; </w:t>
      </w:r>
      <w:proofErr w:type="spellStart"/>
      <w:r>
        <w:t>Spiker</w:t>
      </w:r>
      <w:proofErr w:type="spellEnd"/>
      <w:r>
        <w:t xml:space="preserve">, 2018). </w:t>
      </w:r>
    </w:p>
    <w:p w:rsidR="0023438A" w:rsidRDefault="00A02C86">
      <w:pPr>
        <w:pStyle w:val="Heading1"/>
        <w:ind w:left="435"/>
      </w:pPr>
      <w:r>
        <w:t xml:space="preserve">Significance of the Research Study </w:t>
      </w:r>
    </w:p>
    <w:p w:rsidR="0023438A" w:rsidRDefault="00A02C86">
      <w:pPr>
        <w:ind w:left="425" w:right="777" w:firstLine="720"/>
      </w:pPr>
      <w:r>
        <w:t>Findings from this study may be used t</w:t>
      </w:r>
      <w:r>
        <w:t>o contribute knowledge to the field regarding apprenticeship program alignment with the higher education community. This study specifically addresses the two-year postsecondary CTE sector but could be applied in a broader context to other sectors of higher</w:t>
      </w:r>
      <w:r>
        <w:t xml:space="preserve"> education that wish to explore more experiential learning collaborations. This study’s findings could help to improve the quality of education and industry partnerships in apprenticeship programs and help expedite apprenticeship growth within the United S</w:t>
      </w:r>
      <w:r>
        <w:t xml:space="preserve">tates. The Office of Apprenticeship is only halfway to its goal of one million apprentices by 2022 and is yet </w:t>
      </w:r>
      <w:r>
        <w:lastRenderedPageBreak/>
        <w:t>to surpass program highs last seen in 2002 (U.S. DOL, 2019). Additionally, this research may be of interest to employers looking to partner with e</w:t>
      </w:r>
      <w:r>
        <w:t>ducators to provide rigorous work-based learning opportunities for students and graduates of middle-skill related programming. Similarly, educators and policymakers may use findings from this study to offer learning opportunities for postsecondary CTE stud</w:t>
      </w:r>
      <w:r>
        <w:t>ents as educators and policymakers seek to provide multiple pathways for students and to develop efficient processes that enhance the implementation of apprenticeship programs. By providing an in-depth understanding of the experiences and perceptions of ed</w:t>
      </w:r>
      <w:r>
        <w:t>ucators and employers through this descriptive survey study, practitioners could gain an understanding of how to engage businesses and the educational community in the growth of apprenticeship affiliations. Finally, the study of higher education and appren</w:t>
      </w:r>
      <w:r>
        <w:t xml:space="preserve">ticeships alignment will contribute to the growing body of literature on the application, perceptions, and experiences of apprenticeship stakeholders, and aid in the improvement of program delivery for all concerned.  </w:t>
      </w:r>
    </w:p>
    <w:p w:rsidR="0023438A" w:rsidRDefault="00A02C86">
      <w:pPr>
        <w:pStyle w:val="Heading1"/>
        <w:ind w:left="435"/>
      </w:pPr>
      <w:r>
        <w:t xml:space="preserve">Assumptions </w:t>
      </w:r>
    </w:p>
    <w:p w:rsidR="0023438A" w:rsidRDefault="00A02C86">
      <w:pPr>
        <w:ind w:left="435" w:right="777"/>
      </w:pPr>
      <w:r>
        <w:t xml:space="preserve"> </w:t>
      </w:r>
      <w:r>
        <w:tab/>
        <w:t>The researcher made th</w:t>
      </w:r>
      <w:r>
        <w:t xml:space="preserve">e assumption that participants would give honest responses to the questionnaire items. </w:t>
      </w:r>
    </w:p>
    <w:p w:rsidR="0023438A" w:rsidRDefault="00A02C86">
      <w:pPr>
        <w:pStyle w:val="Heading1"/>
        <w:ind w:left="435"/>
      </w:pPr>
      <w:r>
        <w:t xml:space="preserve">Limitations and Delimitations of the Research Design </w:t>
      </w:r>
    </w:p>
    <w:p w:rsidR="0023438A" w:rsidRDefault="00A02C86">
      <w:pPr>
        <w:ind w:left="425" w:right="777" w:firstLine="720"/>
      </w:pPr>
      <w:r>
        <w:t>The size of the geographical area used in this study is a limitation. Generalizability and transferability given t</w:t>
      </w:r>
      <w:r>
        <w:t xml:space="preserve">he geographical region and the number of schools and employer participants may be a concern. Self-constructed instruments are being utilized which poses a threat to measurement error. Additionally, nonresponse may be an issue.  </w:t>
      </w:r>
    </w:p>
    <w:p w:rsidR="0023438A" w:rsidRDefault="00A02C86">
      <w:pPr>
        <w:ind w:left="425" w:right="777" w:firstLine="720"/>
      </w:pPr>
      <w:r>
        <w:t>Delimitations were determin</w:t>
      </w:r>
      <w:r>
        <w:t xml:space="preserve">ed by the conscious inclusionary decisions that were made throughout the development of the study. A main delimitation of this study is the choice of targeting small to medium size businesses that employ the majority of the workforce in the </w:t>
      </w:r>
      <w:proofErr w:type="spellStart"/>
      <w:r>
        <w:t>midAtlantic</w:t>
      </w:r>
      <w:proofErr w:type="spellEnd"/>
      <w:r>
        <w:t xml:space="preserve"> reg</w:t>
      </w:r>
      <w:r>
        <w:t xml:space="preserve">ion from where the survey was conducted. These businesses are believed to be representative of section of the economy in which apprenticeship is able to grow the most. </w:t>
      </w:r>
    </w:p>
    <w:p w:rsidR="0023438A" w:rsidRDefault="00A02C86">
      <w:pPr>
        <w:pStyle w:val="Heading1"/>
        <w:ind w:left="435"/>
      </w:pPr>
      <w:r>
        <w:lastRenderedPageBreak/>
        <w:t xml:space="preserve">Summary </w:t>
      </w:r>
    </w:p>
    <w:p w:rsidR="0023438A" w:rsidRDefault="00A02C86">
      <w:pPr>
        <w:ind w:left="425" w:right="777" w:firstLine="720"/>
      </w:pPr>
      <w:r>
        <w:t>Current literature on apprenticeship often focuses on labor market data availa</w:t>
      </w:r>
      <w:r>
        <w:t>ble from government sources. Most studies are designed with a goal of impacting legislative or policymaker agendas. Lacking in the research is attention to the experiences and perceptions of the primary stakeholders who engage with the implementation of ap</w:t>
      </w:r>
      <w:r>
        <w:t>prenticeship policy. Chapter I introduced apprenticeship as an effective WBL pedagogy that could be leveraged more extensively as a component of the existing higher education system in the United States. Two research questions were identified to address th</w:t>
      </w:r>
      <w:r>
        <w:t xml:space="preserve">e disconnect that exists between the employer who sponsors apprenticeship programs and the higher education providers who provide the industry-recognized credentials. Chapter II provides a review of the literature focusing on apprenticeship. It includes a </w:t>
      </w:r>
      <w:r>
        <w:t xml:space="preserve">historical perspective of postsecondary career and technical education and apprenticeship in the United States as well as throughout the rest of the world. Previous research on various forms of WBL, such as internships and apprenticeship, is identified as </w:t>
      </w:r>
      <w:r>
        <w:t xml:space="preserve">well as the current state of apprenticeship in America. </w:t>
      </w:r>
    </w:p>
    <w:p w:rsidR="0023438A" w:rsidRDefault="00A02C86">
      <w:pPr>
        <w:spacing w:after="252" w:line="259" w:lineRule="auto"/>
        <w:ind w:left="440" w:firstLine="0"/>
      </w:pPr>
      <w:r>
        <w:rPr>
          <w:b/>
        </w:rPr>
        <w:t xml:space="preserve"> </w:t>
      </w:r>
    </w:p>
    <w:p w:rsidR="0023438A" w:rsidRDefault="00A02C86">
      <w:pPr>
        <w:spacing w:after="0" w:line="259" w:lineRule="auto"/>
        <w:ind w:left="440" w:firstLine="0"/>
      </w:pPr>
      <w:r>
        <w:t xml:space="preserve"> </w:t>
      </w:r>
      <w:r>
        <w:tab/>
      </w:r>
      <w:r>
        <w:rPr>
          <w:b/>
        </w:rPr>
        <w:t xml:space="preserve"> </w:t>
      </w:r>
    </w:p>
    <w:p w:rsidR="0023438A" w:rsidRDefault="00A02C86">
      <w:pPr>
        <w:spacing w:after="249" w:line="259" w:lineRule="auto"/>
        <w:ind w:left="907" w:right="1241"/>
        <w:jc w:val="center"/>
      </w:pPr>
      <w:r>
        <w:rPr>
          <w:b/>
        </w:rPr>
        <w:t xml:space="preserve">CHAPTER II: </w:t>
      </w:r>
    </w:p>
    <w:p w:rsidR="0023438A" w:rsidRDefault="00A02C86">
      <w:pPr>
        <w:pStyle w:val="Heading1"/>
        <w:spacing w:after="249"/>
        <w:ind w:right="1239"/>
        <w:jc w:val="center"/>
      </w:pPr>
      <w:r>
        <w:t xml:space="preserve">Literature Review </w:t>
      </w:r>
    </w:p>
    <w:p w:rsidR="0023438A" w:rsidRDefault="00A02C86">
      <w:pPr>
        <w:ind w:left="435" w:right="777"/>
      </w:pPr>
      <w:r>
        <w:t xml:space="preserve"> </w:t>
      </w:r>
      <w:r>
        <w:tab/>
        <w:t>Chapter two is organized into nine sections that present a review of the literature related to Registered Apprenticeships (RA) programs. Although most of the review is focused on literature that studies U.S. based programs, an overview of European models</w:t>
      </w:r>
      <w:r>
        <w:t xml:space="preserve"> is presented for comparison and context. While federal law codified apprenticeship in statute for more than 100 years, society has mostly associated the program with construction and industrial occupations through trade unions such as the International Br</w:t>
      </w:r>
      <w:r>
        <w:t xml:space="preserve">otherhood of Electrical Workers (IBEW) (McGregor, 2019). Therefore a paucity of research exists from U.S. based scholarly publications studying the impact apprenticeships have on academic communities and newer technology-based occupations created </w:t>
      </w:r>
      <w:r>
        <w:lastRenderedPageBreak/>
        <w:t>in the 21</w:t>
      </w:r>
      <w:r>
        <w:rPr>
          <w:vertAlign w:val="superscript"/>
        </w:rPr>
        <w:t>st</w:t>
      </w:r>
      <w:r>
        <w:t xml:space="preserve">-century economy. This chapter discusses the historical background of WBL, the career pathways available to today’s workforce, an overview of WBL, the advantages and disadvantages of apprenticeships as well as the opportunities for future expansion.   </w:t>
      </w:r>
    </w:p>
    <w:p w:rsidR="0023438A" w:rsidRDefault="00A02C86">
      <w:pPr>
        <w:pStyle w:val="Heading1"/>
        <w:ind w:left="435"/>
      </w:pPr>
      <w:r>
        <w:t>I</w:t>
      </w:r>
      <w:r>
        <w:t xml:space="preserve">ntroduction </w:t>
      </w:r>
    </w:p>
    <w:p w:rsidR="0023438A" w:rsidRDefault="00A02C86">
      <w:pPr>
        <w:ind w:left="425" w:right="777" w:firstLine="720"/>
      </w:pPr>
      <w:r>
        <w:t>Over the last five to six years, policymakers, educators, and employers exhibit a renewed interest in apprenticeship propelled by increased federal funding and a long-term skills gap that points to apprenticeship as a strategy for recruiting a</w:t>
      </w:r>
      <w:r>
        <w:t>nd retaining skilled talent in a competitive labor market. Still, relatively few U.S. companies have registered apprenticeship programs with the U.S. Department of Labor (DOL) due to the complicated nature of administering the program (</w:t>
      </w:r>
      <w:proofErr w:type="spellStart"/>
      <w:r>
        <w:t>MacGregor</w:t>
      </w:r>
      <w:proofErr w:type="spellEnd"/>
      <w:r>
        <w:t>, 2019). Em</w:t>
      </w:r>
      <w:r>
        <w:t>ployers view apprenticeship as a way to find employees during a labor shortage; students see apprenticeship as a means to earn and learn without having to go into debt for college; and higher education institutions see apprenticeship as a strategy to expan</w:t>
      </w:r>
      <w:r>
        <w:t>d industry partnerships and retain students (</w:t>
      </w:r>
      <w:proofErr w:type="spellStart"/>
      <w:r>
        <w:t>MacGregor</w:t>
      </w:r>
      <w:proofErr w:type="spellEnd"/>
      <w:r>
        <w:t xml:space="preserve"> &amp; Fox, 2017). However, deciding to become involved with RA programs includes an organizational change for which leaders must weigh the cost-effectiveness against the perceived benefits. For the educati</w:t>
      </w:r>
      <w:r>
        <w:t>onal community, systemic change within an established degree or diploma curriculum takes a great deal of time. For this reason, college leaders must be cautious when making decisions that affect the future of the institution. The only precedent for impleme</w:t>
      </w:r>
      <w:r>
        <w:t>nting apprenticeship programs that align with higher education programming is observable in European countries such as Austria, Germany, and Switzerland, where apprenticeship is an integral part of the economy (</w:t>
      </w:r>
      <w:proofErr w:type="spellStart"/>
      <w:r>
        <w:t>MacGregor</w:t>
      </w:r>
      <w:proofErr w:type="spellEnd"/>
      <w:r>
        <w:t>, 2019). Industry and academic leade</w:t>
      </w:r>
      <w:r>
        <w:t xml:space="preserve">rs alike could benefit from more research on the perceptions and experiences of successful and unsuccessful programs to make informed decisions that lead to lasting improvements to their organizations.  </w:t>
      </w:r>
    </w:p>
    <w:p w:rsidR="0023438A" w:rsidRDefault="00A02C86">
      <w:pPr>
        <w:pStyle w:val="Heading1"/>
        <w:ind w:left="435"/>
      </w:pPr>
      <w:r>
        <w:t xml:space="preserve">Origins of Apprenticeship </w:t>
      </w:r>
    </w:p>
    <w:p w:rsidR="0023438A" w:rsidRDefault="00A02C86">
      <w:pPr>
        <w:ind w:left="435" w:right="777"/>
      </w:pPr>
      <w:r>
        <w:t xml:space="preserve"> </w:t>
      </w:r>
      <w:r>
        <w:tab/>
        <w:t>Apprenticeships are per</w:t>
      </w:r>
      <w:r>
        <w:t>haps the oldest form of knowledge transfer and educational structure known to civilization. Tracing its roots back to the 18</w:t>
      </w:r>
      <w:r>
        <w:rPr>
          <w:vertAlign w:val="superscript"/>
        </w:rPr>
        <w:t>th</w:t>
      </w:r>
      <w:r>
        <w:t xml:space="preserve"> century B.C., the Code of Hammurabi of </w:t>
      </w:r>
      <w:r>
        <w:lastRenderedPageBreak/>
        <w:t>Babylon obligated artisans to pass down their crafts to the next generation workers. The a</w:t>
      </w:r>
      <w:r>
        <w:t>ncient Greeks and Egyptians held apprenticeship in high regard as a way to pass along the skills needed to build their timeless structures. In Medieval Europe, apprenticeships were essential to Europe’s rise through programs established in guilds such as b</w:t>
      </w:r>
      <w:r>
        <w:t>lacksmiths, stonemasons, and leather smiths (Rolland, 2016).  Prior to the industrial revolution, skills were tacit, and the only method to transfer knowledge was to learn from a master craftsman. Few people in ancient times could read, so learning by doin</w:t>
      </w:r>
      <w:r>
        <w:t xml:space="preserve">g was the most effective pedagogy </w:t>
      </w:r>
    </w:p>
    <w:p w:rsidR="0023438A" w:rsidRDefault="00A02C86">
      <w:pPr>
        <w:spacing w:line="259" w:lineRule="auto"/>
        <w:ind w:left="435" w:right="777"/>
      </w:pPr>
      <w:r>
        <w:t xml:space="preserve">(Jacoby, 2001).  </w:t>
      </w:r>
    </w:p>
    <w:p w:rsidR="0023438A" w:rsidRDefault="00A02C86">
      <w:pPr>
        <w:ind w:left="425" w:right="777" w:firstLine="720"/>
      </w:pPr>
      <w:r>
        <w:rPr>
          <w:b/>
        </w:rPr>
        <w:t xml:space="preserve">Apprenticeships in America. </w:t>
      </w:r>
      <w:r>
        <w:t>By the time European settlers established colonial America, apprenticeship was a staple of European culture. As those craft workers immigrated to the colonies from European co</w:t>
      </w:r>
      <w:r>
        <w:t>untries, they brought with them the same system to pass along their craft and trade to youth growing up in their communities. Some master artisans even went so far as to teach their apprentices reading, writing, and arithmetic. Some of the country’s most w</w:t>
      </w:r>
      <w:r>
        <w:t>ell-known forefathers benefited from this system, such as George Washington (surveyor), Benjamin Franklin (printer), and Paul Revere (silversmith) (Lorenzo, 2017). However, with the arrival of the Industrial Revolution in the mid-1800s, the need for appren</w:t>
      </w:r>
      <w:r>
        <w:t xml:space="preserve">tices began to diminish because virtually no skills were needed for factory mass-production jobs. Only jobs that required some type of handicraft or specialized knowledge maintained an apprenticeship culture.  </w:t>
      </w:r>
    </w:p>
    <w:p w:rsidR="0023438A" w:rsidRDefault="00A02C86">
      <w:pPr>
        <w:ind w:left="425" w:right="777" w:firstLine="720"/>
      </w:pPr>
      <w:r>
        <w:t>Slowly, toward the late 19</w:t>
      </w:r>
      <w:r>
        <w:rPr>
          <w:vertAlign w:val="superscript"/>
        </w:rPr>
        <w:t>th</w:t>
      </w:r>
      <w:r>
        <w:t xml:space="preserve"> century, apprent</w:t>
      </w:r>
      <w:r>
        <w:t>iceships began to return as the economy evolved into the modern era as America began to build some of the world’s most innovative feats of engineering (</w:t>
      </w:r>
      <w:proofErr w:type="spellStart"/>
      <w:r>
        <w:t>Dolgin</w:t>
      </w:r>
      <w:proofErr w:type="spellEnd"/>
      <w:r>
        <w:t>, 1997). Developers began to see the need for highly skilled tradesmen once again. The railroad in</w:t>
      </w:r>
      <w:r>
        <w:t>dustry was the first to set the standard for rewarding apprentices for longevity with the company. The Pennsylvania Railroad implemented a graduated wage scale paid to apprentices in 1865, which is still one of the primary components of any Registered Appr</w:t>
      </w:r>
      <w:r>
        <w:t>enticeship program today (</w:t>
      </w:r>
      <w:proofErr w:type="spellStart"/>
      <w:r>
        <w:t>ApprenticeshipNC</w:t>
      </w:r>
      <w:proofErr w:type="spellEnd"/>
      <w:r>
        <w:t xml:space="preserve">, 2019; Lorenzo, 2017). Without the workmanship provided by a reliable system such as apprenticeship that could convert blueprints </w:t>
      </w:r>
      <w:r>
        <w:lastRenderedPageBreak/>
        <w:t>into the incredible machines and structures that the industrialists envisioned, the</w:t>
      </w:r>
      <w:r>
        <w:t xml:space="preserve"> ingenuity and economic success for which Industrial Revolution is legendary could not have been realized economically (</w:t>
      </w:r>
      <w:proofErr w:type="spellStart"/>
      <w:r>
        <w:t>ApprenticeshipNC</w:t>
      </w:r>
      <w:proofErr w:type="spellEnd"/>
      <w:r>
        <w:t xml:space="preserve">, 2019).  </w:t>
      </w:r>
    </w:p>
    <w:p w:rsidR="0023438A" w:rsidRDefault="00A02C86">
      <w:pPr>
        <w:spacing w:after="252" w:line="259" w:lineRule="auto"/>
        <w:ind w:left="1160" w:firstLine="0"/>
      </w:pPr>
      <w:r>
        <w:t xml:space="preserve"> </w:t>
      </w:r>
    </w:p>
    <w:p w:rsidR="0023438A" w:rsidRDefault="00A02C86">
      <w:pPr>
        <w:spacing w:after="0" w:line="259" w:lineRule="auto"/>
        <w:ind w:left="1160" w:firstLine="0"/>
      </w:pPr>
      <w:r>
        <w:t xml:space="preserve"> </w:t>
      </w:r>
    </w:p>
    <w:p w:rsidR="0023438A" w:rsidRDefault="00A02C86">
      <w:pPr>
        <w:pStyle w:val="Heading1"/>
        <w:ind w:left="435"/>
      </w:pPr>
      <w:r>
        <w:t xml:space="preserve">Legislative Background of Apprenticeships </w:t>
      </w:r>
    </w:p>
    <w:p w:rsidR="0023438A" w:rsidRDefault="00A02C86">
      <w:pPr>
        <w:ind w:left="435" w:right="777"/>
      </w:pPr>
      <w:r>
        <w:rPr>
          <w:b/>
        </w:rPr>
        <w:t xml:space="preserve"> </w:t>
      </w:r>
      <w:r>
        <w:rPr>
          <w:b/>
        </w:rPr>
        <w:tab/>
      </w:r>
      <w:r>
        <w:t>As the construction boom swept across early 20</w:t>
      </w:r>
      <w:r>
        <w:rPr>
          <w:vertAlign w:val="superscript"/>
        </w:rPr>
        <w:t>th</w:t>
      </w:r>
      <w:r>
        <w:t xml:space="preserve"> century America, apprenticeships started to reenter the mainstream through the specialized building trades. Occupations such as machinists, ironworkers, pipefitters, and electricians began to form labor unions and organize a system of training their new m</w:t>
      </w:r>
      <w:r>
        <w:t xml:space="preserve">embers into the profession. The state of Wisconsin is credited in </w:t>
      </w:r>
    </w:p>
    <w:p w:rsidR="0023438A" w:rsidRDefault="00A02C86">
      <w:pPr>
        <w:ind w:left="435" w:right="777"/>
      </w:pPr>
      <w:r>
        <w:t>1911 with the first piece of legislation designed to promote an organized system of apprenticeship (Rolland, 2016). Even though it is over a hundred years old, it is that first piece of Wis</w:t>
      </w:r>
      <w:r>
        <w:t>consin legislation that inspired many of the foundational elements of today’s Registered Apprenticeship program. In addition to placing apprenticeships under the responsibility of the industrial commission, the legislation built-in required technical instr</w:t>
      </w:r>
      <w:r>
        <w:t>uction hours, which stipulated that all apprentices had to attend classroom instruction for at least five hours every week (</w:t>
      </w:r>
      <w:proofErr w:type="spellStart"/>
      <w:r>
        <w:t>ApprenticeshipNC</w:t>
      </w:r>
      <w:proofErr w:type="spellEnd"/>
      <w:r>
        <w:t xml:space="preserve">, 2019).  </w:t>
      </w:r>
    </w:p>
    <w:p w:rsidR="0023438A" w:rsidRDefault="00A02C86">
      <w:pPr>
        <w:ind w:left="425" w:right="777" w:firstLine="720"/>
      </w:pPr>
      <w:r>
        <w:t>Beginning in the 1920s, the legislative success in Wisconsin created a groundswell of support for a unifo</w:t>
      </w:r>
      <w:r>
        <w:t xml:space="preserve">rm national apprentice system from government officials, educators, labor organizations, and national employers. As a result, the Federal Committee on </w:t>
      </w:r>
    </w:p>
    <w:p w:rsidR="0023438A" w:rsidRDefault="00A02C86">
      <w:pPr>
        <w:ind w:left="435" w:right="777"/>
      </w:pPr>
      <w:r>
        <w:t xml:space="preserve">Apprenticeship was appointed by the Secretary of Labor appointed to recommend a unified national system </w:t>
      </w:r>
      <w:r>
        <w:t>for apprenticeship (Apprenticeship.gov, 2019).  As a result of the committee’s work, Congress passed the first national piece of unifying legislation for apprenticeship. Known as the Fitzgerald Act, the National Apprenticeship Act mandated the Department o</w:t>
      </w:r>
      <w:r>
        <w:t>f Labor to formulate the continuance of labor standards necessary to “safeguard the welfare of apprentices and to cooperate with the States in the promotion of such standard” (</w:t>
      </w:r>
      <w:proofErr w:type="spellStart"/>
      <w:r>
        <w:t>ApprenticeshipNC</w:t>
      </w:r>
      <w:proofErr w:type="spellEnd"/>
      <w:r>
        <w:t xml:space="preserve">, 2019, p. </w:t>
      </w:r>
    </w:p>
    <w:p w:rsidR="0023438A" w:rsidRDefault="00A02C86">
      <w:pPr>
        <w:spacing w:after="252" w:line="259" w:lineRule="auto"/>
        <w:ind w:left="435" w:right="777"/>
      </w:pPr>
      <w:r>
        <w:lastRenderedPageBreak/>
        <w:t>1). The law created the Bureau of Apprenticeship and</w:t>
      </w:r>
      <w:r>
        <w:t xml:space="preserve"> Training, which is now known as the Office of Apprenticeship to function as the national administrative agency in the Department of </w:t>
      </w:r>
    </w:p>
    <w:p w:rsidR="0023438A" w:rsidRDefault="00A02C86">
      <w:pPr>
        <w:tabs>
          <w:tab w:val="center" w:pos="4189"/>
          <w:tab w:val="center" w:pos="8360"/>
        </w:tabs>
        <w:spacing w:after="258" w:line="259" w:lineRule="auto"/>
        <w:ind w:left="0" w:firstLine="0"/>
      </w:pPr>
      <w:r>
        <w:rPr>
          <w:rFonts w:ascii="Calibri" w:eastAsia="Calibri" w:hAnsi="Calibri" w:cs="Calibri"/>
          <w:sz w:val="22"/>
        </w:rPr>
        <w:tab/>
      </w:r>
      <w:r>
        <w:t xml:space="preserve">Labor to carry out the mandates of the legislation (Apprenticeship.gov, 2019).  </w:t>
      </w:r>
      <w:r>
        <w:tab/>
        <w:t xml:space="preserve"> </w:t>
      </w:r>
    </w:p>
    <w:p w:rsidR="0023438A" w:rsidRDefault="00A02C86">
      <w:pPr>
        <w:spacing w:after="117"/>
        <w:ind w:left="425" w:right="777" w:firstLine="720"/>
      </w:pPr>
      <w:r>
        <w:t>These standards established by the law</w:t>
      </w:r>
      <w:r>
        <w:t xml:space="preserve"> led to the widely understood definition of apprenticeship accepted in the U.S. today: Apprenticeships are contractual arrangements between private employers and personnel in which the business already regards the students as employees, paying a salary dur</w:t>
      </w:r>
      <w:r>
        <w:t xml:space="preserve">ing supervised on-the-job training and conducting related technical instruction (Rodriguez, Fox, &amp; </w:t>
      </w:r>
      <w:proofErr w:type="spellStart"/>
      <w:r>
        <w:t>McCambly</w:t>
      </w:r>
      <w:proofErr w:type="spellEnd"/>
      <w:r>
        <w:t>, 2016; U.S. Department of Labor, 2019). These earn-and-learn training plans are systematic and long-term, alternating periods at the workplace and i</w:t>
      </w:r>
      <w:r>
        <w:t>n an educational institution or training center, which results in a federally recognized credential (</w:t>
      </w:r>
      <w:proofErr w:type="spellStart"/>
      <w:r>
        <w:t>Cedefop</w:t>
      </w:r>
      <w:proofErr w:type="spellEnd"/>
      <w:r>
        <w:t xml:space="preserve">, 2015).  </w:t>
      </w:r>
    </w:p>
    <w:p w:rsidR="0023438A" w:rsidRDefault="00A02C86">
      <w:pPr>
        <w:spacing w:after="117"/>
        <w:ind w:left="425" w:right="777" w:firstLine="720"/>
      </w:pPr>
      <w:r>
        <w:t xml:space="preserve">In the United States, the modern concept of apprenticeships is categorized as a </w:t>
      </w:r>
      <w:proofErr w:type="spellStart"/>
      <w:r>
        <w:t>workbased</w:t>
      </w:r>
      <w:proofErr w:type="spellEnd"/>
      <w:r>
        <w:t xml:space="preserve"> learning (WBL) strategy. The apprenticeship fra</w:t>
      </w:r>
      <w:r>
        <w:t>meworks are classified as Registered Apprenticeships (RAs) regulated by the U.S. Department of Labor (DOL) who awards a federal certificate upon completion, non-RAs, and youth apprenticeships (Helper et al., 2016).  The DOL Registered Apprenticeship (RA) p</w:t>
      </w:r>
      <w:r>
        <w:t>rogram covers over a thousand occupations; however, many of the occupations outside of the skilled trades are relatively new programs to the federal registry.  DOL defines an RA program as innovative work-based learning and postsecondary earn-</w:t>
      </w:r>
      <w:proofErr w:type="spellStart"/>
      <w:r>
        <w:t>andlearn</w:t>
      </w:r>
      <w:proofErr w:type="spellEnd"/>
      <w:r>
        <w:t xml:space="preserve"> mode</w:t>
      </w:r>
      <w:r>
        <w:t xml:space="preserve">ls that meet national standards set by DOL. The RA sponsor, which is usually the employer but could also include an industry association or educational provider, is responsible for registering the program with the DOL and regularly update the apprentices’ </w:t>
      </w:r>
      <w:r>
        <w:t xml:space="preserve">progress in the federal database. To qualify for DOL approval, RA program standards must meet five essential criteria (Helper et al., 2016):  </w:t>
      </w:r>
    </w:p>
    <w:p w:rsidR="0023438A" w:rsidRDefault="00A02C86">
      <w:pPr>
        <w:numPr>
          <w:ilvl w:val="0"/>
          <w:numId w:val="3"/>
        </w:numPr>
        <w:spacing w:line="259" w:lineRule="auto"/>
        <w:ind w:right="777" w:hanging="240"/>
      </w:pPr>
      <w:r>
        <w:t xml:space="preserve">Participants are paid by employers during training.  </w:t>
      </w:r>
    </w:p>
    <w:p w:rsidR="0023438A" w:rsidRDefault="00A02C86">
      <w:pPr>
        <w:numPr>
          <w:ilvl w:val="0"/>
          <w:numId w:val="3"/>
        </w:numPr>
        <w:spacing w:after="355" w:line="259" w:lineRule="auto"/>
        <w:ind w:right="777" w:hanging="240"/>
      </w:pPr>
      <w:r>
        <w:t xml:space="preserve">Programs meet national standards for registration with the </w:t>
      </w:r>
      <w:r>
        <w:t xml:space="preserve">U.S. Department of Labor.  </w:t>
      </w:r>
    </w:p>
    <w:p w:rsidR="0023438A" w:rsidRDefault="00A02C86">
      <w:pPr>
        <w:numPr>
          <w:ilvl w:val="0"/>
          <w:numId w:val="3"/>
        </w:numPr>
        <w:spacing w:after="117"/>
        <w:ind w:right="777" w:hanging="240"/>
      </w:pPr>
      <w:r>
        <w:lastRenderedPageBreak/>
        <w:t xml:space="preserve">Programs provide on-the-job learning and job-related classroom or technical instruction.  </w:t>
      </w:r>
    </w:p>
    <w:p w:rsidR="0023438A" w:rsidRDefault="00A02C86">
      <w:pPr>
        <w:numPr>
          <w:ilvl w:val="0"/>
          <w:numId w:val="3"/>
        </w:numPr>
        <w:spacing w:after="117"/>
        <w:ind w:right="777" w:hanging="240"/>
      </w:pPr>
      <w:r>
        <w:t xml:space="preserve">On-the-job learning is conducted under the direction of one or more of the employer’s personnel. </w:t>
      </w:r>
    </w:p>
    <w:p w:rsidR="0023438A" w:rsidRDefault="00A02C86">
      <w:pPr>
        <w:numPr>
          <w:ilvl w:val="0"/>
          <w:numId w:val="3"/>
        </w:numPr>
        <w:spacing w:after="117"/>
        <w:ind w:right="777" w:hanging="240"/>
      </w:pPr>
      <w:r>
        <w:t>Training results in an industry-recogni</w:t>
      </w:r>
      <w:r>
        <w:t xml:space="preserve">zed credential that certifies occupational proficiency (Helper et al., 2016). </w:t>
      </w:r>
    </w:p>
    <w:p w:rsidR="0023438A" w:rsidRDefault="00A02C86">
      <w:pPr>
        <w:spacing w:after="117"/>
        <w:ind w:left="425" w:right="777" w:firstLine="720"/>
      </w:pPr>
      <w:r>
        <w:t>In 2014, Congress passed the Workforce Innovation and Opportunity Act (WIOA), which served to enhance the program by creating industry sector-based partnerships across the country, funding new grant programs to expand apprenticeship employer support and ou</w:t>
      </w:r>
      <w:r>
        <w:t xml:space="preserve">treach, and creating new innovative apprenticeship frameworks (Johnson &amp; </w:t>
      </w:r>
      <w:proofErr w:type="spellStart"/>
      <w:r>
        <w:t>Spiker</w:t>
      </w:r>
      <w:proofErr w:type="spellEnd"/>
      <w:r>
        <w:t>, 2018). These frameworks give more flexibility to employers and educators to design programs that are not strictly time-based. Competency-based and hybrid frameworks that requi</w:t>
      </w:r>
      <w:r>
        <w:t xml:space="preserve">re a combination of time and competency are now eligible for Registry with the Office of Apprenticeship (Kuehn, 2019).  </w:t>
      </w:r>
    </w:p>
    <w:p w:rsidR="0023438A" w:rsidRDefault="00A02C86">
      <w:pPr>
        <w:ind w:left="425" w:right="777" w:firstLine="720"/>
      </w:pPr>
      <w:r>
        <w:t>These adaptations have helped the apprenticeship growth in recent years; however, the number of apprentices in the RA program has fluct</w:t>
      </w:r>
      <w:r>
        <w:t>uated with changes in the economic cycle. Between the 2002 and 2014 fiscal years, enrollment peaked at a high of 469,238 in 2002 and a low of 357,692 in 2011 and trended upward to 375,425 in 2013, 410,375 in 2014, and 445,900 apprentices as of October 2015</w:t>
      </w:r>
      <w:r>
        <w:t xml:space="preserve">.  In 2016, the number grew to 505,000, then to 534,000 in 2017, and finally to 585,000 in 2018.  All in all, apprenticeship has enjoyed a 56% increase since 2013 </w:t>
      </w:r>
    </w:p>
    <w:p w:rsidR="0023438A" w:rsidRDefault="00A02C86">
      <w:pPr>
        <w:spacing w:line="259" w:lineRule="auto"/>
        <w:ind w:left="435" w:right="777"/>
      </w:pPr>
      <w:r>
        <w:t>(US DOL, 2019).</w:t>
      </w:r>
      <w:r>
        <w:rPr>
          <w:b/>
        </w:rPr>
        <w:t xml:space="preserve"> </w:t>
      </w:r>
    </w:p>
    <w:p w:rsidR="0023438A" w:rsidRDefault="00A02C86">
      <w:pPr>
        <w:pStyle w:val="Heading1"/>
        <w:ind w:left="435"/>
      </w:pPr>
      <w:r>
        <w:t xml:space="preserve">Academics and the Labor Market </w:t>
      </w:r>
    </w:p>
    <w:p w:rsidR="0023438A" w:rsidRDefault="00A02C86">
      <w:pPr>
        <w:ind w:left="425" w:right="777" w:firstLine="720"/>
      </w:pPr>
      <w:r>
        <w:t>Despite the growth in apprenticeship, the c</w:t>
      </w:r>
      <w:r>
        <w:t>onnection between apprenticeship and higher education sectors in the United States has yet to come to fruition (Jones, 2017). The traditional four-year college pathway has benefited from American society’s prevailing mindset that the only pathway to upward</w:t>
      </w:r>
      <w:r>
        <w:t xml:space="preserve"> mobility is to pursue a Bachelor’s degree (Symonds, Schwartz, &amp; Ferguson, 2011). Regardless of the major, the focus of family members and high school </w:t>
      </w:r>
      <w:r>
        <w:lastRenderedPageBreak/>
        <w:t>educators is to see their child or student get into college (</w:t>
      </w:r>
      <w:proofErr w:type="spellStart"/>
      <w:r>
        <w:t>McGivern</w:t>
      </w:r>
      <w:proofErr w:type="spellEnd"/>
      <w:r>
        <w:t xml:space="preserve">, 2018). This attitude has led to a </w:t>
      </w:r>
      <w:r>
        <w:t>mismatch between the job market and the number of graduates entering into high demand majors. The students are often more concerned with where they are attending than what they are studying when choosing a college (Burdett, 2013). When forming their postse</w:t>
      </w:r>
      <w:r>
        <w:t>condary plans, the vast majority of students in contemporary high schools focus on the prestige of the higher education institution rather than their program major matching labor market demands (</w:t>
      </w:r>
      <w:proofErr w:type="spellStart"/>
      <w:r>
        <w:t>Domina</w:t>
      </w:r>
      <w:proofErr w:type="spellEnd"/>
      <w:r>
        <w:t xml:space="preserve">, Conley, &amp; </w:t>
      </w:r>
      <w:proofErr w:type="spellStart"/>
      <w:r>
        <w:t>Farkas</w:t>
      </w:r>
      <w:proofErr w:type="spellEnd"/>
      <w:r>
        <w:t xml:space="preserve">, 2011).  </w:t>
      </w:r>
    </w:p>
    <w:p w:rsidR="0023438A" w:rsidRDefault="00A02C86">
      <w:pPr>
        <w:ind w:left="425" w:right="777" w:firstLine="720"/>
      </w:pPr>
      <w:r>
        <w:rPr>
          <w:b/>
        </w:rPr>
        <w:t>The underemployment trend.</w:t>
      </w:r>
      <w:r>
        <w:rPr>
          <w:b/>
        </w:rPr>
        <w:t xml:space="preserve"> </w:t>
      </w:r>
      <w:r>
        <w:t>A 2018 study of bachelor degree graduates found that 51% of graduates indicated they would change their degree, institution, or major if they had it to do over again (</w:t>
      </w:r>
      <w:proofErr w:type="spellStart"/>
      <w:r>
        <w:t>Strada</w:t>
      </w:r>
      <w:proofErr w:type="spellEnd"/>
      <w:r>
        <w:t>, 2018). While the bachelor's degree still provides the best average annual income</w:t>
      </w:r>
      <w:r>
        <w:t xml:space="preserve"> for graduates, the major chosen by the student plays a big role in determining financial outcomes. Almost a third of high-demand two-year degree holders earn more than the average four-year degree holder’s income. (Pitt &amp; Zhu, 2019; </w:t>
      </w:r>
      <w:proofErr w:type="spellStart"/>
      <w:r>
        <w:t>Sigelman</w:t>
      </w:r>
      <w:proofErr w:type="spellEnd"/>
      <w:r>
        <w:t xml:space="preserve"> et al., 2018)</w:t>
      </w:r>
      <w:r>
        <w:t xml:space="preserve">. The disparity in the number of college graduates for high demand occupations has contributed to the skills gap by causing a wave of underemployment for recent graduates. </w:t>
      </w:r>
      <w:proofErr w:type="spellStart"/>
      <w:r>
        <w:t>Sigelman</w:t>
      </w:r>
      <w:proofErr w:type="spellEnd"/>
      <w:r>
        <w:t xml:space="preserve"> et al. (2018) reported that 43% of college graduates do not have a college-</w:t>
      </w:r>
      <w:r>
        <w:t>level role in their first job after graduation.  Even more troublesome is that the study found that underemployment is persistent in the graduates’ long-term futures.  Two-thirds remained underemployed five years after graduation resulting in a 22% wage pe</w:t>
      </w:r>
      <w:r>
        <w:t>nalty compared to an appropriately employed bachelor degree graduate (</w:t>
      </w:r>
      <w:proofErr w:type="spellStart"/>
      <w:r>
        <w:t>Sigelman</w:t>
      </w:r>
      <w:proofErr w:type="spellEnd"/>
      <w:r>
        <w:t xml:space="preserve"> et al., 2018). The results suggest that while college degrees matter, choosing the right major matters more when predicting future career success for young professionals in the </w:t>
      </w:r>
      <w:r>
        <w:t xml:space="preserve">United States.  </w:t>
      </w:r>
    </w:p>
    <w:p w:rsidR="0023438A" w:rsidRDefault="00A02C86">
      <w:pPr>
        <w:ind w:left="425" w:right="777" w:firstLine="720"/>
      </w:pPr>
      <w:r>
        <w:t>Additional literature on the subject of the underemployment of recent college graduates gives additional insights into graduate outcomes. According to Rose (2017), 35 percent of the 49 million four-year college graduates in the workforce h</w:t>
      </w:r>
      <w:r>
        <w:t xml:space="preserve">ave low-skill jobs that require less than a college degree.  Abel, Dietz, and Su (2014) stated that 33 percent of college graduates are overqualified for their employment, and when the authors excluded graduate degree holders, the </w:t>
      </w:r>
      <w:r>
        <w:lastRenderedPageBreak/>
        <w:t>portion of the overqualif</w:t>
      </w:r>
      <w:r>
        <w:t xml:space="preserve">ied bachelor degree holders rose to 43 percent. In two other prominent studies, the estimates of </w:t>
      </w:r>
      <w:proofErr w:type="spellStart"/>
      <w:r>
        <w:t>overqualification</w:t>
      </w:r>
      <w:proofErr w:type="spellEnd"/>
      <w:r>
        <w:t xml:space="preserve"> ranged from 48 percent (</w:t>
      </w:r>
      <w:proofErr w:type="spellStart"/>
      <w:r>
        <w:t>Vedder</w:t>
      </w:r>
      <w:proofErr w:type="spellEnd"/>
      <w:r>
        <w:t xml:space="preserve">, </w:t>
      </w:r>
      <w:proofErr w:type="spellStart"/>
      <w:r>
        <w:t>Denhart</w:t>
      </w:r>
      <w:proofErr w:type="spellEnd"/>
      <w:r>
        <w:t xml:space="preserve"> &amp; Robe, 2013) to 28 percent (</w:t>
      </w:r>
      <w:proofErr w:type="spellStart"/>
      <w:r>
        <w:t>Fogg</w:t>
      </w:r>
      <w:proofErr w:type="spellEnd"/>
      <w:r>
        <w:t xml:space="preserve"> &amp; Harrington, 2011). Furthermore, the literature identifies contrib</w:t>
      </w:r>
      <w:r>
        <w:t xml:space="preserve">uting factors to this issue. For instance, many college graduates are underemployed in entry-level occupations in such areas as hospitality, sales, or customer service (Goodwin, 2012). </w:t>
      </w:r>
      <w:proofErr w:type="spellStart"/>
      <w:r>
        <w:t>Modestino</w:t>
      </w:r>
      <w:proofErr w:type="spellEnd"/>
      <w:r>
        <w:t xml:space="preserve">, </w:t>
      </w:r>
      <w:proofErr w:type="spellStart"/>
      <w:r>
        <w:t>Shoag</w:t>
      </w:r>
      <w:proofErr w:type="spellEnd"/>
      <w:r>
        <w:t xml:space="preserve">, and </w:t>
      </w:r>
      <w:proofErr w:type="spellStart"/>
      <w:r>
        <w:t>Ballance</w:t>
      </w:r>
      <w:proofErr w:type="spellEnd"/>
      <w:r>
        <w:t xml:space="preserve"> (2015) show the impetus for the underemp</w:t>
      </w:r>
      <w:r>
        <w:t>loyment trend was caused by the tendency for employers to hire bachelor degree graduates in many jobs that did not previously require them, at least partly due to the availability of many such workers for low wages during the years of the Great Recession b</w:t>
      </w:r>
      <w:r>
        <w:t xml:space="preserve">etween 2008 and 2010. </w:t>
      </w:r>
    </w:p>
    <w:p w:rsidR="0023438A" w:rsidRDefault="00A02C86">
      <w:pPr>
        <w:ind w:left="425" w:right="777" w:firstLine="720"/>
      </w:pPr>
      <w:r>
        <w:rPr>
          <w:b/>
        </w:rPr>
        <w:t xml:space="preserve">The completion problem. </w:t>
      </w:r>
      <w:r>
        <w:t>Despite a clear message that attending college is essential and a pervasive desire among young students, only about 30% of Americans complete a bachelor’s degree by their mid-20s, with another 10 percent compl</w:t>
      </w:r>
      <w:r>
        <w:t xml:space="preserve">eting an associate’s degree by then (Carter, 2011). Even with a strong focus in recent decades to increase college graduation rates, they have improved only slightly. A 2018 study saw six-year college graduation rates increase to </w:t>
      </w:r>
    </w:p>
    <w:p w:rsidR="0023438A" w:rsidRDefault="00A02C86">
      <w:pPr>
        <w:ind w:left="435" w:right="777"/>
      </w:pPr>
      <w:r>
        <w:t>58.3%, leaving nearly a 4</w:t>
      </w:r>
      <w:r>
        <w:t xml:space="preserve">2% dropout population with no degree or credential (Shapiro et al., 2018). Researchers at Harvard’s Graduate School of Education Pathways to Prosperity project concluded that the current postsecondary educational structure would be fine if the country had </w:t>
      </w:r>
      <w:r>
        <w:t>an alternative system for students who do not get college degrees. However, the United States seemingly stands alone among industrialized countries in terms of not having additional career training options and relying so heavily on higher education (Symond</w:t>
      </w:r>
      <w:r>
        <w:t xml:space="preserve">s et al., 2011). </w:t>
      </w:r>
    </w:p>
    <w:p w:rsidR="0023438A" w:rsidRDefault="00A02C86">
      <w:pPr>
        <w:ind w:left="425" w:right="777" w:firstLine="720"/>
      </w:pPr>
      <w:r>
        <w:rPr>
          <w:b/>
        </w:rPr>
        <w:t xml:space="preserve">Postsecondary choices. </w:t>
      </w:r>
      <w:r>
        <w:t xml:space="preserve"> Upon graduating from high school, students can choose one of three directions for their future if they want to find a Good Job.  The Georgetown Center on Education and the Workforce (CEW), led by Anthony </w:t>
      </w:r>
      <w:proofErr w:type="spellStart"/>
      <w:r>
        <w:t>Carnevale</w:t>
      </w:r>
      <w:proofErr w:type="spellEnd"/>
      <w:r>
        <w:t>,</w:t>
      </w:r>
      <w:r>
        <w:t xml:space="preserve"> is the preeminent research and policy institute in the United States that studies the link between workforce development and the educational system. The CEW has produced dozens of seminal studies related to the past, present, and future of workforce devel</w:t>
      </w:r>
      <w:r>
        <w:t xml:space="preserve">opment the U.S. </w:t>
      </w:r>
      <w:proofErr w:type="spellStart"/>
      <w:r>
        <w:t>Carnevale</w:t>
      </w:r>
      <w:proofErr w:type="spellEnd"/>
      <w:r>
        <w:t xml:space="preserve"> is consulted by the U.S. </w:t>
      </w:r>
      <w:r>
        <w:lastRenderedPageBreak/>
        <w:t xml:space="preserve">Congress and leading scholars for his research and depth of knowledge of all things related to workforce development.  </w:t>
      </w:r>
    </w:p>
    <w:p w:rsidR="0023438A" w:rsidRDefault="00A02C86">
      <w:pPr>
        <w:ind w:left="425" w:right="777" w:firstLine="720"/>
      </w:pPr>
      <w:proofErr w:type="spellStart"/>
      <w:r>
        <w:t>Carnevale</w:t>
      </w:r>
      <w:proofErr w:type="spellEnd"/>
      <w:r>
        <w:t xml:space="preserve"> and the CEW coined the term Good Job as one paying a minimum of $35,000 for workers between the ages of 25 and 44 and at least $45,000 for workers between the ages of 45 and 64; and salaries for individuals with Good Jobs average $55,000 for work</w:t>
      </w:r>
      <w:r>
        <w:t xml:space="preserve">ers without a </w:t>
      </w:r>
    </w:p>
    <w:p w:rsidR="0023438A" w:rsidRDefault="00A02C86">
      <w:pPr>
        <w:ind w:left="435" w:right="777"/>
      </w:pPr>
      <w:r>
        <w:t>Bachelor’s degree and $65,000 for those with a Bachelor’s degree or higher (</w:t>
      </w:r>
      <w:proofErr w:type="spellStart"/>
      <w:r>
        <w:t>Carnevale</w:t>
      </w:r>
      <w:proofErr w:type="spellEnd"/>
      <w:r>
        <w:t xml:space="preserve"> et al., 2018). The three pathways to achieve these Good Jobs are straightforward: the high school pathway, the middle-skills pathway, and the bachelor’s de</w:t>
      </w:r>
      <w:r>
        <w:t>gree pathway (</w:t>
      </w:r>
      <w:proofErr w:type="spellStart"/>
      <w:r>
        <w:t>Carnevale</w:t>
      </w:r>
      <w:proofErr w:type="spellEnd"/>
      <w:r>
        <w:t xml:space="preserve"> et al., 2018).    </w:t>
      </w:r>
    </w:p>
    <w:p w:rsidR="0023438A" w:rsidRDefault="00A02C86">
      <w:pPr>
        <w:ind w:left="425" w:right="777" w:firstLine="720"/>
      </w:pPr>
      <w:r>
        <w:t>The first option, the high school pathway, is defined as the path taken by those workers who pursue employment with only a high school diploma or GED as their highest level of training. These individuals are class</w:t>
      </w:r>
      <w:r>
        <w:t>ified as low-skill workers due to their limitations in training and credentials. For years manufacturing provided a substantial amount of Good Jobs for high school graduates. The need for low-skill workers has diminished in recent decades by 1.8 million jo</w:t>
      </w:r>
      <w:r>
        <w:t>bs between 1991 and 2016, with the advent of industrial automation (</w:t>
      </w:r>
      <w:proofErr w:type="spellStart"/>
      <w:r>
        <w:t>Carnevale</w:t>
      </w:r>
      <w:proofErr w:type="spellEnd"/>
      <w:r>
        <w:t xml:space="preserve"> et al., 2018). Even with those setbacks, individuals following the high school pathway still constitute 13 million jobs or 20% of the labor force; but this pathway faces an uncer</w:t>
      </w:r>
      <w:r>
        <w:t xml:space="preserve">tain future as technology presents a threat to many of these occupations.  </w:t>
      </w:r>
    </w:p>
    <w:p w:rsidR="0023438A" w:rsidRDefault="00A02C86">
      <w:pPr>
        <w:ind w:left="425" w:right="777" w:firstLine="720"/>
      </w:pPr>
      <w:r>
        <w:t>The second option beyond the low-skill high school pathway are middle-skill professions. Unlike the high-school pathway, the middle-skills pathway is still growing and represents 1</w:t>
      </w:r>
      <w:r>
        <w:t>6 million workers or 26% of the labor market. These jobs involve training beyond high school but less than a bachelor’s degree (</w:t>
      </w:r>
      <w:proofErr w:type="spellStart"/>
      <w:r>
        <w:t>Carnevale</w:t>
      </w:r>
      <w:proofErr w:type="spellEnd"/>
      <w:r>
        <w:t xml:space="preserve">, </w:t>
      </w:r>
      <w:proofErr w:type="spellStart"/>
      <w:r>
        <w:t>Jayasundera</w:t>
      </w:r>
      <w:proofErr w:type="spellEnd"/>
      <w:r>
        <w:t xml:space="preserve">, &amp; </w:t>
      </w:r>
      <w:proofErr w:type="spellStart"/>
      <w:r>
        <w:t>Gulish</w:t>
      </w:r>
      <w:proofErr w:type="spellEnd"/>
      <w:r>
        <w:t>, 2016). These professions require the acquisition of high demand technical skills gained throug</w:t>
      </w:r>
      <w:r>
        <w:t>h education specific to the occupational skill set. This training may occur at the postsecondary level (associate’s degree, diploma, or certificate credential) or through work-based learning programs such as an apprenticeship. The industries that see the m</w:t>
      </w:r>
      <w:r>
        <w:t>ost growth in the middle-skills pathways are STEM, healthcare, and business (</w:t>
      </w:r>
      <w:proofErr w:type="spellStart"/>
      <w:r>
        <w:t>Carnevale</w:t>
      </w:r>
      <w:proofErr w:type="spellEnd"/>
      <w:r>
        <w:t xml:space="preserve"> et al., 2016). </w:t>
      </w:r>
    </w:p>
    <w:p w:rsidR="0023438A" w:rsidRDefault="00A02C86">
      <w:pPr>
        <w:ind w:left="425" w:right="777" w:firstLine="720"/>
      </w:pPr>
      <w:r>
        <w:lastRenderedPageBreak/>
        <w:t>Of the various postsecondary training options for middle-skills employment, associate’s degree programs have experienced the most growth. Experiencing an</w:t>
      </w:r>
      <w:r>
        <w:t xml:space="preserve"> 83% increase since 1991 and adding nearly 4 million new Good Jobs, growth in associate degree occupations has more than offset the 1.8 million Good Jobs lost by high school graduates (</w:t>
      </w:r>
      <w:proofErr w:type="spellStart"/>
      <w:r>
        <w:t>Carnevale</w:t>
      </w:r>
      <w:proofErr w:type="spellEnd"/>
      <w:r>
        <w:t xml:space="preserve"> et al., 2016). Community colleges, private career and technic</w:t>
      </w:r>
      <w:r>
        <w:t>al colleges, and traditional universities offer two– year associate’s degrees in growing high demand career fields to meet the burgeoning demand from both students and employers. While the median earnings of two-year graduates are less than the median of g</w:t>
      </w:r>
      <w:r>
        <w:t>raduates from four-year programs, more than 30% of associate degree graduates earn more than the average bachelor’s degree graduate salary. The more in-demand the degree’s major, the more the earnings potential grows in this category (</w:t>
      </w:r>
      <w:proofErr w:type="spellStart"/>
      <w:r>
        <w:t>Carnevale</w:t>
      </w:r>
      <w:proofErr w:type="spellEnd"/>
      <w:r>
        <w:t xml:space="preserve"> et al., 201</w:t>
      </w:r>
      <w:r>
        <w:t xml:space="preserve">8).  </w:t>
      </w:r>
    </w:p>
    <w:p w:rsidR="0023438A" w:rsidRDefault="00A02C86">
      <w:pPr>
        <w:ind w:left="425" w:right="777" w:firstLine="720"/>
      </w:pPr>
      <w:r>
        <w:t>The third option is a college pathway. Even with the challenges the higher education sector faces with high costs and degree completion rates, the only decision more expensive than going to college is not going to college (</w:t>
      </w:r>
      <w:proofErr w:type="spellStart"/>
      <w:r>
        <w:t>Carnevale</w:t>
      </w:r>
      <w:proofErr w:type="spellEnd"/>
      <w:r>
        <w:t xml:space="preserve"> &amp; Rose, 2015). Re</w:t>
      </w:r>
      <w:r>
        <w:t>cent studies have shown, on the whole, more education is still better (</w:t>
      </w:r>
      <w:proofErr w:type="spellStart"/>
      <w:r>
        <w:t>Carnevale</w:t>
      </w:r>
      <w:proofErr w:type="spellEnd"/>
      <w:r>
        <w:t xml:space="preserve"> et al., 2016; </w:t>
      </w:r>
      <w:proofErr w:type="spellStart"/>
      <w:r>
        <w:t>Sigelman</w:t>
      </w:r>
      <w:proofErr w:type="spellEnd"/>
      <w:r>
        <w:t>, 2018).  Median earnings rise with each level of educational attainment from a postsecondary certificate to a doctorate. For example, throughout a lifet</w:t>
      </w:r>
      <w:r>
        <w:t>ime career, a worker with a high school diploma earns on average $1.3 million, a bachelor’s degree earns $2.3 million, a Doctor of Philosophy nets $3.3 million, and a professional degree earns $3.7 million. However, these averages can be deceiving.  The di</w:t>
      </w:r>
      <w:r>
        <w:t>fference between the highest and lowest earning bachelor degree graduate is $40,000, indicating the major that a high school student chooses factors in just as much as the pathway they choose to follow (</w:t>
      </w:r>
      <w:proofErr w:type="spellStart"/>
      <w:r>
        <w:t>Carnevale</w:t>
      </w:r>
      <w:proofErr w:type="spellEnd"/>
      <w:r>
        <w:t xml:space="preserve"> &amp; Tor, 2016). Prior to the 1980s, 70% of th</w:t>
      </w:r>
      <w:r>
        <w:t>e jobs required only a high school diploma and provided stable, middle-class wages for the average American. Now, approximately two-thirds of the available occupations require some education and training beyond high school. Totaling approximately 56% in 20</w:t>
      </w:r>
      <w:r>
        <w:t>16, college graduates with bachelor’s degrees and higher make up the largest section of the workforce population (</w:t>
      </w:r>
      <w:proofErr w:type="spellStart"/>
      <w:r>
        <w:t>Carnevale</w:t>
      </w:r>
      <w:proofErr w:type="spellEnd"/>
      <w:r>
        <w:t xml:space="preserve"> et al., </w:t>
      </w:r>
      <w:r>
        <w:lastRenderedPageBreak/>
        <w:t>2016). For the other 44% of workers, it is important that multiple viable options exist for financial stability and a reward</w:t>
      </w:r>
      <w:r>
        <w:t xml:space="preserve">ing career.  </w:t>
      </w:r>
    </w:p>
    <w:p w:rsidR="0023438A" w:rsidRDefault="00A02C86">
      <w:pPr>
        <w:ind w:left="435" w:right="777"/>
      </w:pPr>
      <w:r>
        <w:t xml:space="preserve"> </w:t>
      </w:r>
      <w:r>
        <w:tab/>
      </w:r>
      <w:r>
        <w:rPr>
          <w:b/>
        </w:rPr>
        <w:t>The challenge of transitioning to the workforce.</w:t>
      </w:r>
      <w:r>
        <w:t xml:space="preserve"> The common thread challenging each of the Good Jobs pathways available to young adults is the transition from schooling to the workforce (</w:t>
      </w:r>
      <w:proofErr w:type="spellStart"/>
      <w:r>
        <w:t>Carnevale</w:t>
      </w:r>
      <w:proofErr w:type="spellEnd"/>
      <w:r>
        <w:t xml:space="preserve"> &amp; Tor, 2016).  For many graduates, navigati</w:t>
      </w:r>
      <w:r>
        <w:t>ng the complexities of the labor market has proven to be one of the most significant obstacles to launching a career. One strategy to aid in easing that transition is experimental or work-based learning (WBL). WBL programs provide schools and employers the</w:t>
      </w:r>
      <w:r>
        <w:t xml:space="preserve"> opportunity to bridge the divide between the classroom world and the real world. Regardless of which of the three pathways a high school graduate pursues, it is incumbent upon policymakers and educators to endeavor to find experiential learning solutions </w:t>
      </w:r>
      <w:r>
        <w:t xml:space="preserve">that best prepare graduates to enter the workforce.  </w:t>
      </w:r>
    </w:p>
    <w:p w:rsidR="0023438A" w:rsidRDefault="00A02C86">
      <w:pPr>
        <w:pStyle w:val="Heading1"/>
        <w:ind w:left="435"/>
      </w:pPr>
      <w:r>
        <w:t xml:space="preserve">The Forgotten Middle </w:t>
      </w:r>
    </w:p>
    <w:p w:rsidR="0023438A" w:rsidRDefault="00A02C86">
      <w:pPr>
        <w:ind w:left="435" w:right="777"/>
      </w:pPr>
      <w:r>
        <w:rPr>
          <w:b/>
        </w:rPr>
        <w:t xml:space="preserve"> </w:t>
      </w:r>
      <w:r>
        <w:rPr>
          <w:b/>
        </w:rPr>
        <w:tab/>
      </w:r>
      <w:r>
        <w:t>Middle-skill jobs provide an opportunity to earn a middle-class sustaining wage, typically paying between $35,000 and $90,000 annually (ONET, 2019). Following the Great Recession</w:t>
      </w:r>
      <w:r>
        <w:t xml:space="preserve"> and the trend of outsourcing, which led to the relocation of thousands of manufacturing jobs to other low-cost countries, many Americans were led to believe that middle-skill jobs diminished in their relevance and importance to the economy (</w:t>
      </w:r>
      <w:proofErr w:type="spellStart"/>
      <w:r>
        <w:t>Holzer</w:t>
      </w:r>
      <w:proofErr w:type="spellEnd"/>
      <w:r>
        <w:t>, 2015).</w:t>
      </w:r>
      <w:r>
        <w:t xml:space="preserve"> Nevertheless, demand for middle-skill trained personnel remains strong due in part to the growing skills gap and the replacement demand created by retiring the Baby Boomer generation (</w:t>
      </w:r>
      <w:proofErr w:type="spellStart"/>
      <w:r>
        <w:t>Holzer</w:t>
      </w:r>
      <w:proofErr w:type="spellEnd"/>
      <w:r>
        <w:t>, 2015). When the economy rebounded following the Great Recession</w:t>
      </w:r>
      <w:r>
        <w:t xml:space="preserve">, most of the new jobs required more than high school education. </w:t>
      </w:r>
      <w:proofErr w:type="spellStart"/>
      <w:r>
        <w:t>Carnevale</w:t>
      </w:r>
      <w:proofErr w:type="spellEnd"/>
      <w:r>
        <w:t xml:space="preserve"> et al. (2016) found that only 80,000 of the 11.6 million jobs created since 2008 required a high school education or less. Still a decade after the Great Recession, the demand for m</w:t>
      </w:r>
      <w:r>
        <w:t xml:space="preserve">iddle-skill workers remains stronger than the demand for either </w:t>
      </w:r>
      <w:proofErr w:type="spellStart"/>
      <w:r>
        <w:t>lowskill</w:t>
      </w:r>
      <w:proofErr w:type="spellEnd"/>
      <w:r>
        <w:t xml:space="preserve"> or high-skill workers. According to a 2017 study from the National Skills Coalition, 10 percent of middle-skill job openings will go unfilled in the next decade due to an insufficient</w:t>
      </w:r>
      <w:r>
        <w:t xml:space="preserve"> number of trained graduates from in-demand economic sectors such as healthcare, construction, </w:t>
      </w:r>
      <w:r>
        <w:lastRenderedPageBreak/>
        <w:t xml:space="preserve">information technology, and transportation, which are expanding at above-average rates.  Companies in these sectors are unable to find enough adequately trained </w:t>
      </w:r>
      <w:r>
        <w:t>workers to fill their open positions, which is the genesis of the term skills gap (</w:t>
      </w:r>
      <w:proofErr w:type="spellStart"/>
      <w:r>
        <w:t>Giffi</w:t>
      </w:r>
      <w:proofErr w:type="spellEnd"/>
      <w:r>
        <w:t xml:space="preserve"> et al., 2018). </w:t>
      </w:r>
    </w:p>
    <w:p w:rsidR="0023438A" w:rsidRDefault="00A02C86">
      <w:pPr>
        <w:ind w:left="435" w:right="777"/>
      </w:pPr>
      <w:r>
        <w:t xml:space="preserve"> </w:t>
      </w:r>
      <w:r>
        <w:tab/>
        <w:t>At the intersection of the skills-gap in middle-skill training, professional credentials, and WBL sits postsecondary CTE educational providers. These</w:t>
      </w:r>
      <w:r>
        <w:t xml:space="preserve"> providers include public community colleges, trade, and technical schools, and other similarly accredited workforce development entities. CTE has been synonymous with WBL since its founding with the passage of the </w:t>
      </w:r>
      <w:proofErr w:type="spellStart"/>
      <w:r>
        <w:t>SmithHughes</w:t>
      </w:r>
      <w:proofErr w:type="spellEnd"/>
      <w:r>
        <w:t xml:space="preserve"> Act of 1917 (Rosen et al., 20</w:t>
      </w:r>
      <w:r>
        <w:t>18). Unfortunately, society has stigmatized CTE professions as second-class, which over the years has negatively impacted enrollment in programs (</w:t>
      </w:r>
      <w:proofErr w:type="spellStart"/>
      <w:r>
        <w:t>McGivern</w:t>
      </w:r>
      <w:proofErr w:type="spellEnd"/>
      <w:r>
        <w:t>, 2018). This negative perception has led to not enough graduates available to fill these highly skill</w:t>
      </w:r>
      <w:r>
        <w:t xml:space="preserve">ed occupations. Consequently, Rosen et al. (2018) report that there is agreement among the business community that the shortage is a real challenge for companies that causes them not to hire and stifles economic growth and productivity.  </w:t>
      </w:r>
    </w:p>
    <w:p w:rsidR="0023438A" w:rsidRDefault="00A02C86">
      <w:pPr>
        <w:ind w:left="425" w:right="777" w:firstLine="720"/>
      </w:pPr>
      <w:r>
        <w:t xml:space="preserve">Estimates in the </w:t>
      </w:r>
      <w:r>
        <w:t xml:space="preserve">literature vary as to the size of the skills gap, and there is a range of opinions regarding reasons for the shortage. For example, a report by the Manufacturing Institute predicts that nearly 3.5 million U.S. manufacturing jobs will open up over the next </w:t>
      </w:r>
      <w:r>
        <w:t>decade, but the skills gap will result in 2 million of those jobs going unfilled (</w:t>
      </w:r>
      <w:proofErr w:type="spellStart"/>
      <w:r>
        <w:t>Giffi</w:t>
      </w:r>
      <w:proofErr w:type="spellEnd"/>
      <w:r>
        <w:t xml:space="preserve"> et al., 2018). A report by the U.S. House Committee on Education and Workforce estimates the number to be closer to 5 million jobs remaining unfilled (Rosen et al., 201</w:t>
      </w:r>
      <w:r>
        <w:t>8). Yet, another report says as many as 12 to 24 million American jobs, most of them requiring CTE based technical skills and training in 21stcentury technologies, may go unfilled because too few workers have the skills these jobs need (Goodwin, 2012).  Al</w:t>
      </w:r>
      <w:r>
        <w:t xml:space="preserve">l in all, the demand for graduates of in-demand, middle-skill postsecondary training programs remains high for the foreseeable future.  </w:t>
      </w:r>
    </w:p>
    <w:p w:rsidR="0023438A" w:rsidRDefault="00A02C86">
      <w:pPr>
        <w:pStyle w:val="Heading1"/>
        <w:ind w:left="435"/>
      </w:pPr>
      <w:r>
        <w:t xml:space="preserve">The European Dual-Education Model </w:t>
      </w:r>
    </w:p>
    <w:p w:rsidR="0023438A" w:rsidRDefault="00A02C86">
      <w:pPr>
        <w:ind w:left="435" w:right="777"/>
      </w:pPr>
      <w:r>
        <w:rPr>
          <w:b/>
        </w:rPr>
        <w:t xml:space="preserve"> </w:t>
      </w:r>
      <w:r>
        <w:rPr>
          <w:b/>
        </w:rPr>
        <w:tab/>
      </w:r>
      <w:r>
        <w:t xml:space="preserve">The United States’ European counterparts have long since acknowledged this problem of a skills mismatch with respect to the workforce and educational offerings. In countries like </w:t>
      </w:r>
      <w:r>
        <w:lastRenderedPageBreak/>
        <w:t>Austria, Denmark, Germany, Great Britain, Norway, Netherlands, and Switzerlan</w:t>
      </w:r>
      <w:r>
        <w:t>d, a dual education or dual-study model of apprenticeship education is used to ease the school to work transition for the out-of-school youth population. Apprenticeships are as prevalent in these countries as internships are in the United States (</w:t>
      </w:r>
      <w:proofErr w:type="spellStart"/>
      <w:r>
        <w:t>Lerman</w:t>
      </w:r>
      <w:proofErr w:type="spellEnd"/>
      <w:r>
        <w:t>, 2</w:t>
      </w:r>
      <w:r>
        <w:t>018). The literature on all aspects of European apprenticeship is extensive and encompasses several decades of research (OECD, 2017). Credited as the primary catalyst to European apprenticeship expansion, the dual education model combines classroom educati</w:t>
      </w:r>
      <w:r>
        <w:t xml:space="preserve">on in a postsecondary program of study with an </w:t>
      </w:r>
      <w:proofErr w:type="spellStart"/>
      <w:r>
        <w:t>employerbased</w:t>
      </w:r>
      <w:proofErr w:type="spellEnd"/>
      <w:r>
        <w:t xml:space="preserve"> multi-year apprenticeship arrangement (Hoffman &amp; Schwartz, 2015). In this model, the education and training take place both in theory at the postsecondary institution and through WBL on-the-job t</w:t>
      </w:r>
      <w:r>
        <w:t>raining provided at the partnering apprenticeship company facility (</w:t>
      </w:r>
      <w:proofErr w:type="spellStart"/>
      <w:r>
        <w:t>MessingMathie</w:t>
      </w:r>
      <w:proofErr w:type="spellEnd"/>
      <w:r>
        <w:t xml:space="preserve">, 2015).  </w:t>
      </w:r>
    </w:p>
    <w:p w:rsidR="0023438A" w:rsidRDefault="00A02C86">
      <w:pPr>
        <w:ind w:left="435" w:right="777"/>
      </w:pPr>
      <w:r>
        <w:t xml:space="preserve"> </w:t>
      </w:r>
      <w:r>
        <w:tab/>
        <w:t xml:space="preserve">This dual-education (or student-apprentice or degree-apprentices as it is known in the United States) model creates </w:t>
      </w:r>
      <w:proofErr w:type="gramStart"/>
      <w:r>
        <w:t>a learn</w:t>
      </w:r>
      <w:proofErr w:type="gramEnd"/>
      <w:r>
        <w:t xml:space="preserve"> and earn relationship between the empl</w:t>
      </w:r>
      <w:r>
        <w:t>oyee (student) and the employer (workplace) (McCarthy et al., 2017). As apprentices, students apply directly to a firm, which has an agreement with an institution of higher education that provides the theoretical or academic portion of the training. The re</w:t>
      </w:r>
      <w:r>
        <w:t>newed interest in developing apprenticeship models in the United States is oriented around this model of integrated postsecondary training providers into the apprenticeship framework and facilitation. Presently, community colleges and technical schools are</w:t>
      </w:r>
      <w:r>
        <w:t xml:space="preserve"> the primary sector of higher education that functions as the organizers of apprenticeship programs (Messing-</w:t>
      </w:r>
      <w:proofErr w:type="spellStart"/>
      <w:r>
        <w:t>Mathie</w:t>
      </w:r>
      <w:proofErr w:type="spellEnd"/>
      <w:r>
        <w:t xml:space="preserve">, 2015). This study targeted these types of institutions for survey responses for this reason.      </w:t>
      </w:r>
    </w:p>
    <w:p w:rsidR="0023438A" w:rsidRDefault="00A02C86">
      <w:pPr>
        <w:pStyle w:val="Heading1"/>
        <w:tabs>
          <w:tab w:val="center" w:pos="440"/>
          <w:tab w:val="center" w:pos="4978"/>
        </w:tabs>
        <w:ind w:left="0" w:firstLine="0"/>
      </w:pPr>
      <w:r>
        <w:rPr>
          <w:rFonts w:ascii="Calibri" w:eastAsia="Calibri" w:hAnsi="Calibri" w:cs="Calibri"/>
          <w:b w:val="0"/>
          <w:sz w:val="22"/>
        </w:rPr>
        <w:tab/>
      </w:r>
      <w:r>
        <w:rPr>
          <w:b w:val="0"/>
        </w:rPr>
        <w:t xml:space="preserve"> </w:t>
      </w:r>
      <w:r>
        <w:rPr>
          <w:b w:val="0"/>
        </w:rPr>
        <w:tab/>
      </w:r>
      <w:r>
        <w:t>European dual-model return on investm</w:t>
      </w:r>
      <w:r>
        <w:t xml:space="preserve">ent. </w:t>
      </w:r>
      <w:r>
        <w:rPr>
          <w:b w:val="0"/>
        </w:rPr>
        <w:t xml:space="preserve">The Organization for Economic </w:t>
      </w:r>
    </w:p>
    <w:p w:rsidR="0023438A" w:rsidRDefault="00A02C86">
      <w:pPr>
        <w:ind w:left="435" w:right="777"/>
      </w:pPr>
      <w:r>
        <w:t>Cooperation and Development (OECD) is a unique forum where the governments of 34 democracies with market economies work with each other. The OECD member nations average spending $14,800 per full-time student on postsecon</w:t>
      </w:r>
      <w:r>
        <w:t xml:space="preserve">dary education; however, the United States spent $27,900. As compared to the rest of the economically developed world, the United States is </w:t>
      </w:r>
      <w:r>
        <w:lastRenderedPageBreak/>
        <w:t>spending more to get equivalent educational results, causing the country to fall behind in terms of an efficient inv</w:t>
      </w:r>
      <w:r>
        <w:t xml:space="preserve">estment of educational funding (OECD, 2017). In Switzerland, which is regarded as the “gold standard” in apprenticeship models, a remarkable 95% of 25-year olds hold either a bachelor’s degree or industry-recognized credential (Hoffman &amp; Schwartz, 2015; </w:t>
      </w:r>
      <w:proofErr w:type="spellStart"/>
      <w:r>
        <w:t>Le</w:t>
      </w:r>
      <w:r>
        <w:t>rman</w:t>
      </w:r>
      <w:proofErr w:type="spellEnd"/>
      <w:r>
        <w:t>, 2018). About 70% of Swiss youth take part in apprenticeships and leverage the dual system to earn a bachelor’s degree later in their professional growth. In a 2017 study of the two leading apprenticeship nations, the researchers found that the averag</w:t>
      </w:r>
      <w:r>
        <w:t>e Swiss firm makes a net profit of €3400 per apprentice per year of employment (</w:t>
      </w:r>
      <w:proofErr w:type="spellStart"/>
      <w:r>
        <w:t>Moretti</w:t>
      </w:r>
      <w:proofErr w:type="spellEnd"/>
      <w:r>
        <w:t xml:space="preserve"> et al., 2017). When juxtaposed to the U.S. system, research has shown these costs can result in a net loss of $60,000 to $250,000 per apprentice (Helper et al., 2016). </w:t>
      </w:r>
      <w:r>
        <w:t xml:space="preserve">The Swiss model demonstrates that WBL through apprenticeship can not only be done cost-effectively but also provides its participants with a structured pathway to a college degree or credential.  </w:t>
      </w:r>
    </w:p>
    <w:p w:rsidR="0023438A" w:rsidRDefault="00A02C86">
      <w:pPr>
        <w:pStyle w:val="Heading1"/>
        <w:ind w:left="435"/>
      </w:pPr>
      <w:r>
        <w:t xml:space="preserve">Historical Background of CTE and WBL   </w:t>
      </w:r>
    </w:p>
    <w:p w:rsidR="0023438A" w:rsidRDefault="00A02C86">
      <w:pPr>
        <w:ind w:left="425" w:right="777" w:firstLine="720"/>
      </w:pPr>
      <w:r>
        <w:t>WBL or experiential</w:t>
      </w:r>
      <w:r>
        <w:t xml:space="preserve"> learning is a long-held staple in certain educational sectors. The CTE sector has incorporated many forms of experiential learning as a mainstay in the continuum of its curriculum design (</w:t>
      </w:r>
      <w:proofErr w:type="spellStart"/>
      <w:r>
        <w:t>Holzer</w:t>
      </w:r>
      <w:proofErr w:type="spellEnd"/>
      <w:r>
        <w:t xml:space="preserve"> &amp; </w:t>
      </w:r>
      <w:proofErr w:type="spellStart"/>
      <w:r>
        <w:t>Lerman</w:t>
      </w:r>
      <w:proofErr w:type="spellEnd"/>
      <w:r>
        <w:t>, 2014). For generations, the most identifiable, key</w:t>
      </w:r>
      <w:r>
        <w:t xml:space="preserve"> ingredient of CTE has been hands-on, experiential WBL (Rodriguez, Fox &amp; </w:t>
      </w:r>
      <w:proofErr w:type="spellStart"/>
      <w:r>
        <w:t>McCambly</w:t>
      </w:r>
      <w:proofErr w:type="spellEnd"/>
      <w:r>
        <w:t>, 2016). This pedagogical technique is demonstrated through work-based simulations, classroom-based skill labs, or on-the-job training experiences. Secondary CTE schools sough</w:t>
      </w:r>
      <w:r>
        <w:t xml:space="preserve">t to incorporate WBL into the programming through the advent of cooperative education partnerships (Co-ops) with local industry (Rodriguez et al., 2016). On the postsecondary CTE level, experiential, WBL has evolved into internships, externships, clinical </w:t>
      </w:r>
      <w:r>
        <w:t>rotations, and apprenticeships (Benson et al., 2008).  In the case of co-ops, internships, externships, and clinical rotations, the individual is a student first and employed later or immediately following their course of study.  Apprenticeships operate fr</w:t>
      </w:r>
      <w:r>
        <w:t xml:space="preserve">om the employer side, requiring the individual to be an employee-first and a student second. In the case of the apprentice, the training is employer-driven.  </w:t>
      </w:r>
    </w:p>
    <w:p w:rsidR="0023438A" w:rsidRDefault="00A02C86">
      <w:pPr>
        <w:ind w:left="435" w:right="777"/>
      </w:pPr>
      <w:r>
        <w:rPr>
          <w:b/>
        </w:rPr>
        <w:lastRenderedPageBreak/>
        <w:t xml:space="preserve"> </w:t>
      </w:r>
      <w:r>
        <w:rPr>
          <w:b/>
        </w:rPr>
        <w:tab/>
        <w:t xml:space="preserve">Defining CTE. </w:t>
      </w:r>
      <w:r>
        <w:t>CTE is a relatively new term that came into vogue in the early 2000s as a replace</w:t>
      </w:r>
      <w:r>
        <w:t>ment for vocational or trade education (</w:t>
      </w:r>
      <w:proofErr w:type="spellStart"/>
      <w:r>
        <w:t>Lerman</w:t>
      </w:r>
      <w:proofErr w:type="spellEnd"/>
      <w:r>
        <w:t>, 2012). CTE’s scope has broadened to include new industries not previously considered, such as information technology, software programming, and engineering. CTE can easily be interpreted to mean different thi</w:t>
      </w:r>
      <w:r>
        <w:t>ngs to different people. Recent federal legislation has officially created the current definition of CTE:  Organized educational activities that offer a sequence of courses that provides individuals with coherent and rigorous content aligned with challengi</w:t>
      </w:r>
      <w:r>
        <w:t>ng academic standards and relevant technical knowledge and skills needed to prepare for further education and careers in current or emerging professions; provides technical skills proficiency, an industry-recognized credential, a certificate, or an associa</w:t>
      </w:r>
      <w:r>
        <w:t xml:space="preserve">te degree; and may include prerequisite courses that meet the requirements of this subparagraph; and include competency-based applied learning that contributes to the academic knowledge, </w:t>
      </w:r>
      <w:proofErr w:type="spellStart"/>
      <w:r>
        <w:t>higherorder</w:t>
      </w:r>
      <w:proofErr w:type="spellEnd"/>
      <w:r>
        <w:t xml:space="preserve"> reasoning, and problem-solving skills, work attitudes, ge</w:t>
      </w:r>
      <w:r>
        <w:t>neral employability skills, technical skills, and occupation-specific skills, and knowledge of all aspects of an industry, including entrepreneurship, of an individual (</w:t>
      </w:r>
      <w:proofErr w:type="spellStart"/>
      <w:r>
        <w:t>Threeton</w:t>
      </w:r>
      <w:proofErr w:type="spellEnd"/>
      <w:r>
        <w:t xml:space="preserve">, 2007 p. 70).    </w:t>
      </w:r>
      <w:r>
        <w:tab/>
        <w:t>Once called vocational education, CTE occurs at the secondar</w:t>
      </w:r>
      <w:r>
        <w:t>y or high school level, postsecondary college, or through employer-sponsored workforce training. Postsecondary CTE encapsulates most types of training short of a bachelor's degree. The nationally recognized certification, licensure credential, or an associ</w:t>
      </w:r>
      <w:r>
        <w:t>ate degree conferred by these postsecondary CTE providers often leads to a job requiring the use of a technically trained skill in a variety of industries such as engineering, healthcare, skilled trades, information technology, and hospitality (Benson et a</w:t>
      </w:r>
      <w:r>
        <w:t>l., 2008). The CTE coursework has historically used hands-on experiential learning pedagogy that may require equipment and laboratory settings only available at the school’s facilities. Translating these components into a learned skill set uniquely qualifi</w:t>
      </w:r>
      <w:r>
        <w:t xml:space="preserve">es graduates for the growing sectors of the economy in science, technology engineering, and math (STEM) </w:t>
      </w:r>
    </w:p>
    <w:p w:rsidR="0023438A" w:rsidRDefault="00A02C86">
      <w:pPr>
        <w:spacing w:after="252" w:line="259" w:lineRule="auto"/>
        <w:ind w:left="435" w:right="777"/>
      </w:pPr>
      <w:r>
        <w:t xml:space="preserve">(Kuehn &amp; Jones, 2018).  </w:t>
      </w:r>
    </w:p>
    <w:p w:rsidR="0023438A" w:rsidRDefault="00A02C86">
      <w:pPr>
        <w:ind w:left="435" w:right="777"/>
      </w:pPr>
      <w:r>
        <w:lastRenderedPageBreak/>
        <w:t xml:space="preserve"> </w:t>
      </w:r>
      <w:r>
        <w:tab/>
        <w:t>CTE traces its roots on the secondary educational level due to its origins as an alternative to traditional high school as a</w:t>
      </w:r>
      <w:r>
        <w:t xml:space="preserve"> Vocational-Technical (Vo-Tech) school. Vo-Techs came into existence in 1917 when the Smith-Hughes Act became the first law to authorize federal funding for vocational education programs in U.S. schools (</w:t>
      </w:r>
      <w:proofErr w:type="spellStart"/>
      <w:r>
        <w:t>Threeton</w:t>
      </w:r>
      <w:proofErr w:type="spellEnd"/>
      <w:r>
        <w:t>, 2007). This law established vocational edu</w:t>
      </w:r>
      <w:r>
        <w:t>cation as an acceptable training option for high school students who did not need a college degree to do their jobs, such as welders, electricians, plumbers, mechanics, and factory workers. They completed their training in focused vocational programs. This</w:t>
      </w:r>
      <w:r>
        <w:t xml:space="preserve"> alternative training bred a long history of tracking minority and low-income students away from a college preparatory curriculum and into </w:t>
      </w:r>
      <w:proofErr w:type="spellStart"/>
      <w:r>
        <w:t>vo</w:t>
      </w:r>
      <w:proofErr w:type="spellEnd"/>
      <w:r>
        <w:t xml:space="preserve">-techs. This method of classifying students created a </w:t>
      </w:r>
      <w:proofErr w:type="spellStart"/>
      <w:r>
        <w:t>secondclass</w:t>
      </w:r>
      <w:proofErr w:type="spellEnd"/>
      <w:r>
        <w:t xml:space="preserve"> stereotype around CTE, greatly stigmatizing such </w:t>
      </w:r>
      <w:r>
        <w:t>programs in the United States and discouraging good students from taking such classes (</w:t>
      </w:r>
      <w:proofErr w:type="spellStart"/>
      <w:r>
        <w:t>Holzer</w:t>
      </w:r>
      <w:proofErr w:type="spellEnd"/>
      <w:r>
        <w:t>, 2017). Beginning in the 1990s, the Perkins Act sought to reconcile many of these issues and reinvent the stigmatized vocational education as Career and Technical</w:t>
      </w:r>
      <w:r>
        <w:t xml:space="preserve"> Centers or CTC’s (</w:t>
      </w:r>
      <w:proofErr w:type="spellStart"/>
      <w:r>
        <w:t>Threeton</w:t>
      </w:r>
      <w:proofErr w:type="spellEnd"/>
      <w:r>
        <w:t xml:space="preserve">, 2007).  </w:t>
      </w:r>
    </w:p>
    <w:p w:rsidR="0023438A" w:rsidRDefault="00A02C86">
      <w:pPr>
        <w:ind w:left="425" w:right="777" w:firstLine="720"/>
      </w:pPr>
      <w:r>
        <w:rPr>
          <w:b/>
        </w:rPr>
        <w:t>CTE’s link to the theoretical framework</w:t>
      </w:r>
      <w:r>
        <w:t>. Later in the 1990s, the School-To-Work Opportunities Act of 1994 (STWOA) brought a great deal of attention to the preparation of secondary students and their successful transiti</w:t>
      </w:r>
      <w:r>
        <w:t>on to the workforce. The STWOA encouraged local partnerships with the employer community by providing funding for school districts to develop programs like Communities in Schools (</w:t>
      </w:r>
      <w:proofErr w:type="spellStart"/>
      <w:r>
        <w:t>Lerman</w:t>
      </w:r>
      <w:proofErr w:type="spellEnd"/>
      <w:r>
        <w:t>, 2012). The goals of the partnerships were career awareness and prepa</w:t>
      </w:r>
      <w:r>
        <w:t>ration for students entering the workforce upon graduation. The overarching goal was to make the U.S. workforce more competitive in a global economy. The school-to-work framework had three primary components (</w:t>
      </w:r>
      <w:proofErr w:type="spellStart"/>
      <w:r>
        <w:t>Lerman</w:t>
      </w:r>
      <w:proofErr w:type="spellEnd"/>
      <w:r>
        <w:t>, 2012). First, school-based simulations,</w:t>
      </w:r>
      <w:r>
        <w:t xml:space="preserve"> classroom labs, and experiences were to be developed that fostered early career exploratory activities; this, in turn, would help students to define a broad career path and specific career goals. Second, WBL programs were to be implemented to build a brid</w:t>
      </w:r>
      <w:r>
        <w:t xml:space="preserve">ge from the classroom experience to the workforce. Cooperative education and youth apprenticeship programs were encouraged through specific funding appropriations. Finally, a connecting </w:t>
      </w:r>
      <w:r>
        <w:lastRenderedPageBreak/>
        <w:t>activity was designed to link students with positive work-based scenar</w:t>
      </w:r>
      <w:r>
        <w:t>ios. Schools were encouraged to assemble advisory committees comprised of local industry to consult on curriculum development, and students were encouraged to reflect on how their interactions with industry influenced their learning (</w:t>
      </w:r>
      <w:proofErr w:type="spellStart"/>
      <w:r>
        <w:t>Lapan</w:t>
      </w:r>
      <w:proofErr w:type="spellEnd"/>
      <w:r>
        <w:t xml:space="preserve"> et al., 2003). H</w:t>
      </w:r>
      <w:r>
        <w:t>ere the connection to Kolb’s experiential learning theory is evident. The WBL activities and processes are all designed to follow Kolb’s Experiential Learning Theory (Kolb, 1984). In this seminal piece of literature, Kolb theorized that “Learning is the pr</w:t>
      </w:r>
      <w:r>
        <w:t>ocess whereby knowledge is created through the transformation of experience” (Kolb, 1984, p. 38). Kolb's experiential learning style theory is typically represented by a four-stage learning cycle in which the learner touches all the bases. Figure 1 illustr</w:t>
      </w:r>
      <w:r>
        <w:t xml:space="preserve">ates these stages. </w:t>
      </w:r>
    </w:p>
    <w:p w:rsidR="0023438A" w:rsidRDefault="00A02C86">
      <w:pPr>
        <w:spacing w:after="266" w:line="259" w:lineRule="auto"/>
        <w:ind w:left="1160" w:firstLine="0"/>
      </w:pPr>
      <w:r>
        <w:rPr>
          <w:noProof/>
        </w:rPr>
        <w:drawing>
          <wp:inline distT="0" distB="0" distL="0" distR="0">
            <wp:extent cx="4369308" cy="2814828"/>
            <wp:effectExtent l="0" t="0" r="0" b="0"/>
            <wp:docPr id="1583" name="Picture 1583"/>
            <wp:cNvGraphicFramePr/>
            <a:graphic xmlns:a="http://schemas.openxmlformats.org/drawingml/2006/main">
              <a:graphicData uri="http://schemas.openxmlformats.org/drawingml/2006/picture">
                <pic:pic xmlns:pic="http://schemas.openxmlformats.org/drawingml/2006/picture">
                  <pic:nvPicPr>
                    <pic:cNvPr id="1583" name="Picture 1583"/>
                    <pic:cNvPicPr/>
                  </pic:nvPicPr>
                  <pic:blipFill>
                    <a:blip r:embed="rId13"/>
                    <a:stretch>
                      <a:fillRect/>
                    </a:stretch>
                  </pic:blipFill>
                  <pic:spPr>
                    <a:xfrm>
                      <a:off x="0" y="0"/>
                      <a:ext cx="4369308" cy="2814828"/>
                    </a:xfrm>
                    <a:prstGeom prst="rect">
                      <a:avLst/>
                    </a:prstGeom>
                  </pic:spPr>
                </pic:pic>
              </a:graphicData>
            </a:graphic>
          </wp:inline>
        </w:drawing>
      </w:r>
      <w:r>
        <w:t xml:space="preserve"> </w:t>
      </w:r>
    </w:p>
    <w:p w:rsidR="0023438A" w:rsidRDefault="00A02C86">
      <w:pPr>
        <w:spacing w:after="237" w:line="259" w:lineRule="auto"/>
        <w:ind w:left="435" w:right="777"/>
      </w:pPr>
      <w:r>
        <w:rPr>
          <w:i/>
        </w:rPr>
        <w:t xml:space="preserve">Figure 1. </w:t>
      </w:r>
      <w:r>
        <w:t>Kolb’s four-stage learning cycle (Kolb, 1984)</w:t>
      </w:r>
      <w:r>
        <w:rPr>
          <w:i/>
        </w:rPr>
        <w:t xml:space="preserve">. </w:t>
      </w:r>
    </w:p>
    <w:p w:rsidR="0023438A" w:rsidRDefault="00A02C86">
      <w:pPr>
        <w:ind w:left="425" w:right="777" w:firstLine="482"/>
      </w:pPr>
      <w:r>
        <w:rPr>
          <w:b/>
        </w:rPr>
        <w:t xml:space="preserve"> Impact of experiential learning as WBL in CTE. </w:t>
      </w:r>
      <w:r>
        <w:t xml:space="preserve">Studies have shown that WBL increases student persistence, academic achievement, graduation, and employment rates (Brooks &amp; </w:t>
      </w:r>
      <w:proofErr w:type="spellStart"/>
      <w:r>
        <w:t>You</w:t>
      </w:r>
      <w:r>
        <w:t>ngson</w:t>
      </w:r>
      <w:proofErr w:type="spellEnd"/>
      <w:r>
        <w:t xml:space="preserve">, 2016; </w:t>
      </w:r>
      <w:proofErr w:type="spellStart"/>
      <w:r>
        <w:t>Holzer</w:t>
      </w:r>
      <w:proofErr w:type="spellEnd"/>
      <w:r>
        <w:t xml:space="preserve"> &amp; </w:t>
      </w:r>
      <w:proofErr w:type="spellStart"/>
      <w:r>
        <w:t>Lerman</w:t>
      </w:r>
      <w:proofErr w:type="spellEnd"/>
      <w:r>
        <w:t>, 2014; Jackson, 2015). In addition, a 2016 study found that students who completed an internship placement received a 9.2% higher starting salary than their classmates who had no internship credential (Nicholas, 2016). A report</w:t>
      </w:r>
      <w:r>
        <w:t xml:space="preserve"> by the Harvard Graduate School of Education theorizes that the positive effect is due in part to WBL enabling </w:t>
      </w:r>
      <w:r>
        <w:lastRenderedPageBreak/>
        <w:t>students to see a clear and transparent connection between their program of study and real-world opportunities in the job market (Symonds et al.,</w:t>
      </w:r>
      <w:r>
        <w:t xml:space="preserve"> 2011). Stone (2017) found that, unlike most industrialized nations, the United States lacks a formalized structure that transitions students from school to the workplace. Countries with a structured CTE and WBL system saw higher achievement outcomes (grad</w:t>
      </w:r>
      <w:r>
        <w:t xml:space="preserve">uation rates, reading and math literacy, postsecondary enrollment) than do countries where the structure is lacking, such as the United States (Gates, 2019).   </w:t>
      </w:r>
    </w:p>
    <w:p w:rsidR="0023438A" w:rsidRDefault="00A02C86">
      <w:pPr>
        <w:ind w:left="425" w:right="777" w:firstLine="720"/>
      </w:pPr>
      <w:r>
        <w:rPr>
          <w:b/>
        </w:rPr>
        <w:t xml:space="preserve">Types of WBL. </w:t>
      </w:r>
      <w:r>
        <w:t>Developing WBL opportunities is a daunting task for both secondary and postsecond</w:t>
      </w:r>
      <w:r>
        <w:t>ary institutions, which are used to maintaining control of the entirety of their curriculum. WBL requires the school to relinquish part of the learning process to an employer partner to educate through a form of on-the-job training (Alfred et al., 2013). T</w:t>
      </w:r>
      <w:r>
        <w:t>he risk to the educational process is that the employer may or may not reinforce the theories and skills taught in the controlled classroom environment. A successful WBL program mandates that the school and the employer maintain a close partnership through</w:t>
      </w:r>
      <w:r>
        <w:t>out the learning process (Stone, 2017).  The type of WBL will determine which side of the partnership takes a lead role in directing the instructional plan. In the case of co-ops, clinical rotations, externships, and internships, the participant is an enro</w:t>
      </w:r>
      <w:r>
        <w:t xml:space="preserve">lled student, and the WBL is a component of their educational attainment (Rodriguez et al., 2016). Therefore, the employer defers to the school for the specific objectives of the on-the-job training.  </w:t>
      </w:r>
    </w:p>
    <w:p w:rsidR="0023438A" w:rsidRDefault="00A02C86">
      <w:pPr>
        <w:ind w:left="425" w:right="777" w:firstLine="720"/>
      </w:pPr>
      <w:r>
        <w:t>Internships are the most common type of WBL, as most t</w:t>
      </w:r>
      <w:r>
        <w:t xml:space="preserve">raditional colleges and universities offer some type of experiential learning component (Nicholas, 2016). In an apprenticeship arrangement, the participant is an active employee of the business, and the school is the contracted training provider (Collins, </w:t>
      </w:r>
      <w:r>
        <w:t>2016). The employer dictates the time, place, and pace of related technical instruction which the school has agreed to provide. Furthermore, the classroom training portion is typically job specific, teaching only the technical skills related to the busines</w:t>
      </w:r>
      <w:r>
        <w:t xml:space="preserve">s’ interest.  </w:t>
      </w:r>
    </w:p>
    <w:p w:rsidR="0023438A" w:rsidRDefault="00A02C86">
      <w:pPr>
        <w:ind w:left="425" w:right="777" w:firstLine="720"/>
      </w:pPr>
      <w:r>
        <w:rPr>
          <w:b/>
        </w:rPr>
        <w:lastRenderedPageBreak/>
        <w:t xml:space="preserve">Apprenticeships. </w:t>
      </w:r>
      <w:r>
        <w:t>Apprenticeships are the most complex WBL model as they take extensive amounts of planning between the employer and the school and must meet rigorous requirements for skill attainment and wage growth as prescribed by the U.S.</w:t>
      </w:r>
      <w:r>
        <w:t xml:space="preserve"> Department of Labor (Collins, 2016). Upon meeting these requirements, the RA programs are registered with the Office of Apprenticeship in the Department of Labor and given a login identification number to the Registered Apprenticeship Participate Informat</w:t>
      </w:r>
      <w:r>
        <w:t>ion Database System or RAPIDS (Kuehn, 2019).  RAPIDS is the federally run database system that officially tracks a participant’s progress toward completion of their apprenticeship requirements. The apprentice’s hours and/or competency attainment are tracke</w:t>
      </w:r>
      <w:r>
        <w:t xml:space="preserve">d annually in the RAPIDS database (U.S. Department of Labor, 2019).  </w:t>
      </w:r>
    </w:p>
    <w:p w:rsidR="0023438A" w:rsidRDefault="00A02C86">
      <w:pPr>
        <w:ind w:left="425" w:right="777" w:firstLine="720"/>
      </w:pPr>
      <w:r>
        <w:t>Apprenticeships are contractual arrangements between private employers and personnel in which the business already regards the students as employees, paying a salary during supervised on</w:t>
      </w:r>
      <w:r>
        <w:t>-the-job training and conducting related technical instruction (</w:t>
      </w:r>
      <w:proofErr w:type="spellStart"/>
      <w:r>
        <w:t>Holzer</w:t>
      </w:r>
      <w:proofErr w:type="spellEnd"/>
      <w:r>
        <w:t xml:space="preserve"> &amp; </w:t>
      </w:r>
      <w:proofErr w:type="spellStart"/>
      <w:r>
        <w:t>Lerman</w:t>
      </w:r>
      <w:proofErr w:type="spellEnd"/>
      <w:r>
        <w:t xml:space="preserve">, 2014; Rodriguez, Fox, &amp; </w:t>
      </w:r>
      <w:proofErr w:type="spellStart"/>
      <w:r>
        <w:t>McCambly</w:t>
      </w:r>
      <w:proofErr w:type="spellEnd"/>
      <w:r>
        <w:t xml:space="preserve">, 2016; U.S. Department of Labor, 2019). According to </w:t>
      </w:r>
      <w:proofErr w:type="spellStart"/>
      <w:r>
        <w:t>Holzer</w:t>
      </w:r>
      <w:proofErr w:type="spellEnd"/>
      <w:r>
        <w:t xml:space="preserve"> and </w:t>
      </w:r>
      <w:proofErr w:type="spellStart"/>
      <w:r>
        <w:t>Lerman</w:t>
      </w:r>
      <w:proofErr w:type="spellEnd"/>
      <w:r>
        <w:t xml:space="preserve"> (2014), these arrangements require a business partner in a high growth </w:t>
      </w:r>
      <w:r>
        <w:t>sector of the economy such as advanced manufacturing, health care, information technology, or skilled trades where the hiring demand will remain sustainable for the foreseeable future. Historically, apprenticeships are time-based, necessitating a long-rang</w:t>
      </w:r>
      <w:r>
        <w:t xml:space="preserve">e commitment of three to five years from its participants to meet the requirements of the program (Fuller &amp; </w:t>
      </w:r>
      <w:proofErr w:type="spellStart"/>
      <w:r>
        <w:t>Sigelman</w:t>
      </w:r>
      <w:proofErr w:type="spellEnd"/>
      <w:r>
        <w:t>, 2017). A journeyman's electrical apprenticeship takes 8,000 hours to complete, which is four years of fulltime employment (Kuehn, 2019). A</w:t>
      </w:r>
      <w:r>
        <w:t>pprentices see wage increases after each year of completion (</w:t>
      </w:r>
      <w:proofErr w:type="spellStart"/>
      <w:r>
        <w:t>Alfeld</w:t>
      </w:r>
      <w:proofErr w:type="spellEnd"/>
      <w:r>
        <w:t xml:space="preserve"> et al., 2013; </w:t>
      </w:r>
      <w:proofErr w:type="spellStart"/>
      <w:r>
        <w:t>Holzer</w:t>
      </w:r>
      <w:proofErr w:type="spellEnd"/>
      <w:r>
        <w:t xml:space="preserve"> &amp; </w:t>
      </w:r>
      <w:proofErr w:type="spellStart"/>
      <w:r>
        <w:t>Lerman</w:t>
      </w:r>
      <w:proofErr w:type="spellEnd"/>
      <w:r>
        <w:t xml:space="preserve">, 2014). Recently, the Department of Labor modernized the required framework to allow for fully competency-based models to be approved for certain occupations </w:t>
      </w:r>
      <w:r>
        <w:t>(Kuehn &amp; Jones, 2018). On average, a proficient apprentice could complete a competency-based model in approximately two years instead of the three to five years found in time-based frameworks. Also, hybrid designs, a combination of time, and competency-</w:t>
      </w:r>
      <w:r>
        <w:lastRenderedPageBreak/>
        <w:t>bas</w:t>
      </w:r>
      <w:r>
        <w:t>ed components are increasing in popularity for newly approved programs (U.S. Department of Labor, 2019). Depending on the model’s design (time-based, hybrid, competency), upon completion, students can receive industry-recognized national credentials and co</w:t>
      </w:r>
      <w:r>
        <w:t xml:space="preserve">llege credits up to and including a bachelor’s degree and a Registered Apprenticeship Certificate of Completion from the United States Department of Labor (Kuehn, 2019; Parton, 2017).  </w:t>
      </w:r>
    </w:p>
    <w:p w:rsidR="0023438A" w:rsidRDefault="00A02C86">
      <w:pPr>
        <w:ind w:left="425" w:right="777" w:firstLine="720"/>
      </w:pPr>
      <w:r>
        <w:rPr>
          <w:b/>
        </w:rPr>
        <w:t xml:space="preserve">School-based simulations. </w:t>
      </w:r>
      <w:r>
        <w:t>School-based simulations (SBS) are unlike the other forms of WBL in that the students’ learning experience occurs in the controlled school environment as a real-world replication of a selected business (e.g., cosmetology clinic, hands-on classroom lab, sch</w:t>
      </w:r>
      <w:r>
        <w:t xml:space="preserve">ool store, or restaurant). The instructor facilitates the SBS as a mentor instead of as a supervisor with the intention of giving the student control and ownership of the SBS workplace (Rodriguez, Fox, &amp; </w:t>
      </w:r>
      <w:proofErr w:type="spellStart"/>
      <w:r>
        <w:t>McCambly</w:t>
      </w:r>
      <w:proofErr w:type="spellEnd"/>
      <w:r>
        <w:t>, 2016). The state of West Virginia began th</w:t>
      </w:r>
      <w:r>
        <w:t>e Simulated Workplace program to leverage this pedagogy over five years ago in its career and technical centers. Today it is used in 17 different states and five countries (WVDE, 2019). Junior Achievement (JA), started in 1919, is another and perhaps the o</w:t>
      </w:r>
      <w:r>
        <w:t xml:space="preserve">ldest example of SBS. JA promotes mini enterprises by students, supported by chambers of commerce (Alfred et al., 2013). </w:t>
      </w:r>
    </w:p>
    <w:p w:rsidR="0023438A" w:rsidRDefault="00A02C86">
      <w:pPr>
        <w:ind w:left="425" w:right="777" w:firstLine="720"/>
      </w:pPr>
      <w:r>
        <w:rPr>
          <w:b/>
        </w:rPr>
        <w:t xml:space="preserve">Internships/Co-operative (Co-op)/Clinical education.  </w:t>
      </w:r>
      <w:r>
        <w:t>These types of WBL are grouped together because the participants are students wh</w:t>
      </w:r>
      <w:r>
        <w:t xml:space="preserve">o are placed by their school into an </w:t>
      </w:r>
      <w:proofErr w:type="spellStart"/>
      <w:r>
        <w:t>onthe</w:t>
      </w:r>
      <w:proofErr w:type="spellEnd"/>
      <w:r>
        <w:t>-job training scenario; however, the students are typically not hired as full-time employees (Fuller Hamilton, 2015). While several definitions of internship exist, for the purposes of this paper, a single definiti</w:t>
      </w:r>
      <w:r>
        <w:t>on is selected from the literature: Internships are sustained WBL assignments designed to expound upon classroom learning by showing students the real-world application of their classroom education and offering access to tools, equipment, facilities, and e</w:t>
      </w:r>
      <w:r>
        <w:t>xpertise that generally are not available at school (</w:t>
      </w:r>
      <w:proofErr w:type="spellStart"/>
      <w:r>
        <w:t>Darche</w:t>
      </w:r>
      <w:proofErr w:type="spellEnd"/>
      <w:r>
        <w:t xml:space="preserve"> &amp; Stern, 2013). They are much shorter in duration than apprenticeships, lasting from a few weeks to a full year and often scheduled over the summer months (Alfred et al., 2013). If sanctioned by t</w:t>
      </w:r>
      <w:r>
        <w:t xml:space="preserve">he school, the students receive credits for completing the requirements of the co-op, clinical, or internship placement. </w:t>
      </w:r>
    </w:p>
    <w:p w:rsidR="0023438A" w:rsidRDefault="00A02C86">
      <w:pPr>
        <w:ind w:left="435" w:right="777"/>
      </w:pPr>
      <w:r>
        <w:lastRenderedPageBreak/>
        <w:t xml:space="preserve">Nicholas (2016) found that the majority of traditional colleges and universities in the United States offer some form of internship or co-op in their programs of study. </w:t>
      </w:r>
    </w:p>
    <w:p w:rsidR="0023438A" w:rsidRDefault="00A02C86">
      <w:pPr>
        <w:ind w:left="425" w:right="777" w:firstLine="720"/>
      </w:pPr>
      <w:r>
        <w:t>Co-operative education (co-op) functions similarly to internships but is more structur</w:t>
      </w:r>
      <w:r>
        <w:t>ed in that students are placed in a related work environment as part of a course for credit, and a coordinator monitors the student's learning experience (Alfred et al., 2013). In addition to being associated with vocational programs, medical schools emplo</w:t>
      </w:r>
      <w:r>
        <w:t>y clinical rotations for nursing or physician educational requirements. Engineering schools such as Kettering University have long incorporated co-op arrangements with the automotive industry as required elements of its bachelor degree programs (Kettering,</w:t>
      </w:r>
      <w:r>
        <w:t xml:space="preserve"> 2019). The pre-service year for student teachers could also be considered co-operative education (</w:t>
      </w:r>
      <w:proofErr w:type="spellStart"/>
      <w:r>
        <w:t>Hora</w:t>
      </w:r>
      <w:proofErr w:type="spellEnd"/>
      <w:r>
        <w:t xml:space="preserve"> et al., 2017). </w:t>
      </w:r>
    </w:p>
    <w:p w:rsidR="0023438A" w:rsidRDefault="00A02C86">
      <w:pPr>
        <w:pStyle w:val="Heading1"/>
        <w:ind w:left="435"/>
      </w:pPr>
      <w:r>
        <w:t xml:space="preserve">Internships Are a Mainstay in U.S. Higher Education </w:t>
      </w:r>
    </w:p>
    <w:p w:rsidR="0023438A" w:rsidRDefault="00A02C86">
      <w:pPr>
        <w:ind w:left="425" w:right="777" w:firstLine="720"/>
      </w:pPr>
      <w:r>
        <w:t>While the U.S. system has not fully embraced the more complex apprenticeship as a W</w:t>
      </w:r>
      <w:r>
        <w:t>BL pedagogy, internships have been firmly ensconced in higher education for decades. The task of altering a mostly successful structure is very challenging. The literature describes internships as a win-win-win strategy for students, business, and higher e</w:t>
      </w:r>
      <w:r>
        <w:t>ducation institutions (</w:t>
      </w:r>
      <w:proofErr w:type="spellStart"/>
      <w:r>
        <w:t>Hora</w:t>
      </w:r>
      <w:proofErr w:type="spellEnd"/>
      <w:r>
        <w:t xml:space="preserve"> et al., 2017). Studies have shown that internships are beneficial experiences for students and can result in worthwhile career pathways (Nicholas, 2016). Put simply, in a Gallup-Purdue study, the most significant benefit to comp</w:t>
      </w:r>
      <w:r>
        <w:t>leting an internship program is that a graduate who had a relevant internship while in college is twice as likely to acquire a job immediately upon graduation (</w:t>
      </w:r>
      <w:proofErr w:type="spellStart"/>
      <w:r>
        <w:t>Busteed</w:t>
      </w:r>
      <w:proofErr w:type="spellEnd"/>
      <w:r>
        <w:t xml:space="preserve"> &amp; </w:t>
      </w:r>
      <w:proofErr w:type="spellStart"/>
      <w:r>
        <w:t>Auter</w:t>
      </w:r>
      <w:proofErr w:type="spellEnd"/>
      <w:r>
        <w:t>, 2017). Citing these job placement statistics, many government leaders and colle</w:t>
      </w:r>
      <w:r>
        <w:t>ge administrators advocate in favor of internships so heavily that proposals have been made to make internships a requirement for graduation (</w:t>
      </w:r>
      <w:proofErr w:type="spellStart"/>
      <w:r>
        <w:t>Hora</w:t>
      </w:r>
      <w:proofErr w:type="spellEnd"/>
      <w:r>
        <w:t xml:space="preserve"> et al., 2018). Endicott </w:t>
      </w:r>
    </w:p>
    <w:p w:rsidR="0023438A" w:rsidRDefault="00A02C86">
      <w:pPr>
        <w:spacing w:after="0" w:line="478" w:lineRule="auto"/>
        <w:ind w:left="435" w:right="764"/>
        <w:jc w:val="both"/>
      </w:pPr>
      <w:r>
        <w:t>College’s graduation requirements stipulate that students must complete three intern</w:t>
      </w:r>
      <w:r>
        <w:t xml:space="preserve">ships during their four-year bachelor's degree. The college’s data show that the student internship experiences help 53% of Endicott graduates land a job at former internship sites or a related business </w:t>
      </w:r>
    </w:p>
    <w:p w:rsidR="0023438A" w:rsidRDefault="00A02C86">
      <w:pPr>
        <w:ind w:left="435" w:right="777"/>
      </w:pPr>
      <w:r>
        <w:lastRenderedPageBreak/>
        <w:t>(</w:t>
      </w:r>
      <w:proofErr w:type="spellStart"/>
      <w:r>
        <w:t>Saltikoff</w:t>
      </w:r>
      <w:proofErr w:type="spellEnd"/>
      <w:r>
        <w:t>, 2017). Other examples of colleges requir</w:t>
      </w:r>
      <w:r>
        <w:t>ing internships are Seton Hall University and California Polytechnic State University (</w:t>
      </w:r>
      <w:proofErr w:type="spellStart"/>
      <w:r>
        <w:t>Hora</w:t>
      </w:r>
      <w:proofErr w:type="spellEnd"/>
      <w:r>
        <w:t xml:space="preserve">, </w:t>
      </w:r>
      <w:proofErr w:type="spellStart"/>
      <w:r>
        <w:t>Wolfgram</w:t>
      </w:r>
      <w:proofErr w:type="spellEnd"/>
      <w:r>
        <w:t>, &amp; Thompson, 2017). In a longitudinal study by Cook, Stokes, and Parker (2015), “students reported that an internship helped them to relate classroom theo</w:t>
      </w:r>
      <w:r>
        <w:t>ries to the workplace and also to become more mature individuals” (p. 108). Recent research has demonstrated that interns who exceeded employers' expectations were offered 9.2% more salary than other non-intern alumni counterparts (Nicholas, 2016). In 2018</w:t>
      </w:r>
      <w:r>
        <w:t>, 59% of interns received a job offer from their internship, and 77.3% deemed that offer worthy of acceptance (NACE, 2018). Moreover, the retention rate on that same job for a newly hired intern is 70.6 % from one year following the date of employment. The</w:t>
      </w:r>
      <w:r>
        <w:t xml:space="preserve"> retention rate for a new hire with no internship experience is 25% lower at 46.3% (NACE, 2018).  </w:t>
      </w:r>
    </w:p>
    <w:p w:rsidR="0023438A" w:rsidRDefault="00A02C86">
      <w:pPr>
        <w:ind w:left="425" w:right="777" w:firstLine="720"/>
      </w:pPr>
      <w:r>
        <w:t>Organizations get to preview employees; students acquire valuable work skills and possible employment, schools develop links with more businesses and the com</w:t>
      </w:r>
      <w:r>
        <w:t>munity and earn recognition for successful programs (Cook, Stokes, &amp; Parker, 2015). The practice of hiring graduates with internship experience is more commonplace in some sectors than in others. For instance, in banking and financial services, 70% of thos</w:t>
      </w:r>
      <w:r>
        <w:t>e with an internship received an offer compared to 27% of those without (</w:t>
      </w:r>
      <w:proofErr w:type="spellStart"/>
      <w:r>
        <w:t>Rodkin</w:t>
      </w:r>
      <w:proofErr w:type="spellEnd"/>
      <w:r>
        <w:t>, 2014). The gap is less in other areas like health care, advertising, and nonprofits. All in all, internships make a difference in the lives of the graduates who take them; how</w:t>
      </w:r>
      <w:r>
        <w:t xml:space="preserve">ever, depending on the surrounding circumstances, the extent of the impact could be limited.  </w:t>
      </w:r>
    </w:p>
    <w:p w:rsidR="0023438A" w:rsidRDefault="00A02C86">
      <w:pPr>
        <w:pStyle w:val="Heading1"/>
        <w:spacing w:after="0"/>
        <w:ind w:left="435"/>
      </w:pPr>
      <w:r>
        <w:t xml:space="preserve">The Case against Internships </w:t>
      </w:r>
    </w:p>
    <w:p w:rsidR="0023438A" w:rsidRDefault="00A02C86">
      <w:pPr>
        <w:spacing w:after="252" w:line="259" w:lineRule="auto"/>
        <w:ind w:left="1170" w:right="777"/>
      </w:pPr>
      <w:r>
        <w:t xml:space="preserve">Although internships have long been a ubiquitous form of experiential learning in U.S. </w:t>
      </w:r>
    </w:p>
    <w:p w:rsidR="0023438A" w:rsidRDefault="00A02C86">
      <w:pPr>
        <w:ind w:left="435" w:right="777"/>
      </w:pPr>
      <w:proofErr w:type="gramStart"/>
      <w:r>
        <w:t>higher</w:t>
      </w:r>
      <w:proofErr w:type="gramEnd"/>
      <w:r>
        <w:t xml:space="preserve"> education, quantifying the impact th</w:t>
      </w:r>
      <w:r>
        <w:t>at the pedagogy has on students’ outcomes is a difficult task as no standard definition of internship exists. There is consensus in the literature that internships are meant to be an extension of the educational process and should provide meaningful career</w:t>
      </w:r>
      <w:r>
        <w:t xml:space="preserve"> experiences relevant to the student’s academic major (</w:t>
      </w:r>
      <w:proofErr w:type="spellStart"/>
      <w:r>
        <w:t>Stirling</w:t>
      </w:r>
      <w:proofErr w:type="spellEnd"/>
      <w:r>
        <w:t xml:space="preserve"> et al., 2017). Despite these points of agreement, inconsistencies exist regarding the suggested duration of the </w:t>
      </w:r>
      <w:r>
        <w:lastRenderedPageBreak/>
        <w:t>internship, compensation, students’ academic requirements, and benefits to parti</w:t>
      </w:r>
      <w:r>
        <w:t>cipants. Due to these discrepancies, policymakers, administrators, and the general public are beginning to favor other work-based learning opportunities, such as co-operative education, clinical rotations, and apprenticeships, as a preferred career pathway</w:t>
      </w:r>
      <w:r>
        <w:t xml:space="preserve"> (Hoffman &amp; Schwartz, 2015).   </w:t>
      </w:r>
    </w:p>
    <w:p w:rsidR="0023438A" w:rsidRDefault="00A02C86">
      <w:pPr>
        <w:ind w:left="425" w:right="777" w:firstLine="720"/>
      </w:pPr>
      <w:r>
        <w:t>While the body of literature on internships yields a considerable number of practitioner guides, there is a paucity of rigorous empirical research on the effects that internships have on student outcomes. This fact leaves ma</w:t>
      </w:r>
      <w:r>
        <w:t>ny to conclude that there are several drawbacks of the system (</w:t>
      </w:r>
      <w:proofErr w:type="spellStart"/>
      <w:r>
        <w:t>Hora</w:t>
      </w:r>
      <w:proofErr w:type="spellEnd"/>
      <w:r>
        <w:t xml:space="preserve"> et al., 2017). Moore (2010) argues that it is crucial to recognize that significant challenges exist in ensuring the educational value of an internship for the students. It is easy to assu</w:t>
      </w:r>
      <w:r>
        <w:t>me that all internship experiences are educational when that is not always the case. Several reports have uncovered several cases where businesses exploit interns for their unpaid work and saddle them with trivial tasks such as cleaning, copying, or provid</w:t>
      </w:r>
      <w:r>
        <w:t>ing food and beverages (</w:t>
      </w:r>
      <w:proofErr w:type="spellStart"/>
      <w:r>
        <w:t>Frenette</w:t>
      </w:r>
      <w:proofErr w:type="spellEnd"/>
      <w:r>
        <w:t xml:space="preserve">, 2015; </w:t>
      </w:r>
      <w:proofErr w:type="spellStart"/>
      <w:r>
        <w:t>Stirling</w:t>
      </w:r>
      <w:proofErr w:type="spellEnd"/>
      <w:r>
        <w:t>, 2016). In order to garner potential benefits from the internship experience for all stakeholders, it is essential that internships are structured around tasks and projects that align with the student’s acad</w:t>
      </w:r>
      <w:r>
        <w:t>emic major. Involving a level of oversight from a school official could also help ensure high educational quality (</w:t>
      </w:r>
      <w:proofErr w:type="spellStart"/>
      <w:r>
        <w:t>Stirling</w:t>
      </w:r>
      <w:proofErr w:type="spellEnd"/>
      <w:r>
        <w:t xml:space="preserve">, 2016). </w:t>
      </w:r>
    </w:p>
    <w:p w:rsidR="0023438A" w:rsidRDefault="00A02C86">
      <w:pPr>
        <w:ind w:left="425" w:right="777" w:firstLine="720"/>
      </w:pPr>
      <w:proofErr w:type="spellStart"/>
      <w:r>
        <w:t>Hora</w:t>
      </w:r>
      <w:proofErr w:type="spellEnd"/>
      <w:r>
        <w:t xml:space="preserve"> et al. (2018, 2018, 2019) found in several studies for the Center for Research on College-Workforce Transitions (CCWT)</w:t>
      </w:r>
      <w:r>
        <w:t xml:space="preserve"> that internships are neither easy to design and implement nor are they a panacea for the long-standing problems of cultivating students skills and easing their entry into the labor market. In the CCWT research at the University of Wisconsin, one official </w:t>
      </w:r>
      <w:r>
        <w:t>characterized internships as the Wild West in higher education; they are at best characterized as ambiguous, unregulated, potentially exploitative, and inaccessible (</w:t>
      </w:r>
      <w:proofErr w:type="spellStart"/>
      <w:r>
        <w:t>Hora</w:t>
      </w:r>
      <w:proofErr w:type="spellEnd"/>
      <w:r>
        <w:t>, 2018). The findings of the research coalesce around a few major areas when discussin</w:t>
      </w:r>
      <w:r>
        <w:t xml:space="preserve">g the drawbacks of apprenticeships: exploitation of unpaid internships, accessibility, and lack of structure. When juxtaposing internships against apprenticeships, </w:t>
      </w:r>
      <w:proofErr w:type="spellStart"/>
      <w:r>
        <w:t>Darche</w:t>
      </w:r>
      <w:proofErr w:type="spellEnd"/>
      <w:r>
        <w:t xml:space="preserve"> and Stern (2013) found </w:t>
      </w:r>
      <w:r>
        <w:lastRenderedPageBreak/>
        <w:t>that the primary goal of internships is ongoing learning rathe</w:t>
      </w:r>
      <w:r>
        <w:t xml:space="preserve">r than employment per se, leading them to categorize internships as a less rigorous form of WBL than apprenticeships. </w:t>
      </w:r>
    </w:p>
    <w:p w:rsidR="0023438A" w:rsidRDefault="00A02C86">
      <w:pPr>
        <w:ind w:left="425" w:right="777" w:firstLine="720"/>
      </w:pPr>
      <w:r>
        <w:t>Quantifying the effects of internships is another drawback of the system. Upon examination of the literature, it is apparent that there i</w:t>
      </w:r>
      <w:r>
        <w:t>s not a unifying definition of what constitutes an internship (</w:t>
      </w:r>
      <w:proofErr w:type="spellStart"/>
      <w:r>
        <w:t>Hora</w:t>
      </w:r>
      <w:proofErr w:type="spellEnd"/>
      <w:r>
        <w:t xml:space="preserve"> et al., 2018; O'Neill, 2010). The fact that a completed internship can be claimed for anything ranging from a loosely associated summer job to a formalized program that results in college </w:t>
      </w:r>
      <w:r>
        <w:t>credit presents a mountain of obstacles for researchers, policymakers, and employers alike (Moore, 2010; Sterling, 2015). Scholars cannot even confirm the number of internships completed on a yearly basis. According to a recent study, 75% of college gradua</w:t>
      </w:r>
      <w:r>
        <w:t>tes say that they had at least one internship prior to graduation (</w:t>
      </w:r>
      <w:proofErr w:type="spellStart"/>
      <w:r>
        <w:t>Rodkin</w:t>
      </w:r>
      <w:proofErr w:type="spellEnd"/>
      <w:r>
        <w:t>, 2014). Considering that 19 million students are enrolled at the postsecondary level, that total equates to approximately 15.75 million internships annually. However, NACE (2018) con</w:t>
      </w:r>
      <w:r>
        <w:t xml:space="preserve">ducted a survey that estimates only 1.5 million internships are completed on an annual basis.  </w:t>
      </w:r>
    </w:p>
    <w:p w:rsidR="0023438A" w:rsidRDefault="00A02C86">
      <w:pPr>
        <w:spacing w:after="0" w:line="259" w:lineRule="auto"/>
        <w:ind w:left="1160" w:firstLine="0"/>
      </w:pPr>
      <w:r>
        <w:rPr>
          <w:b/>
        </w:rPr>
        <w:t xml:space="preserve"> </w:t>
      </w:r>
    </w:p>
    <w:p w:rsidR="0023438A" w:rsidRDefault="00A02C86">
      <w:pPr>
        <w:pStyle w:val="Heading1"/>
        <w:spacing w:after="249"/>
        <w:ind w:right="1338"/>
        <w:jc w:val="center"/>
      </w:pPr>
      <w:r>
        <w:t xml:space="preserve">Gaps in the internship related literature. </w:t>
      </w:r>
      <w:r>
        <w:rPr>
          <w:b w:val="0"/>
        </w:rPr>
        <w:t xml:space="preserve">O’Neill cautions in a 2010 report that   </w:t>
      </w:r>
    </w:p>
    <w:p w:rsidR="0023438A" w:rsidRDefault="00A02C86">
      <w:pPr>
        <w:ind w:left="1160" w:right="777" w:firstLine="720"/>
      </w:pPr>
      <w:r>
        <w:t>… I also met many students who landed in my office precisely because their internships lacked direction and meaningful work. These students, frustrated and disappointed, began to view internships quite cynically as resume fillers and door openers that need</w:t>
      </w:r>
      <w:r>
        <w:t xml:space="preserve">ed to be completed in order to land a job after graduation (p. 4).  </w:t>
      </w:r>
    </w:p>
    <w:p w:rsidR="0023438A" w:rsidRDefault="00A02C86">
      <w:pPr>
        <w:ind w:left="425" w:right="777" w:firstLine="720"/>
      </w:pPr>
      <w:r>
        <w:t xml:space="preserve">The literature further reinforces this perception that the relationship between internships and early career experiences is vastly understudied (Silva et al., 2016). Although research is </w:t>
      </w:r>
      <w:r>
        <w:t>prevalent on the value and benefits of the programming for students and employers, the literature consistently identified many challenges and problems with measuring the direct effect the experience had on a graduate’s job attainment. One of the central fi</w:t>
      </w:r>
      <w:r>
        <w:t xml:space="preserve">ndings of the review of the literature on internships is that attention to design characteristics such as the duration, type, and quality of mentorship, compensation, and coordination with academic advisors is an essential yet </w:t>
      </w:r>
      <w:r>
        <w:lastRenderedPageBreak/>
        <w:t>frequently overlooked compone</w:t>
      </w:r>
      <w:r>
        <w:t>nt of internship programming (</w:t>
      </w:r>
      <w:proofErr w:type="spellStart"/>
      <w:r>
        <w:t>Frennette</w:t>
      </w:r>
      <w:proofErr w:type="spellEnd"/>
      <w:r>
        <w:t xml:space="preserve">, 2015; </w:t>
      </w:r>
      <w:proofErr w:type="spellStart"/>
      <w:r>
        <w:t>Hora</w:t>
      </w:r>
      <w:proofErr w:type="spellEnd"/>
      <w:r>
        <w:t xml:space="preserve">, </w:t>
      </w:r>
      <w:proofErr w:type="spellStart"/>
      <w:r>
        <w:t>Wolfgram</w:t>
      </w:r>
      <w:proofErr w:type="spellEnd"/>
      <w:r>
        <w:t>, &amp; Thompson, 2017; McHugh, 2017; Silva et al., 2016). If policymakers do not adequately take these factors into account, an internship can be detrimental to the interests of students and employe</w:t>
      </w:r>
      <w:r>
        <w:t xml:space="preserve">rs alike. </w:t>
      </w:r>
    </w:p>
    <w:p w:rsidR="0023438A" w:rsidRDefault="00A02C86">
      <w:pPr>
        <w:pStyle w:val="Heading1"/>
        <w:ind w:left="435"/>
      </w:pPr>
      <w:r>
        <w:t xml:space="preserve">Stigmatization and Historical Failures of Apprenticeship </w:t>
      </w:r>
    </w:p>
    <w:p w:rsidR="0023438A" w:rsidRDefault="00A02C86">
      <w:pPr>
        <w:ind w:left="435" w:right="777"/>
      </w:pPr>
      <w:r>
        <w:rPr>
          <w:b/>
        </w:rPr>
        <w:t xml:space="preserve"> </w:t>
      </w:r>
      <w:r>
        <w:rPr>
          <w:b/>
        </w:rPr>
        <w:tab/>
      </w:r>
      <w:r>
        <w:t>Since the conventional wisdom in higher education has led to the ubiquity of internships as a worthy addition to most college degrees, then a compilation of literature suggests that WBL</w:t>
      </w:r>
      <w:r>
        <w:t xml:space="preserve"> pedagogy that accounts for the shortcomings of internships and apprenticeships should be a remedy society is reticent to accept (</w:t>
      </w:r>
      <w:proofErr w:type="spellStart"/>
      <w:r>
        <w:t>MacGregor</w:t>
      </w:r>
      <w:proofErr w:type="spellEnd"/>
      <w:r>
        <w:t xml:space="preserve"> &amp; Fox, 2017; McCarthy, Palmer, &amp; </w:t>
      </w:r>
      <w:proofErr w:type="spellStart"/>
      <w:r>
        <w:t>Prebil</w:t>
      </w:r>
      <w:proofErr w:type="spellEnd"/>
      <w:r>
        <w:t xml:space="preserve">, 2017; Rodriguez et al., 2016). However, that is not the case. Snell, Voss, </w:t>
      </w:r>
      <w:r>
        <w:t>and Kline (2017) studied over 1,000 adult participants nationwide to gauge the public’s attitudes toward an apprenticeship. The research determined that Americans view public education favorably, with public four-year colleges, community colleges, and appr</w:t>
      </w:r>
      <w:r>
        <w:t xml:space="preserve">enticeships receiving the highest favorability percentages and for-profit colleges receiving favorable responses albeit with lower intensity (Snell et al., 2017). Despite the high favorability ratings for apprenticeship, the findings highlighted </w:t>
      </w:r>
      <w:proofErr w:type="gramStart"/>
      <w:r>
        <w:t>a disconne</w:t>
      </w:r>
      <w:r>
        <w:t>ct</w:t>
      </w:r>
      <w:proofErr w:type="gramEnd"/>
      <w:r>
        <w:t xml:space="preserve"> in the respondents’ acceptance of the pathway for those closest to them. Although the respondents indicated that apprenticeship is the best option for career preparation, nearly 50% would not endorse the avenue to a friend or family member, preferring t</w:t>
      </w:r>
      <w:r>
        <w:t xml:space="preserve">he traditional four-year college pathway instead (Parton, 2017).  </w:t>
      </w:r>
    </w:p>
    <w:p w:rsidR="0023438A" w:rsidRDefault="00A02C86">
      <w:pPr>
        <w:ind w:left="435" w:right="777"/>
      </w:pPr>
      <w:r>
        <w:t xml:space="preserve"> </w:t>
      </w:r>
      <w:r>
        <w:tab/>
        <w:t>The New America Foundation expounded upon the Snell et al. (2017) research findings seeking to gain a deeper understanding of the disconnect between society appreciating the concept of ap</w:t>
      </w:r>
      <w:r>
        <w:t>prenticeship but not a willingness to encourage a friend or family to pursue one. In a December 2017 report, the researchers took a qualitative approach by conducting several focus groups (Parton, 2017). The findings show that the participants’ perceptions</w:t>
      </w:r>
      <w:r>
        <w:t xml:space="preserve"> of apprenticeship are that they are strictly for blue-collar professions. They liked that apprenticeship provided experiential, on-the-job training opportunities, and made a college education affordable and </w:t>
      </w:r>
      <w:r>
        <w:lastRenderedPageBreak/>
        <w:t>relevant.  Both older and younger generations we</w:t>
      </w:r>
      <w:r>
        <w:t>re more likely to embrace apprenticeship if provided a clear pathway to earning a postsecondary degree. On the other hand, they are concerned that apprenticeship would be extremely limiting to their upward mobility. The two primary areas of concern are tha</w:t>
      </w:r>
      <w:r>
        <w:t xml:space="preserve">t credits may not transfer or the number and type of fields were too narrow (Decker, 2019; Parton, 2017). </w:t>
      </w:r>
    </w:p>
    <w:p w:rsidR="0023438A" w:rsidRDefault="00A02C86">
      <w:pPr>
        <w:ind w:left="425" w:right="777" w:firstLine="475"/>
      </w:pPr>
      <w:r>
        <w:t xml:space="preserve"> </w:t>
      </w:r>
      <w:r>
        <w:tab/>
        <w:t>The absence of a higher education credential perceived by the survey participants compartmentalizes apprenticeship as a short-term solution that on</w:t>
      </w:r>
      <w:r>
        <w:t>ly prepares people for today’s task. The long-term view of the participant’s future career growth is not taken into account by apprenticeship programming, particularly as it pertains to changing technology. A cause for this disparity is the inability of ap</w:t>
      </w:r>
      <w:r>
        <w:t>prenticeship to fully incorporate the valuable credentials offered through higher education (Lake, 2019). This has led to successful apprentices not having access to the degrees, diplomas, and certifications that are necessary to advance in most careers. O</w:t>
      </w:r>
      <w:r>
        <w:t xml:space="preserve">utside of the skilled trades, career advancement in the United States increasingly requires an associate’s or bachelor’s degree, which only colleges and universities can award (McCarthy, Palmer, &amp; </w:t>
      </w:r>
      <w:proofErr w:type="spellStart"/>
      <w:r>
        <w:t>Prebil</w:t>
      </w:r>
      <w:proofErr w:type="spellEnd"/>
      <w:r>
        <w:t>, 2017). Detractors of apprenticeship programs also p</w:t>
      </w:r>
      <w:r>
        <w:t>oint to the soft skills acquired in connection with a college education that are necessary for long-term success in the workplace (</w:t>
      </w:r>
      <w:proofErr w:type="spellStart"/>
      <w:r>
        <w:t>Santonocito</w:t>
      </w:r>
      <w:proofErr w:type="spellEnd"/>
      <w:r>
        <w:t>, 2017). Apprenticeships may help people start on a career path, but college degrees are often required for moving</w:t>
      </w:r>
      <w:r>
        <w:t xml:space="preserve"> further along the path.  </w:t>
      </w:r>
    </w:p>
    <w:p w:rsidR="0023438A" w:rsidRDefault="00A02C86">
      <w:pPr>
        <w:ind w:left="425" w:right="777" w:firstLine="475"/>
      </w:pPr>
      <w:r>
        <w:rPr>
          <w:b/>
        </w:rPr>
        <w:t>Academic opposition</w:t>
      </w:r>
      <w:r>
        <w:t xml:space="preserve"> It is this argument for the well-rounding of graduates that has positioned part of the opposition in higher education against the sector being accountable for the career outcomes of its graduates (</w:t>
      </w:r>
      <w:proofErr w:type="spellStart"/>
      <w:r>
        <w:t>Santonocito</w:t>
      </w:r>
      <w:proofErr w:type="spellEnd"/>
      <w:r>
        <w:t>,</w:t>
      </w:r>
      <w:r>
        <w:t xml:space="preserve"> 2017). America’s vast system of higher education was never designed solely for middle-skill job preparation; colleges and universities believe they should train leaders, not be blue-collar career coaches (</w:t>
      </w:r>
      <w:proofErr w:type="spellStart"/>
      <w:r>
        <w:t>Labaree</w:t>
      </w:r>
      <w:proofErr w:type="spellEnd"/>
      <w:r>
        <w:t>, 2017). As an illustration, in response to</w:t>
      </w:r>
      <w:r>
        <w:t xml:space="preserve"> President Obama’s initiative to attach federal college aid to labor-market outcomes via the College Scorecard ranking system, the American Association of University Professors vehemently opposed the idea of having accountability for graduation outcomes (</w:t>
      </w:r>
      <w:proofErr w:type="spellStart"/>
      <w:r>
        <w:t>F</w:t>
      </w:r>
      <w:r>
        <w:t>erenstein</w:t>
      </w:r>
      <w:proofErr w:type="spellEnd"/>
      <w:r>
        <w:t xml:space="preserve">, </w:t>
      </w:r>
      <w:r>
        <w:lastRenderedPageBreak/>
        <w:t xml:space="preserve">2018). Association President Rudy </w:t>
      </w:r>
      <w:proofErr w:type="spellStart"/>
      <w:r>
        <w:t>Fichtenbaum</w:t>
      </w:r>
      <w:proofErr w:type="spellEnd"/>
      <w:r>
        <w:t xml:space="preserve"> issued the following public statement:   In reality, measuring the output of our colleges and universities in a meaningful way is simply not possible…Quality education can give students skills that w</w:t>
      </w:r>
      <w:r>
        <w:t xml:space="preserve">ill be useful in helping them find jobs, but it is also about creating better human beings and giving students the knowledge to deal with the myriad of problems we face as a society. I have </w:t>
      </w:r>
    </w:p>
    <w:p w:rsidR="0023438A" w:rsidRDefault="00A02C86">
      <w:pPr>
        <w:ind w:left="1170" w:right="777"/>
      </w:pPr>
      <w:proofErr w:type="gramStart"/>
      <w:r>
        <w:t>yet</w:t>
      </w:r>
      <w:proofErr w:type="gramEnd"/>
      <w:r>
        <w:t xml:space="preserve"> to see a test to measure whether or not someone has become a </w:t>
      </w:r>
      <w:r>
        <w:t>better human being (</w:t>
      </w:r>
      <w:proofErr w:type="spellStart"/>
      <w:r>
        <w:t>Fichtenbaum</w:t>
      </w:r>
      <w:proofErr w:type="spellEnd"/>
      <w:r>
        <w:t xml:space="preserve">, 2013, p. 1). </w:t>
      </w:r>
    </w:p>
    <w:p w:rsidR="0023438A" w:rsidRDefault="00A02C86">
      <w:pPr>
        <w:ind w:left="435" w:right="777"/>
      </w:pPr>
      <w:r>
        <w:t xml:space="preserve"> </w:t>
      </w:r>
      <w:r>
        <w:tab/>
        <w:t>The integration of apprenticeship into a traditional postsecondary degree would not be without its challenges. Rebecca Lake, Dean of Workforce Development at Harper College which hosts one of the largest col</w:t>
      </w:r>
      <w:r>
        <w:t xml:space="preserve">lege integrated apprenticeship training programs in the country, states that colleges need to answer </w:t>
      </w:r>
      <w:proofErr w:type="spellStart"/>
      <w:r>
        <w:t>four</w:t>
      </w:r>
      <w:proofErr w:type="spellEnd"/>
      <w:r>
        <w:t xml:space="preserve"> questions to assess whether or not offering apprenticeship based training is feasible: Is there an institutional buy-in? Is there internal readiness? </w:t>
      </w:r>
      <w:r>
        <w:t xml:space="preserve">Do companies know about RA programs, and will they fully participate with the college? Do enough people live in the area or attend college to create an adequate potential apprentice pool (Lake, 2019)? </w:t>
      </w:r>
    </w:p>
    <w:p w:rsidR="0023438A" w:rsidRDefault="00A02C86">
      <w:pPr>
        <w:ind w:left="435" w:right="777"/>
      </w:pPr>
      <w:r>
        <w:t xml:space="preserve"> </w:t>
      </w:r>
      <w:r>
        <w:tab/>
      </w:r>
      <w:r>
        <w:rPr>
          <w:b/>
        </w:rPr>
        <w:t xml:space="preserve">Lack of alignment with prestigious professions. </w:t>
      </w:r>
      <w:r>
        <w:t>High</w:t>
      </w:r>
      <w:r>
        <w:t>er education’s hesitation with career-oriented, outcome-based accountability is just a recent obstacle in America’s sorted history with apprenticeship.  For over a century, American families repeatedly rejected attempts to mainstream vocational education b</w:t>
      </w:r>
      <w:r>
        <w:t>ecause technical education often precludes their school-age children from aspirational careers as doctors, lawyers, business executives, and scientists (</w:t>
      </w:r>
      <w:proofErr w:type="spellStart"/>
      <w:r>
        <w:t>Labaree</w:t>
      </w:r>
      <w:proofErr w:type="spellEnd"/>
      <w:r>
        <w:t>, 2017). As a traditional four-year college pathway became the accepted gateway to elite profess</w:t>
      </w:r>
      <w:r>
        <w:t>ions throughout the early to mid-1900s, apprenticeships fell out of favor with America’s upwardly mobile culture (</w:t>
      </w:r>
      <w:proofErr w:type="spellStart"/>
      <w:r>
        <w:t>Ferenstein</w:t>
      </w:r>
      <w:proofErr w:type="spellEnd"/>
      <w:r>
        <w:t xml:space="preserve">, 2018). This mindset stigmatized the term as being synonymous with blue-collar construction trades. Experts say that Switzerland’s </w:t>
      </w:r>
      <w:r>
        <w:t>apprenticeship system is the gold standard because it is uniquely able to align the most prestigious careers with apprenticeships. If a successful American apprenticeship system is to be realized, the country needs the upper echelon of high-tech, growing c</w:t>
      </w:r>
      <w:r>
        <w:t xml:space="preserve">ompanies to embrace the concept and place </w:t>
      </w:r>
      <w:r>
        <w:lastRenderedPageBreak/>
        <w:t>apprentices alongside graduates of the elite academic institutions (</w:t>
      </w:r>
      <w:proofErr w:type="spellStart"/>
      <w:r>
        <w:t>Ferenstein</w:t>
      </w:r>
      <w:proofErr w:type="spellEnd"/>
      <w:r>
        <w:t>, 2018). A connection with higher education is essential for that partnership to flourish as an advanced degree is often required for ca</w:t>
      </w:r>
      <w:r>
        <w:t xml:space="preserve">reer growth within these elite organizations.  </w:t>
      </w:r>
    </w:p>
    <w:p w:rsidR="0023438A" w:rsidRDefault="00A02C86">
      <w:pPr>
        <w:ind w:left="425" w:right="777" w:firstLine="720"/>
      </w:pPr>
      <w:r>
        <w:rPr>
          <w:b/>
        </w:rPr>
        <w:t xml:space="preserve">Past legislative failures. </w:t>
      </w:r>
      <w:r>
        <w:t>Past failures with apprenticeship programming might lead some to think that history is going to repeat itself. In 1992, the Clinton administration lobbied for a sweeping $500 millio</w:t>
      </w:r>
      <w:r>
        <w:t>n reform to the workforce development strategy with the School to Work (STW) program. This legislation identified the need to grow apprenticeship as a top priority.  However, labor unions quickly came out in opposition to the initiative for fear that expan</w:t>
      </w:r>
      <w:r>
        <w:t>sion would devalue the term apprenticeship and perhaps, more importantly, grow it to the point where the labor unions would lose ownership of the term (</w:t>
      </w:r>
      <w:proofErr w:type="spellStart"/>
      <w:r>
        <w:t>Lerman</w:t>
      </w:r>
      <w:proofErr w:type="spellEnd"/>
      <w:r>
        <w:t>, 2012). The second issue that condemned the STW program is that some former advocates of youth ap</w:t>
      </w:r>
      <w:r>
        <w:t>prenticeships conveyed skepticism that apprenticeship would force students to make crucial decisions about careers too early, generate opposition from parents resistant to non-college alternatives for their children,  and yield too few apprenticeship slots</w:t>
      </w:r>
      <w:r>
        <w:t xml:space="preserve"> from employers (</w:t>
      </w:r>
      <w:proofErr w:type="spellStart"/>
      <w:r>
        <w:t>Lapan</w:t>
      </w:r>
      <w:proofErr w:type="spellEnd"/>
      <w:r>
        <w:t>, 2003). Finally, STW failed to attract support from existing high school vocational programs. This was due in part to the conventional view at the time that vocational education in the United States was stigmatized as operating in po</w:t>
      </w:r>
      <w:r>
        <w:t>or quality and often serving as a dumping ground for students unable to perform well in academic classes (</w:t>
      </w:r>
      <w:proofErr w:type="spellStart"/>
      <w:r>
        <w:t>Lerman</w:t>
      </w:r>
      <w:proofErr w:type="spellEnd"/>
      <w:r>
        <w:t>, 2012). By 2000, when the sunset provision in the original law was scheduled to take effect, neither the Clinton administration nor leading con</w:t>
      </w:r>
      <w:r>
        <w:t xml:space="preserve">gressional officials sought to have it extended.  </w:t>
      </w:r>
    </w:p>
    <w:p w:rsidR="0023438A" w:rsidRDefault="00A02C86">
      <w:pPr>
        <w:ind w:left="425" w:right="777" w:firstLine="720"/>
      </w:pPr>
      <w:r>
        <w:rPr>
          <w:b/>
        </w:rPr>
        <w:t xml:space="preserve">Financial ramifications. </w:t>
      </w:r>
      <w:r>
        <w:t xml:space="preserve">Perhaps the most significant obstacle for apprenticeship to overcome is the cost. A recent report summarizing thirteen apprenticeship case studies showed that an apprenticeship in </w:t>
      </w:r>
      <w:r>
        <w:t xml:space="preserve">technology or manufacturing could range in cost from $60,000 to </w:t>
      </w:r>
    </w:p>
    <w:p w:rsidR="0023438A" w:rsidRDefault="00A02C86">
      <w:pPr>
        <w:ind w:left="435" w:right="777"/>
      </w:pPr>
      <w:r>
        <w:t>$260,000 per apprentice, the burden of which falls mostly to the employer (Helper, Noonan, Nicholson, &amp; Langdon, 2016). Federal and state governments are implementing tax and funding incentiv</w:t>
      </w:r>
      <w:r>
        <w:t>es, but they will never reach the $260,000 plateau (</w:t>
      </w:r>
      <w:proofErr w:type="spellStart"/>
      <w:r>
        <w:t>Carnevale</w:t>
      </w:r>
      <w:proofErr w:type="spellEnd"/>
      <w:r>
        <w:t xml:space="preserve"> &amp; </w:t>
      </w:r>
      <w:proofErr w:type="spellStart"/>
      <w:r>
        <w:t>Cheah</w:t>
      </w:r>
      <w:proofErr w:type="spellEnd"/>
      <w:r>
        <w:t xml:space="preserve">, 2018). The </w:t>
      </w:r>
      <w:r>
        <w:lastRenderedPageBreak/>
        <w:t>apprenticeship model thrives in other industrialized nations, partly because income inequality between professions varies much less. As compared to European countries, wages,</w:t>
      </w:r>
      <w:r>
        <w:t xml:space="preserve"> and staffing levels in the American economy can fluctuate rapidly, exposing the employer to financial risk with the substantial investment each apprenticeship commitment requires (U.S. DOL, 2019). Moreover, employees in the United States are more unpredic</w:t>
      </w:r>
      <w:r>
        <w:t>table, making apprenticeship programs challenging to institutionalize because people are likely to change jobs and sometimes the direction of their entire career in pursuit of better earnings. According to the U.S. Bureau of Labor Statistics (2019), the av</w:t>
      </w:r>
      <w:r>
        <w:t xml:space="preserve">erage U.S. worker will hold 12-15 different jobs in his or her lifetime. Investing thousands of dollars in someone who may leave for a better wage opportunity is a risk few employers are willing to take. </w:t>
      </w:r>
    </w:p>
    <w:p w:rsidR="0023438A" w:rsidRDefault="00A02C86">
      <w:pPr>
        <w:pStyle w:val="Heading1"/>
        <w:ind w:left="435"/>
      </w:pPr>
      <w:r>
        <w:t xml:space="preserve">Advantages of Apprenticeship </w:t>
      </w:r>
    </w:p>
    <w:p w:rsidR="0023438A" w:rsidRDefault="00A02C86">
      <w:pPr>
        <w:ind w:left="435" w:right="777"/>
      </w:pPr>
      <w:r>
        <w:rPr>
          <w:b/>
        </w:rPr>
        <w:t xml:space="preserve"> </w:t>
      </w:r>
      <w:r>
        <w:rPr>
          <w:b/>
        </w:rPr>
        <w:tab/>
      </w:r>
      <w:r>
        <w:t xml:space="preserve">With the myriad of </w:t>
      </w:r>
      <w:r>
        <w:t>factors working against apprenticeship, it is tempting for policymakers to stay with the status quo. However, in 2014, following years of researched policy recommendations from think tanks like the Urban Institute, New America Foundation, and Georgetown CE</w:t>
      </w:r>
      <w:r>
        <w:t xml:space="preserve">W, apprenticeship received new life with the passage of Workforce Innovation and Opportunities Act of 2014 commonly referred to as WIOA. The legislation put appropriations in place for a modern apprenticeship expansion, creating what this paper defines as </w:t>
      </w:r>
      <w:r>
        <w:t>the Post WIOA Registered Apprenticeship (PWRA) (U.S. Department of Labor, 2019). Since WIOA’s launch, the Department of Labor has received approximately $470 million in appropriations from two presidential administrations ($175 million-Obama Administration</w:t>
      </w:r>
      <w:r>
        <w:t>, $295 million –Trump Administration) to expand apprenticeship (</w:t>
      </w:r>
      <w:proofErr w:type="spellStart"/>
      <w:r>
        <w:t>Lerman</w:t>
      </w:r>
      <w:proofErr w:type="spellEnd"/>
      <w:r>
        <w:t xml:space="preserve">, 2018). It is rare for education and workforce development initiatives to sustain bipartisan support spanning two presidential administrations.   </w:t>
      </w:r>
    </w:p>
    <w:p w:rsidR="0023438A" w:rsidRDefault="00A02C86">
      <w:pPr>
        <w:spacing w:after="121"/>
        <w:ind w:left="425" w:right="777" w:firstLine="720"/>
      </w:pPr>
      <w:r>
        <w:rPr>
          <w:b/>
        </w:rPr>
        <w:t>Revisiting WIOA.</w:t>
      </w:r>
      <w:r>
        <w:t xml:space="preserve"> The Workforce Innovat</w:t>
      </w:r>
      <w:r>
        <w:t xml:space="preserve">ion and Opportunity Act (WIOA) passed in 2014, and starting in 2015, all RA programs that apply to be on the eligible training provider list will automatically be qualified to receive federal workforce funding as pre-approved training </w:t>
      </w:r>
      <w:r>
        <w:lastRenderedPageBreak/>
        <w:t>providers for the wor</w:t>
      </w:r>
      <w:r>
        <w:t>kforce system (Rolland, 2016). WIOA also allows for increased tax credits and higher reimbursement to employers for on-the-job training expenses. According to the Department of Labor WIOA Fact Sheet (2019), WIOA includes several modifications that strength</w:t>
      </w:r>
      <w:r>
        <w:t xml:space="preserve">en Registered Apprenticeship as a resource, a training strategy, and as a partner in the workforce system:  </w:t>
      </w:r>
    </w:p>
    <w:p w:rsidR="0023438A" w:rsidRDefault="00A02C86">
      <w:pPr>
        <w:numPr>
          <w:ilvl w:val="0"/>
          <w:numId w:val="4"/>
        </w:numPr>
        <w:spacing w:after="375" w:line="259" w:lineRule="auto"/>
        <w:ind w:right="777" w:hanging="360"/>
      </w:pPr>
      <w:r>
        <w:t xml:space="preserve">Naming an apprenticeship representative to state and local workforce boards </w:t>
      </w:r>
    </w:p>
    <w:p w:rsidR="0023438A" w:rsidRDefault="00A02C86">
      <w:pPr>
        <w:numPr>
          <w:ilvl w:val="0"/>
          <w:numId w:val="4"/>
        </w:numPr>
        <w:spacing w:after="375" w:line="259" w:lineRule="auto"/>
        <w:ind w:right="777" w:hanging="360"/>
      </w:pPr>
      <w:r>
        <w:t xml:space="preserve">Including Registered Apprenticeship programs on the Eligible Training Provider List  </w:t>
      </w:r>
    </w:p>
    <w:p w:rsidR="0023438A" w:rsidRDefault="00A02C86">
      <w:pPr>
        <w:numPr>
          <w:ilvl w:val="0"/>
          <w:numId w:val="4"/>
        </w:numPr>
        <w:spacing w:after="375" w:line="259" w:lineRule="auto"/>
        <w:ind w:right="777" w:hanging="360"/>
      </w:pPr>
      <w:r>
        <w:t xml:space="preserve">Promoting work-based learning to meet employer needs for skilled workers   </w:t>
      </w:r>
    </w:p>
    <w:p w:rsidR="0023438A" w:rsidRDefault="00A02C86">
      <w:pPr>
        <w:numPr>
          <w:ilvl w:val="0"/>
          <w:numId w:val="4"/>
        </w:numPr>
        <w:spacing w:after="375" w:line="259" w:lineRule="auto"/>
        <w:ind w:right="777" w:hanging="360"/>
      </w:pPr>
      <w:r>
        <w:t xml:space="preserve">Supporting career pathways for youth through apprenticeship </w:t>
      </w:r>
    </w:p>
    <w:p w:rsidR="0023438A" w:rsidRDefault="00A02C86">
      <w:pPr>
        <w:numPr>
          <w:ilvl w:val="0"/>
          <w:numId w:val="4"/>
        </w:numPr>
        <w:spacing w:after="117"/>
        <w:ind w:right="777" w:hanging="360"/>
      </w:pPr>
      <w:r>
        <w:t>Using the apprenticeship model as</w:t>
      </w:r>
      <w:r>
        <w:t xml:space="preserve"> a key strategy in meeting the needs of the business community. </w:t>
      </w:r>
    </w:p>
    <w:p w:rsidR="0023438A" w:rsidRDefault="00A02C86">
      <w:pPr>
        <w:ind w:left="425" w:right="777" w:firstLine="360"/>
      </w:pPr>
      <w:r>
        <w:rPr>
          <w:b/>
        </w:rPr>
        <w:t xml:space="preserve">Current Affairs in Apprenticeship. </w:t>
      </w:r>
      <w:r>
        <w:t xml:space="preserve">The need to modernize apprenticeship has been advocated by many business groups, policymakers, and </w:t>
      </w:r>
      <w:proofErr w:type="spellStart"/>
      <w:r>
        <w:t>thinktank</w:t>
      </w:r>
      <w:proofErr w:type="spellEnd"/>
      <w:r>
        <w:t xml:space="preserve"> research organizations (Helper et al., 2016). I</w:t>
      </w:r>
      <w:r>
        <w:t xml:space="preserve">n response to their feedback, the Trump administration has proposed the creation of Industry Recognized Apprenticeship Programs or IRAPs (U.S DOL, 2019).  IRAPs are an idea that was proposed as a way to circumvent the bureaucracy of the U.S. DOL Office of </w:t>
      </w:r>
    </w:p>
    <w:p w:rsidR="0023438A" w:rsidRDefault="00A02C86">
      <w:pPr>
        <w:ind w:left="435" w:right="777"/>
      </w:pPr>
      <w:r>
        <w:t>Apprenticeship approval process and allow Industry or Trade groups to approve their own apprenticeship frameworks. Essentially in this model, the U.S. DOL officials or state approving agencies will certify certain trade or industrial groups to accredit th</w:t>
      </w:r>
      <w:r>
        <w:t>eir own apprenticeship frameworks. As such, this would remove the Office of Apprenticeship from the registration process. The IRAP entity, which might be a local trade group such as a Restaurant Association or a Technical school, would then be accredited b</w:t>
      </w:r>
      <w:r>
        <w:t xml:space="preserve">y the Office of Apprenticeship to approve new employer’s apprenticeship frameworks.   </w:t>
      </w:r>
    </w:p>
    <w:p w:rsidR="0023438A" w:rsidRDefault="00A02C86">
      <w:pPr>
        <w:ind w:left="425" w:right="777" w:firstLine="360"/>
      </w:pPr>
      <w:r>
        <w:t xml:space="preserve"> </w:t>
      </w:r>
      <w:r>
        <w:tab/>
        <w:t xml:space="preserve">The concept of the IRAP regulatory change is based on agency law empowered by the Fitzgerald Act of 1937 (Apprenticeship.gov, 2019). This type of regulatory change is </w:t>
      </w:r>
      <w:r>
        <w:t xml:space="preserve">an example </w:t>
      </w:r>
      <w:r>
        <w:lastRenderedPageBreak/>
        <w:t>of agency law in which the Department of Labor was empowered to enact via the Fitzgerald Act statutes. However, Congress passed the Administrative Procedures Act, which requires all agencies to go through a standardized process called a notice o</w:t>
      </w:r>
      <w:r>
        <w:t>f proposed rulemaking (NPRM) (Federal Register, 2019).  NPRM is an important part of U.S. administrative law, which facilitates disclosure by typically creating a process of establishing the legal authority to make the regulatory change, gaining input from</w:t>
      </w:r>
      <w:r>
        <w:t xml:space="preserve"> key stakeholders, and taking of public comment. According to the law, the NPRM is the official public notice issued once all the initial steps are completed, and agency officials determine they want to proceed with implementing a rule change. The NPRM fac</w:t>
      </w:r>
      <w:r>
        <w:t xml:space="preserve">ilitates disclosure by typically creating a process of taking public comment. In the IRAP case, it topped 300,000 public comments (Apprenticeship.gov, 2019). </w:t>
      </w:r>
    </w:p>
    <w:p w:rsidR="0023438A" w:rsidRDefault="00A02C86">
      <w:pPr>
        <w:ind w:left="435" w:right="777"/>
      </w:pPr>
      <w:r>
        <w:t>Most of these comments are in opposition to the rule and appear to have some experience in a Unio</w:t>
      </w:r>
      <w:r>
        <w:t xml:space="preserve">n apprenticeship program. The respondents typically comment that the IRAP would water down the apprenticeship process and lessen the credibility of the institution. </w:t>
      </w:r>
    </w:p>
    <w:p w:rsidR="0023438A" w:rsidRDefault="00A02C86">
      <w:pPr>
        <w:spacing w:after="252" w:line="259" w:lineRule="auto"/>
        <w:ind w:left="800" w:firstLine="0"/>
      </w:pPr>
      <w:r>
        <w:t xml:space="preserve"> </w:t>
      </w:r>
    </w:p>
    <w:p w:rsidR="0023438A" w:rsidRDefault="00A02C86">
      <w:pPr>
        <w:spacing w:after="0" w:line="259" w:lineRule="auto"/>
        <w:ind w:left="800" w:firstLine="0"/>
      </w:pPr>
      <w:r>
        <w:t xml:space="preserve"> </w:t>
      </w:r>
    </w:p>
    <w:p w:rsidR="0023438A" w:rsidRDefault="00A02C86">
      <w:pPr>
        <w:pStyle w:val="Heading1"/>
        <w:ind w:left="435"/>
      </w:pPr>
      <w:r>
        <w:t xml:space="preserve">The Best Return on Investment </w:t>
      </w:r>
    </w:p>
    <w:p w:rsidR="0023438A" w:rsidRDefault="00A02C86">
      <w:pPr>
        <w:ind w:left="425" w:right="777" w:firstLine="720"/>
      </w:pPr>
      <w:r>
        <w:rPr>
          <w:b/>
        </w:rPr>
        <w:t xml:space="preserve">  </w:t>
      </w:r>
      <w:r>
        <w:t>Despite the high costs cited by Case Western University study (</w:t>
      </w:r>
      <w:proofErr w:type="spellStart"/>
      <w:r>
        <w:t>Hepler</w:t>
      </w:r>
      <w:proofErr w:type="spellEnd"/>
      <w:r>
        <w:t xml:space="preserve"> et al., 2016), the same study presented evidence on the comprehensive value of an apprenticeship to all of the financial stakeholders: participants, businesses, and taxpayers. The study </w:t>
      </w:r>
      <w:r>
        <w:t>reports 40 to 50% returns for two expensive apprenticeship programs founded by two of the corporate case studies. Siemens USA is one of the thirteen companies profiled in the Case Western study, which reported to see at least a 50 percent rate of return on</w:t>
      </w:r>
      <w:r>
        <w:t xml:space="preserve"> its apprenticeship program, compared to traditional methods of recruitment. (Helper et al., 2016). However, several flaws are apparent in this case study report. First, the employers are self-reporting their monetary contributions to developing the appren</w:t>
      </w:r>
      <w:r>
        <w:t xml:space="preserve">ticeship from inception to completion. The possibility exists that these numbers could be inflated to inspire larger funding requests. Furthermore, the employers </w:t>
      </w:r>
      <w:r>
        <w:lastRenderedPageBreak/>
        <w:t>included all associated costs, direct and indirect, which include the apprentice’s wages durin</w:t>
      </w:r>
      <w:r>
        <w:t xml:space="preserve">g the four years of on-the-job training. The organization would have incurred much of these expenses, which reportedly can reach $260,000 should they hire a non-apprentice employee. Additional research is needed to clarify the actual costs of starting and </w:t>
      </w:r>
      <w:r>
        <w:t xml:space="preserve">maintaining an apprenticeship program to confirm the Case Western data. It stands to reason the return on investment could be better than 50% if the expense figures are accurately verified.  </w:t>
      </w:r>
    </w:p>
    <w:p w:rsidR="0023438A" w:rsidRDefault="00A02C86">
      <w:pPr>
        <w:ind w:left="435" w:right="777"/>
      </w:pPr>
      <w:r>
        <w:t xml:space="preserve">  </w:t>
      </w:r>
      <w:r>
        <w:tab/>
        <w:t>Even with the purportedly high costs, according to Hollenbeck</w:t>
      </w:r>
      <w:r>
        <w:t xml:space="preserve"> and Huang (2016), apprenticeships’ return on investment far outweighed the benefits of other modes of workforce development, including the historically low-cost community college system. The College Board (2017) projected federal aid expenditures on all g</w:t>
      </w:r>
      <w:r>
        <w:t>raduate and undergraduate students, which includes community college funding in 2016–17 was $153.9 billion; in 2015–16, it was $157.4 billion. The National Center for Education Statistics reports that at the postsecondary level, the United States spent $27</w:t>
      </w:r>
      <w:r>
        <w:t>,900 per FTE student, 89 percent higher than the international average of $14,800 (</w:t>
      </w:r>
      <w:proofErr w:type="spellStart"/>
      <w:r>
        <w:t>Lerman</w:t>
      </w:r>
      <w:proofErr w:type="spellEnd"/>
      <w:r>
        <w:t>, 2018). Apprenticeship funding pales in comparison at less than 1% (.3%) of federal aid spending. This percentage translates to an average cost per apprentice is $1,0</w:t>
      </w:r>
      <w:r>
        <w:t>00, and since these individuals are tax-paying, wage-earning employees from day one while receiving this funding, the net cost is near budget neutral (Hollenbeck &amp; Huang, 2016). There is room to increase funding with minimal budgetary impact for the countr</w:t>
      </w:r>
      <w:r>
        <w:t xml:space="preserve">y drastically.  </w:t>
      </w:r>
    </w:p>
    <w:p w:rsidR="0023438A" w:rsidRDefault="00A02C86">
      <w:pPr>
        <w:ind w:left="425" w:right="777" w:firstLine="720"/>
      </w:pPr>
      <w:r>
        <w:rPr>
          <w:b/>
        </w:rPr>
        <w:t>Apprenticeships drive economic development.</w:t>
      </w:r>
      <w:r>
        <w:t xml:space="preserve"> The U.S. economy has a well-known need for more technically trained, skilled employees. </w:t>
      </w:r>
      <w:proofErr w:type="spellStart"/>
      <w:r>
        <w:t>Gordan</w:t>
      </w:r>
      <w:proofErr w:type="spellEnd"/>
      <w:r>
        <w:t xml:space="preserve"> (2015) refers to the findings from hundreds of studies, reports, and surveys done on the subject by </w:t>
      </w:r>
      <w:r>
        <w:t>renowned organizations like Deloitte, Harvard, and Brookings Institution as the looming human capital time bomb. The skills gap is estimated to leave an estimated 2.4 million positions unfilled between 2018 and 2028 due to the replacement demand created by</w:t>
      </w:r>
      <w:r>
        <w:t xml:space="preserve"> retired baby boomers and natural economic expansion (</w:t>
      </w:r>
      <w:proofErr w:type="spellStart"/>
      <w:r>
        <w:t>Giffi</w:t>
      </w:r>
      <w:proofErr w:type="spellEnd"/>
      <w:r>
        <w:t xml:space="preserve"> et al., 2018). The acquisition of skilled talent is the primary driver of manufacturing competitiveness, and the talent pipeline appears to be at a critical level (</w:t>
      </w:r>
      <w:proofErr w:type="spellStart"/>
      <w:r>
        <w:t>Giffi</w:t>
      </w:r>
      <w:proofErr w:type="spellEnd"/>
      <w:r>
        <w:t xml:space="preserve"> et al., 2018). These </w:t>
      </w:r>
      <w:r>
        <w:lastRenderedPageBreak/>
        <w:t>highl</w:t>
      </w:r>
      <w:r>
        <w:t>y sought after skilled talents exist in the middle-skill job classification in the U.S. economy that pays on average between $35,000 and $95,000 a year. About half of these jobs require postsecondary education, some college, or an associate’s degree, but l</w:t>
      </w:r>
      <w:r>
        <w:t xml:space="preserve">ess than a bachelor’s degree (National Skills Coalition, 2017). With apprenticeship’s legacy in skilled trades, filling the manufacturing skills gaps is a logical solution.  </w:t>
      </w:r>
    </w:p>
    <w:p w:rsidR="0023438A" w:rsidRDefault="00A02C86">
      <w:pPr>
        <w:ind w:left="425" w:right="777" w:firstLine="720"/>
      </w:pPr>
      <w:r>
        <w:t xml:space="preserve">The need for skilled workers was the most common factor cited by businesses that </w:t>
      </w:r>
      <w:r>
        <w:t xml:space="preserve">started apprenticeship programs (Helper et al., 2016; </w:t>
      </w:r>
      <w:proofErr w:type="spellStart"/>
      <w:r>
        <w:t>Lerman</w:t>
      </w:r>
      <w:proofErr w:type="spellEnd"/>
      <w:r>
        <w:t xml:space="preserve">, 2018; </w:t>
      </w:r>
      <w:proofErr w:type="spellStart"/>
      <w:r>
        <w:t>Lerman</w:t>
      </w:r>
      <w:proofErr w:type="spellEnd"/>
      <w:r>
        <w:t xml:space="preserve"> et al., 2019). Buhler </w:t>
      </w:r>
      <w:proofErr w:type="spellStart"/>
      <w:r>
        <w:t>Aeroglide</w:t>
      </w:r>
      <w:proofErr w:type="spellEnd"/>
      <w:r>
        <w:t xml:space="preserve">, Siemens, and Max </w:t>
      </w:r>
      <w:proofErr w:type="spellStart"/>
      <w:r>
        <w:t>Daetwyler</w:t>
      </w:r>
      <w:proofErr w:type="spellEnd"/>
      <w:r>
        <w:t xml:space="preserve"> Corporation, three European-based manufacturing firms with plants in North Carolina, reported that without their apprenti</w:t>
      </w:r>
      <w:r>
        <w:t>ceship programs, it would have been extremely difficult to find workers with the skills they are looking for in the local labor market (</w:t>
      </w:r>
      <w:proofErr w:type="spellStart"/>
      <w:r>
        <w:t>ApprenticeshipNC</w:t>
      </w:r>
      <w:proofErr w:type="spellEnd"/>
      <w:r>
        <w:t>, 2019). In some cases, the skills gap forces employers to leave positions unfilled, requiring them to d</w:t>
      </w:r>
      <w:r>
        <w:t xml:space="preserve">ecline contracts or significantly postpone output. One company reported that they delayed plant expansion plans until the apprenticeship infrastructure was in place (Helper et al., 2016). </w:t>
      </w:r>
    </w:p>
    <w:p w:rsidR="0023438A" w:rsidRDefault="00A02C86">
      <w:pPr>
        <w:ind w:left="425" w:right="777" w:firstLine="720"/>
      </w:pPr>
      <w:r>
        <w:rPr>
          <w:b/>
        </w:rPr>
        <w:t xml:space="preserve">Apprentices are already employees.  </w:t>
      </w:r>
      <w:r>
        <w:t>Apprenticeships are characteriz</w:t>
      </w:r>
      <w:r>
        <w:t xml:space="preserve">ed by </w:t>
      </w:r>
      <w:proofErr w:type="gramStart"/>
      <w:r>
        <w:t>the earn</w:t>
      </w:r>
      <w:proofErr w:type="gramEnd"/>
      <w:r>
        <w:t xml:space="preserve"> and learn model where participants are paid to work while also receiving an education (U.S. Department of Labor, 2019). From the first day on the job, the clear advantage of apprenticeship over other WBL models is that the student is already</w:t>
      </w:r>
      <w:r>
        <w:t xml:space="preserve"> regarded as an employee. This early commitment from both the student and employer results in 91 percent of apprentices finding employment after completing their program, and their average starting wage is above $60,000 </w:t>
      </w:r>
    </w:p>
    <w:p w:rsidR="0023438A" w:rsidRDefault="00A02C86">
      <w:pPr>
        <w:ind w:left="435" w:right="777"/>
      </w:pPr>
      <w:r>
        <w:t>(Helper et al., 2016). The uncertai</w:t>
      </w:r>
      <w:r>
        <w:t>nty of future job offers is nonexistent in the PWRA. Studies on U.S. based apprenticeship programs indicate that apprentices do not sacrifice the opportunity cost of lost earnings during their education and training and that their long-term earnings benefi</w:t>
      </w:r>
      <w:r>
        <w:t>ts exceed the gains of completing an associate degree at a two-year public college (Reed et al., 2012). Workforce development reports from the state of Washington indicate that the gains to earnings from apprenticeship programs far surpass the gains to all</w:t>
      </w:r>
      <w:r>
        <w:t xml:space="preserve"> other alternatives (Hollenbeck </w:t>
      </w:r>
      <w:r>
        <w:lastRenderedPageBreak/>
        <w:t xml:space="preserve">&amp; Huang, 2016). A wide-ranging study of apprenticeship in </w:t>
      </w:r>
      <w:proofErr w:type="gramStart"/>
      <w:r>
        <w:t>ten U.S. states</w:t>
      </w:r>
      <w:proofErr w:type="gramEnd"/>
      <w:r>
        <w:t xml:space="preserve"> also documents substantial and statistically significant earnings gains from participation in apprenticeship programs (Reed et al., 2012).  </w:t>
      </w:r>
    </w:p>
    <w:p w:rsidR="0023438A" w:rsidRDefault="00A02C86">
      <w:pPr>
        <w:ind w:left="435" w:right="777"/>
      </w:pPr>
      <w:r>
        <w:t xml:space="preserve"> </w:t>
      </w:r>
      <w:r>
        <w:tab/>
      </w:r>
      <w:r>
        <w:rPr>
          <w:b/>
        </w:rPr>
        <w:t xml:space="preserve">New models and occupational expansion. </w:t>
      </w:r>
      <w:r>
        <w:t xml:space="preserve">The PWRA offers a broader appeal to many new occupational sectors as well as higher education. Prior to the WIOA legislation, only a few dozen </w:t>
      </w:r>
      <w:proofErr w:type="spellStart"/>
      <w:r>
        <w:t>apprenticeable</w:t>
      </w:r>
      <w:proofErr w:type="spellEnd"/>
      <w:r>
        <w:t xml:space="preserve"> occupations existed in DOL’s archives. This previous limita</w:t>
      </w:r>
      <w:r>
        <w:t xml:space="preserve">tion in the statute formed the basis for the public’s general perception that apprenticeships were confined to the construction and skilled </w:t>
      </w:r>
      <w:proofErr w:type="gramStart"/>
      <w:r>
        <w:t>trades</w:t>
      </w:r>
      <w:proofErr w:type="gramEnd"/>
      <w:r>
        <w:t xml:space="preserve"> arena (</w:t>
      </w:r>
      <w:proofErr w:type="spellStart"/>
      <w:r>
        <w:t>Holzer</w:t>
      </w:r>
      <w:proofErr w:type="spellEnd"/>
      <w:r>
        <w:t xml:space="preserve"> &amp; </w:t>
      </w:r>
      <w:proofErr w:type="spellStart"/>
      <w:r>
        <w:t>Lerman</w:t>
      </w:r>
      <w:proofErr w:type="spellEnd"/>
      <w:r>
        <w:t>, 2014). Moreover, the requirements limited approved registered apprenticeship programs</w:t>
      </w:r>
      <w:r>
        <w:t xml:space="preserve"> to a time-based measurement for successful completion. With the passage of the new law, the legislature opened the door to new definitions of apprenticeship framework and models for successful completion.  </w:t>
      </w:r>
    </w:p>
    <w:p w:rsidR="0023438A" w:rsidRDefault="00A02C86">
      <w:pPr>
        <w:spacing w:after="252" w:line="259" w:lineRule="auto"/>
        <w:ind w:left="1160" w:firstLine="0"/>
      </w:pPr>
      <w:r>
        <w:rPr>
          <w:b/>
          <w:i/>
        </w:rPr>
        <w:t>Student apprentice and degree apprenticeship</w:t>
      </w:r>
      <w:r>
        <w:rPr>
          <w:b/>
        </w:rPr>
        <w:t xml:space="preserve">. </w:t>
      </w:r>
      <w:r>
        <w:t>Th</w:t>
      </w:r>
      <w:r>
        <w:t xml:space="preserve">e new regulations allow for: </w:t>
      </w:r>
    </w:p>
    <w:p w:rsidR="0023438A" w:rsidRDefault="00A02C86">
      <w:pPr>
        <w:ind w:left="425" w:right="777" w:firstLine="720"/>
      </w:pPr>
      <w:r>
        <w:t>A Student-Apprentice is a student or apprentice who meets the definition of a regular student as defined by the Higher Education Act, 34 CFR Part 600, and an apprentice as defined by the National Apprenticeship Act, 29 CFR Par</w:t>
      </w:r>
      <w:r>
        <w:t xml:space="preserve">t 29.2 ( McCarthy, Palmer, &amp; </w:t>
      </w:r>
      <w:proofErr w:type="spellStart"/>
      <w:r>
        <w:t>Prebil</w:t>
      </w:r>
      <w:proofErr w:type="spellEnd"/>
      <w:r>
        <w:t xml:space="preserve">, 2017, p. 5). </w:t>
      </w:r>
    </w:p>
    <w:p w:rsidR="0023438A" w:rsidRDefault="00A02C86">
      <w:pPr>
        <w:ind w:left="425" w:right="777" w:firstLine="720"/>
      </w:pPr>
      <w:r>
        <w:t>A Degree Apprenticeship is an apprenticeship program that meets the standards established in the National Apprenticeship Act 29 CFR Part 29 and the requirements of a postsecondary degree program as establi</w:t>
      </w:r>
      <w:r>
        <w:t xml:space="preserve">shed by the relevant state education agency in the state where the program is delivered (McCarthy, Palmer, &amp; </w:t>
      </w:r>
      <w:proofErr w:type="spellStart"/>
      <w:r>
        <w:t>Prebil</w:t>
      </w:r>
      <w:proofErr w:type="spellEnd"/>
      <w:r>
        <w:t xml:space="preserve">, 2017, p. 6). </w:t>
      </w:r>
    </w:p>
    <w:p w:rsidR="0023438A" w:rsidRDefault="00A02C86">
      <w:pPr>
        <w:ind w:left="435" w:right="777"/>
      </w:pPr>
      <w:r>
        <w:t xml:space="preserve"> </w:t>
      </w:r>
      <w:r>
        <w:tab/>
        <w:t>These definitions create a massive opportunity and a direct pathway for the integration of higher education into newly inno</w:t>
      </w:r>
      <w:r>
        <w:t xml:space="preserve">vative apprenticeship frameworks. Currently, the challenge for postsecondary officials is an absence in their governing statutes to allow inclusion for traditional </w:t>
      </w:r>
    </w:p>
    <w:p w:rsidR="0023438A" w:rsidRDefault="00A02C86">
      <w:pPr>
        <w:ind w:left="435" w:right="777"/>
      </w:pPr>
      <w:r>
        <w:t xml:space="preserve">Registered Apprenticeship frameworks into curriculum plans (McCarthy, Palmer, &amp; </w:t>
      </w:r>
      <w:proofErr w:type="spellStart"/>
      <w:r>
        <w:t>Prebil</w:t>
      </w:r>
      <w:proofErr w:type="spellEnd"/>
      <w:r>
        <w:t>, 201</w:t>
      </w:r>
      <w:r>
        <w:t>7). Codifying these definitions in regulatory policy connects funding sources for the betterment of the student by allowing Title IV Student Aid to be accessed for costs associated with related technical instruction credits. In addition, the hybrid and com</w:t>
      </w:r>
      <w:r>
        <w:t xml:space="preserve">petency-based </w:t>
      </w:r>
      <w:r>
        <w:lastRenderedPageBreak/>
        <w:t>apprenticeships fit seamlessly into a student apprentice or degree apprenticeship because the classroom time is able to count toward the apprenticeship attainment. The student can then demonstrate their skill proficiency on-the-job and furthe</w:t>
      </w:r>
      <w:r>
        <w:t xml:space="preserve">r accelerate their progress in the competency-based model.  Decker (2019) found that student perceptions of apprenticeship improved greatly with the integration of college degree attainment. The students liked the potential of being able to leverage their </w:t>
      </w:r>
      <w:r>
        <w:t xml:space="preserve">earned credits and tuition assistance that an apprenticeship agreement provided.  In this model, the students gain credentials that belong to them, not the employers. </w:t>
      </w:r>
    </w:p>
    <w:p w:rsidR="0023438A" w:rsidRDefault="00A02C86">
      <w:pPr>
        <w:ind w:left="435" w:right="777"/>
      </w:pPr>
      <w:r>
        <w:t xml:space="preserve"> </w:t>
      </w:r>
      <w:r>
        <w:tab/>
      </w:r>
      <w:r>
        <w:rPr>
          <w:b/>
        </w:rPr>
        <w:t xml:space="preserve">Blue collar no longer. </w:t>
      </w:r>
      <w:r>
        <w:t xml:space="preserve">The PWRA expanded the total number of </w:t>
      </w:r>
      <w:proofErr w:type="spellStart"/>
      <w:r>
        <w:t>apprenticeable</w:t>
      </w:r>
      <w:proofErr w:type="spellEnd"/>
      <w:r>
        <w:t xml:space="preserve"> occupation</w:t>
      </w:r>
      <w:r>
        <w:t xml:space="preserve">s to over 1,000 employment titles in all sectors of the economy (Fuller &amp; </w:t>
      </w:r>
      <w:proofErr w:type="spellStart"/>
      <w:r>
        <w:t>Sigelman</w:t>
      </w:r>
      <w:proofErr w:type="spellEnd"/>
      <w:r>
        <w:t xml:space="preserve">, 2017).  This further reinforces the opportunity to align with higher education degrees because nearly every degree program from associate to master’s level could find some </w:t>
      </w:r>
      <w:r>
        <w:t xml:space="preserve">relevance in the list of 1,000 occupations. Fuller and </w:t>
      </w:r>
      <w:proofErr w:type="spellStart"/>
      <w:r>
        <w:t>Sigelman</w:t>
      </w:r>
      <w:proofErr w:type="spellEnd"/>
      <w:r>
        <w:t xml:space="preserve"> (2017) targeted approximately 47 expander and booster occupations from this list that encompass healthcare, technology, engineering, and business fields that best align with an apprenticeship.</w:t>
      </w:r>
      <w:r>
        <w:t xml:space="preserve"> An Urban Institute study found that the overwhelming majority of sub-baccalaureate STEM-related programs fit the description for apprenticeship expansion (Kuehn &amp; Jones, 2018). The report even went so far as to say that as a matter of standard operating p</w:t>
      </w:r>
      <w:r>
        <w:t>rocedure, college-level STEM programs should attempt to include apprenticeship as a career pathway option. The researchers defined the term STEM Apprenticeship and concluded it could be a beneficial way for institutions to offset the high training costs of</w:t>
      </w:r>
      <w:r>
        <w:t xml:space="preserve">ten associated with technology purchases in STEM education (Kuehn &amp; Jones, 2018). </w:t>
      </w:r>
    </w:p>
    <w:p w:rsidR="0023438A" w:rsidRDefault="00A02C86">
      <w:pPr>
        <w:ind w:left="435" w:right="777"/>
      </w:pPr>
      <w:r>
        <w:t xml:space="preserve"> </w:t>
      </w:r>
      <w:r>
        <w:tab/>
        <w:t>Realistically, apprenticeship is not going to immediately replace all forms of experiential learning in higher education or be accepted by all curriculum planners.  Howeve</w:t>
      </w:r>
      <w:r>
        <w:t xml:space="preserve">r, there is enough evidence to demonstrate the positive influence of apprenticeship on student learning and achievement. This form of WBL can easily become another instructional tool or career pathway </w:t>
      </w:r>
      <w:r>
        <w:lastRenderedPageBreak/>
        <w:t>for schools to provide their students.  After all, educ</w:t>
      </w:r>
      <w:r>
        <w:t xml:space="preserve">ation should be about providing choices and options to the educator and the learner that best enables everyone to succeed. These pathways are going to look different to different schools, and a one-size-fits-all approach is rarely the best approach.  </w:t>
      </w:r>
    </w:p>
    <w:p w:rsidR="0023438A" w:rsidRDefault="00A02C86">
      <w:pPr>
        <w:pStyle w:val="Heading1"/>
        <w:ind w:left="435"/>
      </w:pPr>
      <w:r>
        <w:t>Conc</w:t>
      </w:r>
      <w:r>
        <w:t xml:space="preserve">lusion </w:t>
      </w:r>
    </w:p>
    <w:p w:rsidR="0023438A" w:rsidRDefault="00A02C86">
      <w:pPr>
        <w:ind w:left="425" w:right="777" w:firstLine="720"/>
      </w:pPr>
      <w:r>
        <w:t xml:space="preserve">“Employers, educators, and policymakers recognize apprenticeship as a gold standard for postsecondary workforce development. Yet it has proven surprisingly difficult to scale apprenticeship in the United States” (Jacoby &amp; </w:t>
      </w:r>
      <w:proofErr w:type="spellStart"/>
      <w:r>
        <w:t>Lerman</w:t>
      </w:r>
      <w:proofErr w:type="spellEnd"/>
      <w:r>
        <w:t>, 2019, p. 9).  Nati</w:t>
      </w:r>
      <w:r>
        <w:t>onally, the higher education sector, as evidenced by enrollment data and national survey research, has some significant headwinds in the court of public opinion (</w:t>
      </w:r>
      <w:proofErr w:type="spellStart"/>
      <w:r>
        <w:t>Strada</w:t>
      </w:r>
      <w:proofErr w:type="spellEnd"/>
      <w:r>
        <w:t xml:space="preserve"> Education Network, 2018). In spring </w:t>
      </w:r>
    </w:p>
    <w:p w:rsidR="0023438A" w:rsidRDefault="00A02C86">
      <w:pPr>
        <w:spacing w:after="201"/>
        <w:ind w:left="435" w:right="777"/>
      </w:pPr>
      <w:r>
        <w:t>2019, college enrollments were down again by 1.7%,</w:t>
      </w:r>
      <w:r>
        <w:t xml:space="preserve"> marking the eighth straight year of declines (National Student Clearinghouse, 2019). Worse still, the rates are predicted to fall by 15% between 2025 and 2029 (</w:t>
      </w:r>
      <w:proofErr w:type="spellStart"/>
      <w:r>
        <w:t>Grawe</w:t>
      </w:r>
      <w:proofErr w:type="spellEnd"/>
      <w:r>
        <w:t>, 2018).  These declines are due in part to population shifts but also to a decline in the</w:t>
      </w:r>
      <w:r>
        <w:t xml:space="preserve"> perceived value of an education. The top reason students, parents, and the public value higher education is to get a good job (</w:t>
      </w:r>
      <w:proofErr w:type="spellStart"/>
      <w:r>
        <w:t>Strada</w:t>
      </w:r>
      <w:proofErr w:type="spellEnd"/>
      <w:r>
        <w:t xml:space="preserve"> Education Network, 2018). Likewise, the PWRA apprenticeship, while presently enjoying bipartisan support, faces long-term</w:t>
      </w:r>
      <w:r>
        <w:t xml:space="preserve"> funding concerns if substantial growth targets are not met (Jones, 2017). Additional research is needed to determine the reason for </w:t>
      </w:r>
      <w:proofErr w:type="gramStart"/>
      <w:r>
        <w:t>the disconnect</w:t>
      </w:r>
      <w:proofErr w:type="gramEnd"/>
      <w:r>
        <w:t xml:space="preserve"> between employers and educators, knowing the value of apprenticeship and taking the necessary steps to make </w:t>
      </w:r>
      <w:r>
        <w:t xml:space="preserve">apprenticeship expansion a reality.    </w:t>
      </w:r>
    </w:p>
    <w:p w:rsidR="0023438A" w:rsidRDefault="00A02C86">
      <w:pPr>
        <w:spacing w:after="0" w:line="259" w:lineRule="auto"/>
        <w:ind w:left="440" w:firstLine="0"/>
      </w:pPr>
      <w:r>
        <w:rPr>
          <w:b/>
        </w:rPr>
        <w:t xml:space="preserve"> </w:t>
      </w:r>
      <w:r>
        <w:rPr>
          <w:b/>
        </w:rPr>
        <w:tab/>
        <w:t xml:space="preserve"> </w:t>
      </w:r>
    </w:p>
    <w:p w:rsidR="0023438A" w:rsidRDefault="00A02C86">
      <w:pPr>
        <w:spacing w:after="249" w:line="259" w:lineRule="auto"/>
        <w:ind w:left="907" w:right="1239"/>
        <w:jc w:val="center"/>
      </w:pPr>
      <w:r>
        <w:rPr>
          <w:b/>
        </w:rPr>
        <w:t xml:space="preserve">CHAPTER III:  </w:t>
      </w:r>
    </w:p>
    <w:p w:rsidR="0023438A" w:rsidRDefault="00A02C86">
      <w:pPr>
        <w:pStyle w:val="Heading1"/>
        <w:spacing w:after="249"/>
        <w:ind w:right="1239"/>
        <w:jc w:val="center"/>
      </w:pPr>
      <w:r>
        <w:t xml:space="preserve">Methodology </w:t>
      </w:r>
    </w:p>
    <w:p w:rsidR="0023438A" w:rsidRDefault="00A02C86">
      <w:pPr>
        <w:spacing w:after="122"/>
        <w:ind w:left="425" w:right="777" w:firstLine="720"/>
      </w:pPr>
      <w:r>
        <w:t xml:space="preserve">The purpose of this study was to investigate the perceptions and experiences of employers and higher education officials regarding the barrier and disconnects to aligning the PWRA and </w:t>
      </w:r>
      <w:r>
        <w:t xml:space="preserve">postsecondary education. The findings uniquely contributed to the body of knowledge because there is a paucity of research evaluating the opportunities for alignment between the higher </w:t>
      </w:r>
      <w:r>
        <w:lastRenderedPageBreak/>
        <w:t>education and employer apprenticeship community.  The design utilized c</w:t>
      </w:r>
      <w:r>
        <w:t xml:space="preserve">ross-sectional survey research of two populations. The researcher utilized parallel </w:t>
      </w:r>
      <w:proofErr w:type="spellStart"/>
      <w:r>
        <w:t>selfconstructed</w:t>
      </w:r>
      <w:proofErr w:type="spellEnd"/>
      <w:r>
        <w:t xml:space="preserve"> scales consisting of mainly closed-ended questions delivered via an online questionnaire utilizing the </w:t>
      </w:r>
      <w:proofErr w:type="spellStart"/>
      <w:r>
        <w:t>SurveyMonkey</w:t>
      </w:r>
      <w:proofErr w:type="spellEnd"/>
      <w:r>
        <w:t xml:space="preserve"> online system. The participants were two</w:t>
      </w:r>
      <w:r>
        <w:t>-year degree-granting postsecondary institutions and employers who actively engage with those institutions for their personnel needs or workforce partnerships. By utilizing this quantitative approach, the researcher intends to describe the opportunities fo</w:t>
      </w:r>
      <w:r>
        <w:t xml:space="preserve">r alignment and areas of disconnect between employers and the higher education community as it relates to expanded collaboration on apprenticeship. This chapter describes the context, research design participants, </w:t>
      </w:r>
      <w:proofErr w:type="gramStart"/>
      <w:r>
        <w:t>statement</w:t>
      </w:r>
      <w:proofErr w:type="gramEnd"/>
      <w:r>
        <w:t xml:space="preserve"> of the problem, research questio</w:t>
      </w:r>
      <w:r>
        <w:t xml:space="preserve">ns, and procedures for the study. </w:t>
      </w:r>
    </w:p>
    <w:p w:rsidR="0023438A" w:rsidRDefault="00A02C86">
      <w:pPr>
        <w:pStyle w:val="Heading1"/>
        <w:spacing w:after="316"/>
        <w:ind w:left="435"/>
      </w:pPr>
      <w:r>
        <w:t xml:space="preserve">Problem Statement </w:t>
      </w:r>
    </w:p>
    <w:p w:rsidR="0023438A" w:rsidRDefault="00A02C86">
      <w:pPr>
        <w:ind w:left="425" w:right="935" w:firstLine="720"/>
      </w:pPr>
      <w:r>
        <w:t>Given the growing skills gap, the need for a highly trained workforce, and substantial increases in federal funding, apprenticeship growth has continually fallen short of Department of Labor growth expectations. Apprenticeships graduated approximately 72,0</w:t>
      </w:r>
      <w:r>
        <w:t xml:space="preserve">00 apprentices in </w:t>
      </w:r>
    </w:p>
    <w:p w:rsidR="0023438A" w:rsidRDefault="00A02C86">
      <w:pPr>
        <w:spacing w:after="122"/>
        <w:ind w:left="435" w:right="777"/>
      </w:pPr>
      <w:r>
        <w:t>2018. In total, 585,000 people participated in apprenticeship programs in the United States in 2019 (U.S. DOL, 2019). Approximately two million students received bachelor’s degrees the same year (National Student Clearinghouse, 2019). Ac</w:t>
      </w:r>
      <w:r>
        <w:t xml:space="preserve">ross the United States, individuals working under apprenticeship programs comprise 0.2% of the total workforce, which is far lower than the participation rate seen in the country’s European counterparts. There is </w:t>
      </w:r>
      <w:proofErr w:type="gramStart"/>
      <w:r>
        <w:t>a disconnect</w:t>
      </w:r>
      <w:proofErr w:type="gramEnd"/>
      <w:r>
        <w:t xml:space="preserve"> between the educational and em</w:t>
      </w:r>
      <w:r>
        <w:t xml:space="preserve">ployer community regarding the potential synergies for PWRA growth. This study investigated the perceived barriers that contribute to this disconnect. </w:t>
      </w:r>
    </w:p>
    <w:p w:rsidR="0023438A" w:rsidRDefault="00A02C86">
      <w:pPr>
        <w:pStyle w:val="Heading1"/>
        <w:ind w:left="435"/>
      </w:pPr>
      <w:r>
        <w:t xml:space="preserve">Research Questions </w:t>
      </w:r>
    </w:p>
    <w:p w:rsidR="0023438A" w:rsidRDefault="00A02C86">
      <w:pPr>
        <w:tabs>
          <w:tab w:val="center" w:pos="440"/>
          <w:tab w:val="center" w:pos="4274"/>
        </w:tabs>
        <w:spacing w:after="261" w:line="259" w:lineRule="auto"/>
        <w:ind w:left="0" w:firstLine="0"/>
      </w:pPr>
      <w:r>
        <w:rPr>
          <w:rFonts w:ascii="Calibri" w:eastAsia="Calibri" w:hAnsi="Calibri" w:cs="Calibri"/>
          <w:sz w:val="22"/>
        </w:rPr>
        <w:tab/>
      </w:r>
      <w:r>
        <w:t xml:space="preserve"> </w:t>
      </w:r>
      <w:r>
        <w:tab/>
        <w:t xml:space="preserve">The following research questions were investigated in this study. </w:t>
      </w:r>
    </w:p>
    <w:p w:rsidR="0023438A" w:rsidRDefault="00A02C86">
      <w:pPr>
        <w:numPr>
          <w:ilvl w:val="0"/>
          <w:numId w:val="5"/>
        </w:numPr>
        <w:ind w:right="1552" w:hanging="240"/>
      </w:pPr>
      <w:r>
        <w:lastRenderedPageBreak/>
        <w:t>What are the p</w:t>
      </w:r>
      <w:r>
        <w:t xml:space="preserve">erceptions and experiences of small and medium-size employers and the postsecondary, Career and Technical Education providers regarding apprenticeship programs? </w:t>
      </w:r>
    </w:p>
    <w:p w:rsidR="0023438A" w:rsidRDefault="00A02C86">
      <w:pPr>
        <w:numPr>
          <w:ilvl w:val="0"/>
          <w:numId w:val="5"/>
        </w:numPr>
        <w:ind w:right="1552" w:hanging="240"/>
      </w:pPr>
      <w:r>
        <w:t xml:space="preserve">What are the perceived barriers/disconnects and opportunities for alignment between small and </w:t>
      </w:r>
      <w:r>
        <w:t xml:space="preserve">medium-size employers and the postsecondary, Career and Technical Education providers regarding starting new Registered Apprenticeship program offerings? </w:t>
      </w:r>
    </w:p>
    <w:p w:rsidR="0023438A" w:rsidRDefault="00A02C86">
      <w:pPr>
        <w:pStyle w:val="Heading1"/>
        <w:ind w:left="649"/>
      </w:pPr>
      <w:r>
        <w:t xml:space="preserve">Research Design </w:t>
      </w:r>
    </w:p>
    <w:p w:rsidR="0023438A" w:rsidRDefault="00A02C86">
      <w:pPr>
        <w:ind w:left="425" w:right="777" w:firstLine="439"/>
      </w:pPr>
      <w:r>
        <w:t xml:space="preserve"> </w:t>
      </w:r>
      <w:r>
        <w:tab/>
        <w:t>A descriptive, cross-sectional survey design was used for this study. According to</w:t>
      </w:r>
      <w:r>
        <w:t xml:space="preserve"> </w:t>
      </w:r>
      <w:proofErr w:type="spellStart"/>
      <w:r>
        <w:t>Mertler</w:t>
      </w:r>
      <w:proofErr w:type="spellEnd"/>
      <w:r>
        <w:t xml:space="preserve"> (2018), the purpose of descriptive studies is to describe and interpret the current status as it exists naturally of individuals, conditions, events, or settings without any attempt at manipulation. Survey research is one of the most common types </w:t>
      </w:r>
      <w:r>
        <w:t>of descriptive research. In addition, Creswell and Creswell (2017) assert that survey research is well suited for the educational field in that it can help identify individuals’ attitudes and beliefs that provide insights and patterns addressing the phenom</w:t>
      </w:r>
      <w:r>
        <w:t xml:space="preserve">ena of focus. This study gathered information regarding employers and higher education officials’ perceptions of apprenticeship programming. </w:t>
      </w:r>
    </w:p>
    <w:p w:rsidR="0023438A" w:rsidRDefault="00A02C86">
      <w:pPr>
        <w:ind w:left="425" w:right="777" w:firstLine="439"/>
      </w:pPr>
      <w:r>
        <w:t>Two web-based questionnaires were distributed over a six week period to identify current perceptions of higher edu</w:t>
      </w:r>
      <w:r>
        <w:t xml:space="preserve">cation officials and employers. The findings from this study included the perceived benefits and barriers educators and employers associate with apprenticeship programming.  </w:t>
      </w:r>
    </w:p>
    <w:p w:rsidR="0023438A" w:rsidRDefault="00A02C86">
      <w:pPr>
        <w:pStyle w:val="Heading1"/>
        <w:ind w:left="435"/>
      </w:pPr>
      <w:r>
        <w:t xml:space="preserve">Target Population, Sampling Method, and Related Procedures </w:t>
      </w:r>
    </w:p>
    <w:p w:rsidR="0023438A" w:rsidRDefault="00A02C86">
      <w:pPr>
        <w:spacing w:after="115"/>
        <w:ind w:left="425" w:right="1003" w:firstLine="720"/>
      </w:pPr>
      <w:r>
        <w:t>The target population</w:t>
      </w:r>
      <w:r>
        <w:t xml:space="preserve"> for this study included employers that engaged in new hire recruitment and retention activities and institutions from the two-year degree-granting postsecondary institutions sector of higher education (also referred to as community colleges, trade schools</w:t>
      </w:r>
      <w:r>
        <w:t xml:space="preserve">, technical schools or colleges, proprietary schools, postsecondary vocational education, or for-profit schools) in the mid-Atlantic region of the United States. The employers </w:t>
      </w:r>
      <w:r>
        <w:lastRenderedPageBreak/>
        <w:t>surveyed for this sample were accessed through a database of one two-year region</w:t>
      </w:r>
      <w:r>
        <w:t xml:space="preserve">al </w:t>
      </w:r>
      <w:proofErr w:type="spellStart"/>
      <w:r>
        <w:t>degreegranting</w:t>
      </w:r>
      <w:proofErr w:type="spellEnd"/>
      <w:r>
        <w:t xml:space="preserve"> technical school with four locations in Pennsylvania and West Virginia. The database provided a representative sample of a broader population of employers who recruit and engage with trade and technical colleges across for a portion of th</w:t>
      </w:r>
      <w:r>
        <w:t>eir new hire resources. The employer information was entered into the database with permission by the employers for the purposes of supporting the college’s career outreach efforts for events such as job fairs, program advising, school newsletters, graduat</w:t>
      </w:r>
      <w:r>
        <w:t xml:space="preserve">e placement, and community involvement. </w:t>
      </w:r>
    </w:p>
    <w:p w:rsidR="0023438A" w:rsidRDefault="00A02C86">
      <w:pPr>
        <w:spacing w:after="117"/>
        <w:ind w:left="425" w:right="901" w:firstLine="720"/>
      </w:pPr>
      <w:r>
        <w:t>The educational institution participants were obtained from databases of a similar geographical footprint to maintain comparable groups in the representative sample. Schools were contacted through trade associations</w:t>
      </w:r>
      <w:r>
        <w:t xml:space="preserve"> such as the Pennsylvania Association of Private School Administrators (PAPSA), Central States Private Education Network (CSPEN), or through the publicly available contact information available on the National Center for Education Statistics (NCES) website</w:t>
      </w:r>
      <w:r>
        <w:t>. The specific respondents to the questionnaire were selected by educational institutions, and some will have a great deal of professional experience while others may be at the very beginning of their career. It is possible to have more than one respondent</w:t>
      </w:r>
      <w:r>
        <w:t xml:space="preserve"> from the same school in an effort to gain multiple perceptions. </w:t>
      </w:r>
    </w:p>
    <w:p w:rsidR="0023438A" w:rsidRDefault="00A02C86">
      <w:pPr>
        <w:spacing w:after="122"/>
        <w:ind w:left="425" w:right="777" w:firstLine="720"/>
      </w:pPr>
      <w:r>
        <w:t>In both cases, the target population are mid-Atlantic area employers and educational administrative officials with varying levels of exposure to apprenticeship programming. Previous experience with apprenticeship applications was not a requirement. However</w:t>
      </w:r>
      <w:r>
        <w:t xml:space="preserve">, the researcher indicated that organizations should choose participants who interact with various aspects of career placement, recruitment, hiring, training, supervision or management, and oversight of the organization. </w:t>
      </w:r>
    </w:p>
    <w:p w:rsidR="0023438A" w:rsidRDefault="00A02C86">
      <w:pPr>
        <w:pStyle w:val="Heading1"/>
        <w:ind w:left="435"/>
      </w:pPr>
      <w:r>
        <w:t xml:space="preserve">Instrumentation </w:t>
      </w:r>
    </w:p>
    <w:p w:rsidR="0023438A" w:rsidRDefault="00A02C86">
      <w:pPr>
        <w:spacing w:after="117"/>
        <w:ind w:left="425" w:right="985" w:firstLine="720"/>
      </w:pPr>
      <w:r>
        <w:t xml:space="preserve">Two researcher-designed questionnaires with two sections were used to collect data (Appendices A and B). The higher education questionnaire (HE) is listed in Appendix A. The </w:t>
      </w:r>
      <w:r>
        <w:lastRenderedPageBreak/>
        <w:t>employer centric questionnaire (EMP) is displayed in Appendix B.  An online questi</w:t>
      </w:r>
      <w:r>
        <w:t>onnaire is an efficient and economical means to collect data when the target population was large or distributed over a large area. Consequently, an online questionnaire was chosen for data collection (Creswell &amp; Creswell, 2017; Fink, 2017). The instrument</w:t>
      </w:r>
      <w:r>
        <w:t xml:space="preserve">s utilized in this study were questionnaires composed of relevant issues informed by the review of literature.  </w:t>
      </w:r>
    </w:p>
    <w:p w:rsidR="0023438A" w:rsidRDefault="00A02C86">
      <w:pPr>
        <w:ind w:left="425" w:right="1000" w:firstLine="720"/>
      </w:pPr>
      <w:r>
        <w:t>These two questionnaires were reviewed by a panel of industry professionals, including seasoned educators and employers familiar with WBL progr</w:t>
      </w:r>
      <w:r>
        <w:t>ams. The items on the questionnaire were finalized by the researcher. First, the questionnaires were developed by the researcher, who was informed by topics presented in the review of the literature. Table 1 provides a content validity table showing the li</w:t>
      </w:r>
      <w:r>
        <w:t xml:space="preserve">nk between research questions, questionnaire items, and the research literature.  Next, a data specialist reviewed and recommended edits to the questions’ phrasing to assist with a clear understanding of the proposed questions.  </w:t>
      </w:r>
    </w:p>
    <w:p w:rsidR="0023438A" w:rsidRDefault="00A02C86">
      <w:pPr>
        <w:spacing w:after="252" w:line="259" w:lineRule="auto"/>
        <w:ind w:left="435" w:right="777"/>
      </w:pPr>
      <w:r>
        <w:t xml:space="preserve">Table 1 </w:t>
      </w:r>
    </w:p>
    <w:p w:rsidR="0023438A" w:rsidRDefault="00A02C86">
      <w:pPr>
        <w:spacing w:after="96" w:line="267" w:lineRule="auto"/>
        <w:ind w:left="435" w:right="715"/>
      </w:pPr>
      <w:r>
        <w:rPr>
          <w:i/>
        </w:rPr>
        <w:t xml:space="preserve">Content Validity </w:t>
      </w:r>
      <w:r>
        <w:rPr>
          <w:i/>
        </w:rPr>
        <w:t xml:space="preserve">Table for Questionnaire Items. </w:t>
      </w:r>
    </w:p>
    <w:tbl>
      <w:tblPr>
        <w:tblStyle w:val="TableGrid"/>
        <w:tblW w:w="9374" w:type="dxa"/>
        <w:tblInd w:w="426" w:type="dxa"/>
        <w:tblCellMar>
          <w:top w:w="7" w:type="dxa"/>
          <w:left w:w="0" w:type="dxa"/>
          <w:bottom w:w="0" w:type="dxa"/>
          <w:right w:w="67" w:type="dxa"/>
        </w:tblCellMar>
        <w:tblLook w:val="04A0" w:firstRow="1" w:lastRow="0" w:firstColumn="1" w:lastColumn="0" w:noHBand="0" w:noVBand="1"/>
      </w:tblPr>
      <w:tblGrid>
        <w:gridCol w:w="1382"/>
        <w:gridCol w:w="1315"/>
        <w:gridCol w:w="2755"/>
        <w:gridCol w:w="3922"/>
      </w:tblGrid>
      <w:tr w:rsidR="0023438A">
        <w:trPr>
          <w:trHeight w:val="562"/>
        </w:trPr>
        <w:tc>
          <w:tcPr>
            <w:tcW w:w="1382" w:type="dxa"/>
            <w:tcBorders>
              <w:top w:val="single" w:sz="4" w:space="0" w:color="000000"/>
              <w:left w:val="nil"/>
              <w:bottom w:val="single" w:sz="4" w:space="0" w:color="000000"/>
              <w:right w:val="nil"/>
            </w:tcBorders>
          </w:tcPr>
          <w:p w:rsidR="0023438A" w:rsidRDefault="00A02C86">
            <w:pPr>
              <w:spacing w:after="0" w:line="259" w:lineRule="auto"/>
              <w:ind w:left="122" w:firstLine="0"/>
            </w:pPr>
            <w:r>
              <w:t xml:space="preserve">Research Question </w:t>
            </w:r>
          </w:p>
        </w:tc>
        <w:tc>
          <w:tcPr>
            <w:tcW w:w="1315"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Item  Number </w:t>
            </w:r>
          </w:p>
        </w:tc>
        <w:tc>
          <w:tcPr>
            <w:tcW w:w="2755"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Topic Area </w:t>
            </w:r>
          </w:p>
        </w:tc>
        <w:tc>
          <w:tcPr>
            <w:tcW w:w="3922"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Lit. Support (Author, year) </w:t>
            </w:r>
          </w:p>
        </w:tc>
      </w:tr>
      <w:tr w:rsidR="0023438A">
        <w:trPr>
          <w:trHeight w:val="968"/>
        </w:trPr>
        <w:tc>
          <w:tcPr>
            <w:tcW w:w="1382" w:type="dxa"/>
            <w:tcBorders>
              <w:top w:val="single" w:sz="4" w:space="0" w:color="000000"/>
              <w:left w:val="nil"/>
              <w:bottom w:val="nil"/>
              <w:right w:val="nil"/>
            </w:tcBorders>
          </w:tcPr>
          <w:p w:rsidR="0023438A" w:rsidRDefault="00A02C86">
            <w:pPr>
              <w:spacing w:after="0" w:line="259" w:lineRule="auto"/>
              <w:ind w:left="122" w:firstLine="0"/>
            </w:pPr>
            <w:r>
              <w:t xml:space="preserve">RQ1 </w:t>
            </w:r>
          </w:p>
          <w:p w:rsidR="0023438A" w:rsidRDefault="00A02C86">
            <w:pPr>
              <w:spacing w:after="0" w:line="259" w:lineRule="auto"/>
              <w:ind w:left="122" w:firstLine="0"/>
            </w:pPr>
            <w:r>
              <w:t xml:space="preserve">RQ2 </w:t>
            </w:r>
          </w:p>
        </w:tc>
        <w:tc>
          <w:tcPr>
            <w:tcW w:w="1315" w:type="dxa"/>
            <w:tcBorders>
              <w:top w:val="single" w:sz="4" w:space="0" w:color="000000"/>
              <w:left w:val="nil"/>
              <w:bottom w:val="nil"/>
              <w:right w:val="nil"/>
            </w:tcBorders>
          </w:tcPr>
          <w:p w:rsidR="0023438A" w:rsidRDefault="00A02C86">
            <w:pPr>
              <w:spacing w:after="0" w:line="259" w:lineRule="auto"/>
              <w:ind w:left="0" w:firstLine="0"/>
            </w:pPr>
            <w:r>
              <w:t xml:space="preserve">HE / EMP  </w:t>
            </w:r>
          </w:p>
          <w:p w:rsidR="0023438A" w:rsidRDefault="00A02C86">
            <w:pPr>
              <w:spacing w:after="0" w:line="259" w:lineRule="auto"/>
              <w:ind w:left="0" w:firstLine="0"/>
            </w:pPr>
            <w:r>
              <w:t xml:space="preserve">1-5, </w:t>
            </w:r>
          </w:p>
          <w:p w:rsidR="0023438A" w:rsidRDefault="00A02C86">
            <w:pPr>
              <w:spacing w:after="0" w:line="259" w:lineRule="auto"/>
              <w:ind w:left="0" w:firstLine="0"/>
            </w:pPr>
            <w:r>
              <w:t xml:space="preserve">10-12 </w:t>
            </w:r>
          </w:p>
        </w:tc>
        <w:tc>
          <w:tcPr>
            <w:tcW w:w="2755" w:type="dxa"/>
            <w:tcBorders>
              <w:top w:val="single" w:sz="4" w:space="0" w:color="000000"/>
              <w:left w:val="nil"/>
              <w:bottom w:val="nil"/>
              <w:right w:val="nil"/>
            </w:tcBorders>
          </w:tcPr>
          <w:p w:rsidR="0023438A" w:rsidRDefault="00A02C86">
            <w:pPr>
              <w:spacing w:after="0" w:line="259" w:lineRule="auto"/>
              <w:ind w:left="0" w:firstLine="0"/>
            </w:pPr>
            <w:r>
              <w:t xml:space="preserve">Demographic questions </w:t>
            </w:r>
          </w:p>
        </w:tc>
        <w:tc>
          <w:tcPr>
            <w:tcW w:w="3922" w:type="dxa"/>
            <w:tcBorders>
              <w:top w:val="single" w:sz="4" w:space="0" w:color="000000"/>
              <w:left w:val="nil"/>
              <w:bottom w:val="nil"/>
              <w:right w:val="nil"/>
            </w:tcBorders>
          </w:tcPr>
          <w:p w:rsidR="0023438A" w:rsidRDefault="00A02C86">
            <w:pPr>
              <w:spacing w:after="252" w:line="259" w:lineRule="auto"/>
              <w:ind w:left="0" w:firstLine="0"/>
            </w:pPr>
            <w:r>
              <w:t>(</w:t>
            </w:r>
            <w:proofErr w:type="spellStart"/>
            <w:r>
              <w:t>Mertler</w:t>
            </w:r>
            <w:proofErr w:type="spellEnd"/>
            <w:r>
              <w:t xml:space="preserve">, 2018) (Fink, 2017) </w:t>
            </w:r>
          </w:p>
          <w:p w:rsidR="0023438A" w:rsidRDefault="00A02C86">
            <w:pPr>
              <w:spacing w:after="0" w:line="259" w:lineRule="auto"/>
              <w:ind w:left="0" w:firstLine="0"/>
            </w:pPr>
            <w:r>
              <w:t xml:space="preserve">(Creswell &amp; Creswell, 2017)  </w:t>
            </w:r>
          </w:p>
        </w:tc>
      </w:tr>
      <w:tr w:rsidR="0023438A">
        <w:trPr>
          <w:trHeight w:val="851"/>
        </w:trPr>
        <w:tc>
          <w:tcPr>
            <w:tcW w:w="1382" w:type="dxa"/>
            <w:tcBorders>
              <w:top w:val="nil"/>
              <w:left w:val="nil"/>
              <w:bottom w:val="nil"/>
              <w:right w:val="nil"/>
            </w:tcBorders>
          </w:tcPr>
          <w:p w:rsidR="0023438A" w:rsidRDefault="00A02C86">
            <w:pPr>
              <w:spacing w:after="0" w:line="259" w:lineRule="auto"/>
              <w:ind w:left="122" w:firstLine="0"/>
            </w:pPr>
            <w:r>
              <w:t xml:space="preserve">RQ1 </w:t>
            </w:r>
          </w:p>
        </w:tc>
        <w:tc>
          <w:tcPr>
            <w:tcW w:w="1315" w:type="dxa"/>
            <w:tcBorders>
              <w:top w:val="nil"/>
              <w:left w:val="nil"/>
              <w:bottom w:val="nil"/>
              <w:right w:val="nil"/>
            </w:tcBorders>
            <w:vAlign w:val="center"/>
          </w:tcPr>
          <w:p w:rsidR="0023438A" w:rsidRDefault="00A02C86">
            <w:pPr>
              <w:spacing w:after="0" w:line="259" w:lineRule="auto"/>
              <w:ind w:left="0" w:firstLine="0"/>
            </w:pPr>
            <w:r>
              <w:t xml:space="preserve">HE 6 </w:t>
            </w:r>
          </w:p>
          <w:p w:rsidR="0023438A" w:rsidRDefault="00A02C86">
            <w:pPr>
              <w:spacing w:after="0" w:line="259" w:lineRule="auto"/>
              <w:ind w:left="0" w:firstLine="0"/>
            </w:pPr>
            <w:r>
              <w:t xml:space="preserve"> </w:t>
            </w:r>
          </w:p>
        </w:tc>
        <w:tc>
          <w:tcPr>
            <w:tcW w:w="2755" w:type="dxa"/>
            <w:tcBorders>
              <w:top w:val="nil"/>
              <w:left w:val="nil"/>
              <w:bottom w:val="nil"/>
              <w:right w:val="nil"/>
            </w:tcBorders>
            <w:vAlign w:val="center"/>
          </w:tcPr>
          <w:p w:rsidR="0023438A" w:rsidRDefault="00A02C86">
            <w:pPr>
              <w:spacing w:after="0" w:line="259" w:lineRule="auto"/>
              <w:ind w:left="0" w:right="112" w:firstLine="0"/>
            </w:pPr>
            <w:r>
              <w:t xml:space="preserve">Apprenticeship knowledge and awareness </w:t>
            </w:r>
          </w:p>
        </w:tc>
        <w:tc>
          <w:tcPr>
            <w:tcW w:w="3922" w:type="dxa"/>
            <w:tcBorders>
              <w:top w:val="nil"/>
              <w:left w:val="nil"/>
              <w:bottom w:val="nil"/>
              <w:right w:val="nil"/>
            </w:tcBorders>
            <w:vAlign w:val="center"/>
          </w:tcPr>
          <w:p w:rsidR="0023438A" w:rsidRDefault="00A02C86">
            <w:pPr>
              <w:spacing w:after="0" w:line="259" w:lineRule="auto"/>
              <w:ind w:left="0" w:firstLine="0"/>
            </w:pPr>
            <w:r>
              <w:t xml:space="preserve">(Parton, 2017) (Jones, 2017) </w:t>
            </w:r>
          </w:p>
          <w:p w:rsidR="0023438A" w:rsidRDefault="00A02C86">
            <w:pPr>
              <w:spacing w:after="0" w:line="259" w:lineRule="auto"/>
              <w:ind w:left="0" w:firstLine="0"/>
            </w:pPr>
            <w:r>
              <w:t xml:space="preserve">(de Alva &amp; Schneider, 2017) </w:t>
            </w:r>
          </w:p>
        </w:tc>
      </w:tr>
      <w:tr w:rsidR="0023438A">
        <w:trPr>
          <w:trHeight w:val="1343"/>
        </w:trPr>
        <w:tc>
          <w:tcPr>
            <w:tcW w:w="1382" w:type="dxa"/>
            <w:tcBorders>
              <w:top w:val="nil"/>
              <w:left w:val="nil"/>
              <w:bottom w:val="nil"/>
              <w:right w:val="nil"/>
            </w:tcBorders>
          </w:tcPr>
          <w:p w:rsidR="0023438A" w:rsidRDefault="00A02C86">
            <w:pPr>
              <w:spacing w:after="0" w:line="259" w:lineRule="auto"/>
              <w:ind w:left="122" w:firstLine="0"/>
            </w:pPr>
            <w:r>
              <w:t xml:space="preserve">RQ1 </w:t>
            </w:r>
          </w:p>
        </w:tc>
        <w:tc>
          <w:tcPr>
            <w:tcW w:w="1315" w:type="dxa"/>
            <w:tcBorders>
              <w:top w:val="nil"/>
              <w:left w:val="nil"/>
              <w:bottom w:val="nil"/>
              <w:right w:val="nil"/>
            </w:tcBorders>
          </w:tcPr>
          <w:p w:rsidR="0023438A" w:rsidRDefault="00A02C86">
            <w:pPr>
              <w:spacing w:after="0" w:line="259" w:lineRule="auto"/>
              <w:ind w:left="0" w:firstLine="0"/>
            </w:pPr>
            <w:r>
              <w:t xml:space="preserve">EMP 7 </w:t>
            </w:r>
          </w:p>
          <w:p w:rsidR="0023438A" w:rsidRDefault="00A02C86">
            <w:pPr>
              <w:spacing w:after="0" w:line="259" w:lineRule="auto"/>
              <w:ind w:left="0" w:firstLine="0"/>
            </w:pPr>
            <w:r>
              <w:t xml:space="preserve"> </w:t>
            </w:r>
          </w:p>
        </w:tc>
        <w:tc>
          <w:tcPr>
            <w:tcW w:w="2755" w:type="dxa"/>
            <w:tcBorders>
              <w:top w:val="nil"/>
              <w:left w:val="nil"/>
              <w:bottom w:val="nil"/>
              <w:right w:val="nil"/>
            </w:tcBorders>
          </w:tcPr>
          <w:p w:rsidR="0023438A" w:rsidRDefault="00A02C86">
            <w:pPr>
              <w:spacing w:after="0" w:line="259" w:lineRule="auto"/>
              <w:ind w:left="0" w:firstLine="0"/>
            </w:pPr>
            <w:r>
              <w:t xml:space="preserve">Apprenticeship </w:t>
            </w:r>
          </w:p>
          <w:p w:rsidR="0023438A" w:rsidRDefault="00A02C86">
            <w:pPr>
              <w:spacing w:after="0" w:line="259" w:lineRule="auto"/>
              <w:ind w:left="0" w:firstLine="0"/>
            </w:pPr>
            <w:r>
              <w:t xml:space="preserve">knowledge and awareness </w:t>
            </w:r>
          </w:p>
          <w:p w:rsidR="0023438A" w:rsidRDefault="00A02C86">
            <w:pPr>
              <w:spacing w:after="0" w:line="259" w:lineRule="auto"/>
              <w:ind w:left="0" w:firstLine="0"/>
            </w:pPr>
            <w:r>
              <w:t xml:space="preserve"> </w:t>
            </w:r>
          </w:p>
        </w:tc>
        <w:tc>
          <w:tcPr>
            <w:tcW w:w="3922" w:type="dxa"/>
            <w:tcBorders>
              <w:top w:val="nil"/>
              <w:left w:val="nil"/>
              <w:bottom w:val="nil"/>
              <w:right w:val="nil"/>
            </w:tcBorders>
          </w:tcPr>
          <w:p w:rsidR="0023438A" w:rsidRDefault="00A02C86">
            <w:pPr>
              <w:spacing w:after="0" w:line="259" w:lineRule="auto"/>
              <w:ind w:left="0" w:firstLine="0"/>
            </w:pPr>
            <w:r>
              <w:t>(</w:t>
            </w:r>
            <w:proofErr w:type="spellStart"/>
            <w:r>
              <w:t>Hepler</w:t>
            </w:r>
            <w:proofErr w:type="spellEnd"/>
            <w:r>
              <w:t xml:space="preserve"> et al., 2016) (Hoffman &amp; </w:t>
            </w:r>
          </w:p>
          <w:p w:rsidR="0023438A" w:rsidRDefault="00A02C86">
            <w:pPr>
              <w:spacing w:after="0" w:line="259" w:lineRule="auto"/>
              <w:ind w:left="0" w:firstLine="0"/>
            </w:pPr>
            <w:r>
              <w:t xml:space="preserve">Schwartz, 2015) </w:t>
            </w:r>
          </w:p>
          <w:p w:rsidR="0023438A" w:rsidRDefault="00A02C86">
            <w:pPr>
              <w:spacing w:after="0" w:line="259" w:lineRule="auto"/>
              <w:ind w:left="0" w:firstLine="0"/>
            </w:pPr>
            <w:r>
              <w:t xml:space="preserve">(Collins, 2016) </w:t>
            </w:r>
          </w:p>
          <w:p w:rsidR="0023438A" w:rsidRDefault="00A02C86">
            <w:pPr>
              <w:spacing w:after="0" w:line="259" w:lineRule="auto"/>
              <w:ind w:left="0" w:firstLine="0"/>
            </w:pPr>
            <w:r>
              <w:t xml:space="preserve">(Fuller &amp; </w:t>
            </w:r>
            <w:proofErr w:type="spellStart"/>
            <w:r>
              <w:t>Sigelman</w:t>
            </w:r>
            <w:proofErr w:type="spellEnd"/>
            <w:r>
              <w:t xml:space="preserve">, 2017) </w:t>
            </w:r>
          </w:p>
        </w:tc>
      </w:tr>
      <w:tr w:rsidR="0023438A">
        <w:trPr>
          <w:trHeight w:val="1229"/>
        </w:trPr>
        <w:tc>
          <w:tcPr>
            <w:tcW w:w="1382" w:type="dxa"/>
            <w:tcBorders>
              <w:top w:val="nil"/>
              <w:left w:val="nil"/>
              <w:bottom w:val="nil"/>
              <w:right w:val="nil"/>
            </w:tcBorders>
          </w:tcPr>
          <w:p w:rsidR="0023438A" w:rsidRDefault="00A02C86">
            <w:pPr>
              <w:spacing w:after="0" w:line="259" w:lineRule="auto"/>
              <w:ind w:left="122" w:firstLine="0"/>
            </w:pPr>
            <w:r>
              <w:t xml:space="preserve">RQ1 </w:t>
            </w:r>
          </w:p>
        </w:tc>
        <w:tc>
          <w:tcPr>
            <w:tcW w:w="1315" w:type="dxa"/>
            <w:tcBorders>
              <w:top w:val="nil"/>
              <w:left w:val="nil"/>
              <w:bottom w:val="nil"/>
              <w:right w:val="nil"/>
            </w:tcBorders>
          </w:tcPr>
          <w:p w:rsidR="0023438A" w:rsidRDefault="00A02C86">
            <w:pPr>
              <w:spacing w:after="0" w:line="259" w:lineRule="auto"/>
              <w:ind w:left="0" w:firstLine="0"/>
            </w:pPr>
            <w:r>
              <w:t xml:space="preserve">HE 8 </w:t>
            </w:r>
          </w:p>
          <w:p w:rsidR="0023438A" w:rsidRDefault="00A02C86">
            <w:pPr>
              <w:spacing w:after="0" w:line="259" w:lineRule="auto"/>
              <w:ind w:left="0" w:firstLine="0"/>
            </w:pPr>
            <w:r>
              <w:t xml:space="preserve"> </w:t>
            </w:r>
          </w:p>
        </w:tc>
        <w:tc>
          <w:tcPr>
            <w:tcW w:w="2755" w:type="dxa"/>
            <w:tcBorders>
              <w:top w:val="nil"/>
              <w:left w:val="nil"/>
              <w:bottom w:val="nil"/>
              <w:right w:val="nil"/>
            </w:tcBorders>
          </w:tcPr>
          <w:p w:rsidR="0023438A" w:rsidRDefault="00A02C86">
            <w:pPr>
              <w:spacing w:after="0" w:line="259" w:lineRule="auto"/>
              <w:ind w:left="0" w:firstLine="0"/>
            </w:pPr>
            <w:r>
              <w:t xml:space="preserve">Apprenticeship </w:t>
            </w:r>
          </w:p>
          <w:p w:rsidR="0023438A" w:rsidRDefault="00A02C86">
            <w:pPr>
              <w:spacing w:after="0" w:line="259" w:lineRule="auto"/>
              <w:ind w:left="0" w:firstLine="0"/>
            </w:pPr>
            <w:r>
              <w:t xml:space="preserve">advantages and benefits </w:t>
            </w:r>
          </w:p>
          <w:p w:rsidR="0023438A" w:rsidRDefault="00A02C86">
            <w:pPr>
              <w:spacing w:after="0" w:line="259" w:lineRule="auto"/>
              <w:ind w:left="0" w:firstLine="0"/>
            </w:pPr>
            <w:r>
              <w:t xml:space="preserve"> </w:t>
            </w:r>
          </w:p>
        </w:tc>
        <w:tc>
          <w:tcPr>
            <w:tcW w:w="3922" w:type="dxa"/>
            <w:tcBorders>
              <w:top w:val="nil"/>
              <w:left w:val="nil"/>
              <w:bottom w:val="nil"/>
              <w:right w:val="nil"/>
            </w:tcBorders>
          </w:tcPr>
          <w:p w:rsidR="0023438A" w:rsidRDefault="00A02C86">
            <w:pPr>
              <w:spacing w:after="0" w:line="259" w:lineRule="auto"/>
              <w:ind w:left="0" w:firstLine="0"/>
            </w:pPr>
            <w:r>
              <w:t xml:space="preserve">(Fuller Hamilton, 2015) (Snell et al., </w:t>
            </w:r>
          </w:p>
          <w:p w:rsidR="0023438A" w:rsidRDefault="00A02C86">
            <w:pPr>
              <w:spacing w:after="0" w:line="259" w:lineRule="auto"/>
              <w:ind w:left="0" w:firstLine="0"/>
            </w:pPr>
            <w:r>
              <w:t xml:space="preserve">2017) </w:t>
            </w:r>
          </w:p>
          <w:p w:rsidR="0023438A" w:rsidRDefault="00A02C86">
            <w:pPr>
              <w:spacing w:after="0" w:line="259" w:lineRule="auto"/>
              <w:ind w:left="0" w:firstLine="0"/>
            </w:pPr>
            <w:r>
              <w:t xml:space="preserve">(McCarthy et al., 2017) </w:t>
            </w:r>
          </w:p>
          <w:p w:rsidR="0023438A" w:rsidRDefault="00A02C86">
            <w:pPr>
              <w:spacing w:after="0" w:line="259" w:lineRule="auto"/>
              <w:ind w:left="0" w:firstLine="0"/>
            </w:pPr>
            <w:r>
              <w:t>(</w:t>
            </w:r>
            <w:proofErr w:type="spellStart"/>
            <w:r>
              <w:t>MacGregor</w:t>
            </w:r>
            <w:proofErr w:type="spellEnd"/>
            <w:r>
              <w:t xml:space="preserve"> &amp; Fox, 2017) </w:t>
            </w:r>
          </w:p>
        </w:tc>
      </w:tr>
      <w:tr w:rsidR="0023438A">
        <w:trPr>
          <w:trHeight w:val="924"/>
        </w:trPr>
        <w:tc>
          <w:tcPr>
            <w:tcW w:w="1382" w:type="dxa"/>
            <w:tcBorders>
              <w:top w:val="nil"/>
              <w:left w:val="nil"/>
              <w:bottom w:val="nil"/>
              <w:right w:val="nil"/>
            </w:tcBorders>
          </w:tcPr>
          <w:p w:rsidR="0023438A" w:rsidRDefault="00A02C86">
            <w:pPr>
              <w:spacing w:after="0" w:line="259" w:lineRule="auto"/>
              <w:ind w:left="122" w:firstLine="0"/>
            </w:pPr>
            <w:r>
              <w:t xml:space="preserve">RQ1 </w:t>
            </w:r>
          </w:p>
        </w:tc>
        <w:tc>
          <w:tcPr>
            <w:tcW w:w="1315" w:type="dxa"/>
            <w:tcBorders>
              <w:top w:val="nil"/>
              <w:left w:val="nil"/>
              <w:bottom w:val="nil"/>
              <w:right w:val="nil"/>
            </w:tcBorders>
          </w:tcPr>
          <w:p w:rsidR="0023438A" w:rsidRDefault="00A02C86">
            <w:pPr>
              <w:spacing w:after="0" w:line="259" w:lineRule="auto"/>
              <w:ind w:left="0" w:firstLine="0"/>
            </w:pPr>
            <w:r>
              <w:t xml:space="preserve">EMP 9 </w:t>
            </w:r>
          </w:p>
          <w:p w:rsidR="0023438A" w:rsidRDefault="00A02C86">
            <w:pPr>
              <w:spacing w:after="0" w:line="259" w:lineRule="auto"/>
              <w:ind w:left="0" w:firstLine="0"/>
            </w:pPr>
            <w:r>
              <w:t xml:space="preserve"> </w:t>
            </w:r>
          </w:p>
        </w:tc>
        <w:tc>
          <w:tcPr>
            <w:tcW w:w="2755" w:type="dxa"/>
            <w:tcBorders>
              <w:top w:val="nil"/>
              <w:left w:val="nil"/>
              <w:bottom w:val="nil"/>
              <w:right w:val="nil"/>
            </w:tcBorders>
          </w:tcPr>
          <w:p w:rsidR="0023438A" w:rsidRDefault="00A02C86">
            <w:pPr>
              <w:spacing w:after="0" w:line="259" w:lineRule="auto"/>
              <w:ind w:left="0" w:firstLine="0"/>
            </w:pPr>
            <w:r>
              <w:t xml:space="preserve">Apprenticeship </w:t>
            </w:r>
          </w:p>
          <w:p w:rsidR="0023438A" w:rsidRDefault="00A02C86">
            <w:pPr>
              <w:spacing w:after="0" w:line="259" w:lineRule="auto"/>
              <w:ind w:left="0" w:firstLine="0"/>
            </w:pPr>
            <w:r>
              <w:t xml:space="preserve">advantages and benefits </w:t>
            </w:r>
          </w:p>
          <w:p w:rsidR="0023438A" w:rsidRDefault="00A02C86">
            <w:pPr>
              <w:spacing w:after="0" w:line="259" w:lineRule="auto"/>
              <w:ind w:left="0" w:firstLine="0"/>
            </w:pPr>
            <w:r>
              <w:t xml:space="preserve"> </w:t>
            </w:r>
          </w:p>
        </w:tc>
        <w:tc>
          <w:tcPr>
            <w:tcW w:w="3922" w:type="dxa"/>
            <w:tcBorders>
              <w:top w:val="nil"/>
              <w:left w:val="nil"/>
              <w:bottom w:val="nil"/>
              <w:right w:val="nil"/>
            </w:tcBorders>
          </w:tcPr>
          <w:p w:rsidR="0023438A" w:rsidRDefault="00A02C86">
            <w:pPr>
              <w:spacing w:after="0" w:line="259" w:lineRule="auto"/>
              <w:ind w:left="0" w:firstLine="0"/>
              <w:jc w:val="both"/>
            </w:pPr>
            <w:r>
              <w:t>(Kuehn, 2019) (Messing-</w:t>
            </w:r>
            <w:proofErr w:type="spellStart"/>
            <w:r>
              <w:t>Mathie</w:t>
            </w:r>
            <w:proofErr w:type="spellEnd"/>
            <w:r>
              <w:t xml:space="preserve">, 2015) </w:t>
            </w:r>
          </w:p>
          <w:p w:rsidR="0023438A" w:rsidRDefault="00A02C86">
            <w:pPr>
              <w:spacing w:after="0" w:line="259" w:lineRule="auto"/>
              <w:ind w:left="0" w:firstLine="0"/>
            </w:pPr>
            <w:r>
              <w:t xml:space="preserve">(Johnson &amp; </w:t>
            </w:r>
            <w:proofErr w:type="spellStart"/>
            <w:r>
              <w:t>Spiker</w:t>
            </w:r>
            <w:proofErr w:type="spellEnd"/>
            <w:r>
              <w:t xml:space="preserve">, 2018) </w:t>
            </w:r>
          </w:p>
          <w:p w:rsidR="0023438A" w:rsidRDefault="00A02C86">
            <w:pPr>
              <w:spacing w:after="0" w:line="259" w:lineRule="auto"/>
              <w:ind w:left="0" w:firstLine="0"/>
            </w:pPr>
            <w:r>
              <w:t>(</w:t>
            </w:r>
            <w:proofErr w:type="spellStart"/>
            <w:r>
              <w:t>Giffi</w:t>
            </w:r>
            <w:proofErr w:type="spellEnd"/>
            <w:r>
              <w:t xml:space="preserve"> et al., 2018) </w:t>
            </w:r>
          </w:p>
        </w:tc>
      </w:tr>
      <w:tr w:rsidR="0023438A">
        <w:trPr>
          <w:trHeight w:val="926"/>
        </w:trPr>
        <w:tc>
          <w:tcPr>
            <w:tcW w:w="1382" w:type="dxa"/>
            <w:tcBorders>
              <w:top w:val="nil"/>
              <w:left w:val="nil"/>
              <w:bottom w:val="nil"/>
              <w:right w:val="nil"/>
            </w:tcBorders>
          </w:tcPr>
          <w:p w:rsidR="0023438A" w:rsidRDefault="00A02C86">
            <w:pPr>
              <w:spacing w:after="0" w:line="259" w:lineRule="auto"/>
              <w:ind w:left="122" w:firstLine="0"/>
            </w:pPr>
            <w:r>
              <w:lastRenderedPageBreak/>
              <w:t xml:space="preserve">RQ2 </w:t>
            </w:r>
          </w:p>
        </w:tc>
        <w:tc>
          <w:tcPr>
            <w:tcW w:w="1315" w:type="dxa"/>
            <w:tcBorders>
              <w:top w:val="nil"/>
              <w:left w:val="nil"/>
              <w:bottom w:val="nil"/>
              <w:right w:val="nil"/>
            </w:tcBorders>
          </w:tcPr>
          <w:p w:rsidR="0023438A" w:rsidRDefault="00A02C86">
            <w:pPr>
              <w:spacing w:after="0" w:line="259" w:lineRule="auto"/>
              <w:ind w:left="0" w:firstLine="0"/>
            </w:pPr>
            <w:r>
              <w:t xml:space="preserve">HE 9 </w:t>
            </w:r>
          </w:p>
          <w:p w:rsidR="0023438A" w:rsidRDefault="00A02C86">
            <w:pPr>
              <w:spacing w:after="0" w:line="259" w:lineRule="auto"/>
              <w:ind w:left="0" w:firstLine="0"/>
            </w:pPr>
            <w:r>
              <w:t xml:space="preserve"> </w:t>
            </w:r>
          </w:p>
        </w:tc>
        <w:tc>
          <w:tcPr>
            <w:tcW w:w="2755" w:type="dxa"/>
            <w:tcBorders>
              <w:top w:val="nil"/>
              <w:left w:val="nil"/>
              <w:bottom w:val="nil"/>
              <w:right w:val="nil"/>
            </w:tcBorders>
          </w:tcPr>
          <w:p w:rsidR="0023438A" w:rsidRDefault="00A02C86">
            <w:pPr>
              <w:spacing w:after="0" w:line="259" w:lineRule="auto"/>
              <w:ind w:left="0" w:firstLine="0"/>
            </w:pPr>
            <w:r>
              <w:t xml:space="preserve">Apprenticeship barriers </w:t>
            </w:r>
          </w:p>
          <w:p w:rsidR="0023438A" w:rsidRDefault="00A02C86">
            <w:pPr>
              <w:spacing w:after="0" w:line="259" w:lineRule="auto"/>
              <w:ind w:left="0" w:firstLine="0"/>
            </w:pPr>
            <w:r>
              <w:t xml:space="preserve"> </w:t>
            </w:r>
          </w:p>
        </w:tc>
        <w:tc>
          <w:tcPr>
            <w:tcW w:w="3922" w:type="dxa"/>
            <w:tcBorders>
              <w:top w:val="nil"/>
              <w:left w:val="nil"/>
              <w:bottom w:val="nil"/>
              <w:right w:val="nil"/>
            </w:tcBorders>
          </w:tcPr>
          <w:p w:rsidR="0023438A" w:rsidRDefault="00A02C86">
            <w:pPr>
              <w:spacing w:after="0" w:line="259" w:lineRule="auto"/>
              <w:ind w:left="0" w:firstLine="0"/>
            </w:pPr>
            <w:r>
              <w:t>(Jones, 2017) (</w:t>
            </w:r>
            <w:proofErr w:type="spellStart"/>
            <w:r>
              <w:t>Lerman</w:t>
            </w:r>
            <w:proofErr w:type="spellEnd"/>
            <w:r>
              <w:t xml:space="preserve">, 2012) </w:t>
            </w:r>
          </w:p>
          <w:p w:rsidR="0023438A" w:rsidRDefault="00A02C86">
            <w:pPr>
              <w:spacing w:after="0" w:line="259" w:lineRule="auto"/>
              <w:ind w:left="0" w:firstLine="0"/>
            </w:pPr>
            <w:r>
              <w:t xml:space="preserve">(de Alva &amp; Schneider, 2017) (Long, </w:t>
            </w:r>
          </w:p>
          <w:p w:rsidR="0023438A" w:rsidRDefault="00A02C86">
            <w:pPr>
              <w:spacing w:after="0" w:line="259" w:lineRule="auto"/>
              <w:ind w:left="0" w:firstLine="0"/>
            </w:pPr>
            <w:r>
              <w:t>2018) (</w:t>
            </w:r>
            <w:proofErr w:type="spellStart"/>
            <w:r>
              <w:t>Lerman</w:t>
            </w:r>
            <w:proofErr w:type="spellEnd"/>
            <w:r>
              <w:t xml:space="preserve"> et al., 2019) </w:t>
            </w:r>
          </w:p>
        </w:tc>
      </w:tr>
      <w:tr w:rsidR="0023438A">
        <w:trPr>
          <w:trHeight w:val="890"/>
        </w:trPr>
        <w:tc>
          <w:tcPr>
            <w:tcW w:w="1382" w:type="dxa"/>
            <w:tcBorders>
              <w:top w:val="nil"/>
              <w:left w:val="nil"/>
              <w:bottom w:val="nil"/>
              <w:right w:val="nil"/>
            </w:tcBorders>
          </w:tcPr>
          <w:p w:rsidR="0023438A" w:rsidRDefault="00A02C86">
            <w:pPr>
              <w:spacing w:after="0" w:line="259" w:lineRule="auto"/>
              <w:ind w:left="122" w:firstLine="0"/>
            </w:pPr>
            <w:r>
              <w:t xml:space="preserve">RQ2 </w:t>
            </w:r>
          </w:p>
        </w:tc>
        <w:tc>
          <w:tcPr>
            <w:tcW w:w="1315" w:type="dxa"/>
            <w:tcBorders>
              <w:top w:val="nil"/>
              <w:left w:val="nil"/>
              <w:bottom w:val="nil"/>
              <w:right w:val="nil"/>
            </w:tcBorders>
          </w:tcPr>
          <w:p w:rsidR="0023438A" w:rsidRDefault="00A02C86">
            <w:pPr>
              <w:spacing w:after="0" w:line="259" w:lineRule="auto"/>
              <w:ind w:left="0" w:firstLine="0"/>
            </w:pPr>
            <w:r>
              <w:t xml:space="preserve">EMP 10 </w:t>
            </w:r>
          </w:p>
        </w:tc>
        <w:tc>
          <w:tcPr>
            <w:tcW w:w="2755" w:type="dxa"/>
            <w:tcBorders>
              <w:top w:val="nil"/>
              <w:left w:val="nil"/>
              <w:bottom w:val="nil"/>
              <w:right w:val="nil"/>
            </w:tcBorders>
          </w:tcPr>
          <w:p w:rsidR="0023438A" w:rsidRDefault="00A02C86">
            <w:pPr>
              <w:spacing w:after="0" w:line="259" w:lineRule="auto"/>
              <w:ind w:left="0" w:firstLine="0"/>
            </w:pPr>
            <w:r>
              <w:t xml:space="preserve">Apprenticeship barriers </w:t>
            </w:r>
          </w:p>
        </w:tc>
        <w:tc>
          <w:tcPr>
            <w:tcW w:w="3922" w:type="dxa"/>
            <w:tcBorders>
              <w:top w:val="nil"/>
              <w:left w:val="nil"/>
              <w:bottom w:val="nil"/>
              <w:right w:val="nil"/>
            </w:tcBorders>
          </w:tcPr>
          <w:p w:rsidR="0023438A" w:rsidRDefault="00A02C86">
            <w:pPr>
              <w:spacing w:after="0" w:line="259" w:lineRule="auto"/>
              <w:ind w:left="0" w:firstLine="0"/>
            </w:pPr>
            <w:r>
              <w:t>(Helper et al., 2016) (</w:t>
            </w:r>
            <w:proofErr w:type="spellStart"/>
            <w:r>
              <w:t>Dimeny</w:t>
            </w:r>
            <w:proofErr w:type="spellEnd"/>
            <w:r>
              <w:t xml:space="preserve"> et al., </w:t>
            </w:r>
          </w:p>
          <w:p w:rsidR="0023438A" w:rsidRDefault="00A02C86">
            <w:pPr>
              <w:spacing w:after="0" w:line="259" w:lineRule="auto"/>
              <w:ind w:left="0" w:firstLine="0"/>
            </w:pPr>
            <w:r>
              <w:t xml:space="preserve">2019) </w:t>
            </w:r>
          </w:p>
          <w:p w:rsidR="0023438A" w:rsidRDefault="00A02C86">
            <w:pPr>
              <w:spacing w:after="0" w:line="259" w:lineRule="auto"/>
              <w:ind w:left="0" w:firstLine="0"/>
            </w:pPr>
            <w:r>
              <w:t>(Jackson,  2015) (</w:t>
            </w:r>
            <w:proofErr w:type="spellStart"/>
            <w:r>
              <w:t>Lerman</w:t>
            </w:r>
            <w:proofErr w:type="spellEnd"/>
            <w:r>
              <w:t xml:space="preserve"> et al., 2019) </w:t>
            </w:r>
          </w:p>
        </w:tc>
      </w:tr>
      <w:tr w:rsidR="0023438A">
        <w:trPr>
          <w:trHeight w:val="1241"/>
        </w:trPr>
        <w:tc>
          <w:tcPr>
            <w:tcW w:w="1382" w:type="dxa"/>
            <w:tcBorders>
              <w:top w:val="nil"/>
              <w:left w:val="nil"/>
              <w:bottom w:val="nil"/>
              <w:right w:val="nil"/>
            </w:tcBorders>
          </w:tcPr>
          <w:p w:rsidR="0023438A" w:rsidRDefault="00A02C86">
            <w:pPr>
              <w:spacing w:after="0" w:line="259" w:lineRule="auto"/>
              <w:ind w:left="122" w:firstLine="0"/>
            </w:pPr>
            <w:r>
              <w:t xml:space="preserve">RQ1 </w:t>
            </w:r>
          </w:p>
        </w:tc>
        <w:tc>
          <w:tcPr>
            <w:tcW w:w="1315" w:type="dxa"/>
            <w:tcBorders>
              <w:top w:val="nil"/>
              <w:left w:val="nil"/>
              <w:bottom w:val="nil"/>
              <w:right w:val="nil"/>
            </w:tcBorders>
          </w:tcPr>
          <w:p w:rsidR="0023438A" w:rsidRDefault="00A02C86">
            <w:pPr>
              <w:spacing w:after="0" w:line="259" w:lineRule="auto"/>
              <w:ind w:left="0" w:firstLine="0"/>
            </w:pPr>
            <w:r>
              <w:t xml:space="preserve">HE 10 </w:t>
            </w:r>
          </w:p>
          <w:p w:rsidR="0023438A" w:rsidRDefault="00A02C86">
            <w:pPr>
              <w:spacing w:after="0" w:line="259" w:lineRule="auto"/>
              <w:ind w:left="0" w:firstLine="0"/>
            </w:pPr>
            <w:r>
              <w:t xml:space="preserve"> </w:t>
            </w:r>
          </w:p>
        </w:tc>
        <w:tc>
          <w:tcPr>
            <w:tcW w:w="2755" w:type="dxa"/>
            <w:tcBorders>
              <w:top w:val="nil"/>
              <w:left w:val="nil"/>
              <w:bottom w:val="nil"/>
              <w:right w:val="nil"/>
            </w:tcBorders>
          </w:tcPr>
          <w:p w:rsidR="0023438A" w:rsidRDefault="00A02C86">
            <w:pPr>
              <w:spacing w:after="0" w:line="238" w:lineRule="auto"/>
              <w:ind w:left="0" w:firstLine="0"/>
            </w:pPr>
            <w:r>
              <w:t xml:space="preserve">Apprenticeship supports and resources </w:t>
            </w:r>
          </w:p>
          <w:p w:rsidR="0023438A" w:rsidRDefault="00A02C86">
            <w:pPr>
              <w:spacing w:after="0" w:line="259" w:lineRule="auto"/>
              <w:ind w:left="0" w:firstLine="0"/>
            </w:pPr>
            <w:r>
              <w:t xml:space="preserve"> </w:t>
            </w:r>
          </w:p>
        </w:tc>
        <w:tc>
          <w:tcPr>
            <w:tcW w:w="3922" w:type="dxa"/>
            <w:tcBorders>
              <w:top w:val="nil"/>
              <w:left w:val="nil"/>
              <w:bottom w:val="nil"/>
              <w:right w:val="nil"/>
            </w:tcBorders>
          </w:tcPr>
          <w:p w:rsidR="0023438A" w:rsidRDefault="00A02C86">
            <w:pPr>
              <w:spacing w:after="0" w:line="259" w:lineRule="auto"/>
              <w:ind w:left="0" w:firstLine="0"/>
            </w:pPr>
            <w:r>
              <w:t xml:space="preserve">(McCarthy et al., 2017) (Jones, 2017) </w:t>
            </w:r>
          </w:p>
          <w:p w:rsidR="0023438A" w:rsidRDefault="00A02C86">
            <w:pPr>
              <w:spacing w:after="0" w:line="259" w:lineRule="auto"/>
              <w:ind w:left="0" w:firstLine="0"/>
            </w:pPr>
            <w:r>
              <w:t xml:space="preserve">(Parton, 2017) </w:t>
            </w:r>
          </w:p>
          <w:p w:rsidR="0023438A" w:rsidRDefault="00A02C86">
            <w:pPr>
              <w:spacing w:after="0" w:line="259" w:lineRule="auto"/>
              <w:ind w:left="0" w:firstLine="0"/>
            </w:pPr>
            <w:r>
              <w:t xml:space="preserve">(de Alva &amp; Schneider, 2017) (Fuller &amp; </w:t>
            </w:r>
          </w:p>
          <w:p w:rsidR="0023438A" w:rsidRDefault="00A02C86">
            <w:pPr>
              <w:spacing w:after="0" w:line="259" w:lineRule="auto"/>
              <w:ind w:left="0" w:firstLine="0"/>
            </w:pPr>
            <w:proofErr w:type="spellStart"/>
            <w:r>
              <w:t>Sigelman</w:t>
            </w:r>
            <w:proofErr w:type="spellEnd"/>
            <w:r>
              <w:t>, 2017) (</w:t>
            </w:r>
            <w:proofErr w:type="spellStart"/>
            <w:r>
              <w:t>Lerman</w:t>
            </w:r>
            <w:proofErr w:type="spellEnd"/>
            <w:r>
              <w:t xml:space="preserve"> et al., 2019) </w:t>
            </w:r>
          </w:p>
        </w:tc>
      </w:tr>
      <w:tr w:rsidR="0023438A">
        <w:trPr>
          <w:trHeight w:val="767"/>
        </w:trPr>
        <w:tc>
          <w:tcPr>
            <w:tcW w:w="1382" w:type="dxa"/>
            <w:tcBorders>
              <w:top w:val="nil"/>
              <w:left w:val="nil"/>
              <w:bottom w:val="single" w:sz="8" w:space="0" w:color="000000"/>
              <w:right w:val="nil"/>
            </w:tcBorders>
          </w:tcPr>
          <w:p w:rsidR="0023438A" w:rsidRDefault="00A02C86">
            <w:pPr>
              <w:spacing w:after="0" w:line="259" w:lineRule="auto"/>
              <w:ind w:left="122" w:firstLine="0"/>
            </w:pPr>
            <w:r>
              <w:t xml:space="preserve">RQ1 </w:t>
            </w:r>
          </w:p>
        </w:tc>
        <w:tc>
          <w:tcPr>
            <w:tcW w:w="1315" w:type="dxa"/>
            <w:tcBorders>
              <w:top w:val="nil"/>
              <w:left w:val="nil"/>
              <w:bottom w:val="single" w:sz="8" w:space="0" w:color="000000"/>
              <w:right w:val="nil"/>
            </w:tcBorders>
          </w:tcPr>
          <w:p w:rsidR="0023438A" w:rsidRDefault="00A02C86">
            <w:pPr>
              <w:spacing w:after="0" w:line="259" w:lineRule="auto"/>
              <w:ind w:left="0" w:firstLine="0"/>
            </w:pPr>
            <w:r>
              <w:t xml:space="preserve">EMP 11 </w:t>
            </w:r>
          </w:p>
        </w:tc>
        <w:tc>
          <w:tcPr>
            <w:tcW w:w="2755" w:type="dxa"/>
            <w:tcBorders>
              <w:top w:val="nil"/>
              <w:left w:val="nil"/>
              <w:bottom w:val="single" w:sz="8" w:space="0" w:color="000000"/>
              <w:right w:val="nil"/>
            </w:tcBorders>
          </w:tcPr>
          <w:p w:rsidR="0023438A" w:rsidRDefault="00A02C86">
            <w:pPr>
              <w:spacing w:after="0" w:line="259" w:lineRule="auto"/>
              <w:ind w:left="0" w:firstLine="0"/>
            </w:pPr>
            <w:r>
              <w:t xml:space="preserve">Apprenticeship supports and resources </w:t>
            </w:r>
          </w:p>
        </w:tc>
        <w:tc>
          <w:tcPr>
            <w:tcW w:w="3922" w:type="dxa"/>
            <w:tcBorders>
              <w:top w:val="nil"/>
              <w:left w:val="nil"/>
              <w:bottom w:val="single" w:sz="8" w:space="0" w:color="000000"/>
              <w:right w:val="nil"/>
            </w:tcBorders>
          </w:tcPr>
          <w:p w:rsidR="0023438A" w:rsidRDefault="00A02C86">
            <w:pPr>
              <w:spacing w:after="0" w:line="259" w:lineRule="auto"/>
              <w:ind w:left="0" w:firstLine="0"/>
            </w:pPr>
            <w:r>
              <w:t>(</w:t>
            </w:r>
            <w:proofErr w:type="spellStart"/>
            <w:r>
              <w:t>Hepler</w:t>
            </w:r>
            <w:proofErr w:type="spellEnd"/>
            <w:r>
              <w:t xml:space="preserve"> et al., 2016) (</w:t>
            </w:r>
            <w:proofErr w:type="spellStart"/>
            <w:r>
              <w:t>Lerman</w:t>
            </w:r>
            <w:proofErr w:type="spellEnd"/>
            <w:r>
              <w:t xml:space="preserve">, 2018) </w:t>
            </w:r>
          </w:p>
          <w:p w:rsidR="0023438A" w:rsidRDefault="00A02C86">
            <w:pPr>
              <w:spacing w:after="0" w:line="259" w:lineRule="auto"/>
              <w:ind w:left="0" w:firstLine="0"/>
            </w:pPr>
            <w:r>
              <w:t xml:space="preserve">(Kuehn, 2019) (Rosen et al., 2018) </w:t>
            </w:r>
          </w:p>
        </w:tc>
      </w:tr>
    </w:tbl>
    <w:p w:rsidR="0023438A" w:rsidRDefault="00A02C86">
      <w:pPr>
        <w:spacing w:after="198"/>
        <w:ind w:left="435" w:right="777"/>
      </w:pPr>
      <w:r>
        <w:t xml:space="preserve">The researcher designed the two questionnaires in a parallel framework, which were divided into five similar sections on both instruments.  The parallel categories include the following: </w:t>
      </w:r>
      <w:proofErr w:type="spellStart"/>
      <w:r>
        <w:t>nonidentifying</w:t>
      </w:r>
      <w:proofErr w:type="spellEnd"/>
      <w:r>
        <w:t xml:space="preserve"> demographics, knowledge, and awareness of PWRA apprent</w:t>
      </w:r>
      <w:r>
        <w:t>iceship, perceived benefits and advantages, perceived barriers or obstacles, and a section for suggested supports and resources.  The questionnaires utilized five different 4-point Likert scales. The scales are participants’ awareness, interest level, barr</w:t>
      </w:r>
      <w:r>
        <w:t xml:space="preserve">ier, priority level, and agreement. Lastly, participant demographics were collected within the online questionnaire.  </w:t>
      </w:r>
    </w:p>
    <w:p w:rsidR="0023438A" w:rsidRDefault="00A02C86">
      <w:pPr>
        <w:pStyle w:val="Heading1"/>
        <w:ind w:left="435"/>
      </w:pPr>
      <w:r>
        <w:t xml:space="preserve">Data Collection </w:t>
      </w:r>
    </w:p>
    <w:p w:rsidR="0023438A" w:rsidRDefault="00A02C86">
      <w:pPr>
        <w:ind w:left="425" w:right="865" w:firstLine="720"/>
      </w:pPr>
      <w:r>
        <w:t>The researcher obtained Institutional Review Board (IRB) approval through Robert Morris University (Appendix C). An emai</w:t>
      </w:r>
      <w:r>
        <w:t xml:space="preserve">l was sent explaining the purpose of the study, how the study was to be conducted, contact information, and a link to the specific questionnaire. </w:t>
      </w:r>
    </w:p>
    <w:p w:rsidR="0023438A" w:rsidRDefault="00A02C86">
      <w:pPr>
        <w:ind w:left="435" w:right="938"/>
      </w:pPr>
      <w:r>
        <w:t xml:space="preserve">Once specific contact lists were loaded into each batch, scheduled emails were sent out via </w:t>
      </w:r>
      <w:proofErr w:type="spellStart"/>
      <w:r>
        <w:t>SurveyMonkey</w:t>
      </w:r>
      <w:proofErr w:type="spellEnd"/>
      <w:r>
        <w:t xml:space="preserve"> to t</w:t>
      </w:r>
      <w:r>
        <w:t>he employers and administrators at the corresponding institutions. Each participant received an email that introduces the researcher and an overview of the topic, explained the purpose of the study, provided informed consent and participant inclusion and e</w:t>
      </w:r>
      <w:r>
        <w:t xml:space="preserve">xclusion criteria, and explained security measures (see Appendix D for Introductory </w:t>
      </w:r>
    </w:p>
    <w:p w:rsidR="0023438A" w:rsidRDefault="00A02C86">
      <w:pPr>
        <w:spacing w:after="121" w:line="478" w:lineRule="auto"/>
        <w:ind w:left="435" w:right="990"/>
        <w:jc w:val="both"/>
      </w:pPr>
      <w:r>
        <w:t>Email). The email also provided a link to the online instrument and requested participation. Informed consent was also integrated into the questionnaire cover page. To gai</w:t>
      </w:r>
      <w:r>
        <w:t xml:space="preserve">n additional </w:t>
      </w:r>
      <w:r>
        <w:lastRenderedPageBreak/>
        <w:t xml:space="preserve">participation, reminders were sent to the participants and about the questionnaire to improve the response rate. </w:t>
      </w:r>
    </w:p>
    <w:p w:rsidR="0023438A" w:rsidRDefault="00A02C86">
      <w:pPr>
        <w:pStyle w:val="Heading1"/>
        <w:ind w:left="435"/>
      </w:pPr>
      <w:r>
        <w:t xml:space="preserve">Data Analysis Procedures </w:t>
      </w:r>
    </w:p>
    <w:p w:rsidR="0023438A" w:rsidRDefault="00A02C86">
      <w:pPr>
        <w:spacing w:after="122"/>
        <w:ind w:left="425" w:right="777" w:firstLine="720"/>
      </w:pPr>
      <w:r>
        <w:t>The data collected via questionnaires were then downloaded, cleaned, and saved. The data were entered i</w:t>
      </w:r>
      <w:r>
        <w:t>nto a data file and analyzed using the Statistical Package for the Social Sciences (SPSS). Descriptive statistics were utilized to analyze question responses, including results arranged by region and size. The statistics were then organized by subscale and</w:t>
      </w:r>
      <w:r>
        <w:t xml:space="preserve"> included Coefficient alpha, frequency tables, means, and standard deviations. Lastly, a comparison of the two groups was made to determine the alignment of the research questions’ topics. Once data analysis was complete, the data were transferred to a jum</w:t>
      </w:r>
      <w:r>
        <w:t xml:space="preserve">p drive, which will be kept confidential. After five years, all data related to the participants will be destroyed. </w:t>
      </w:r>
    </w:p>
    <w:p w:rsidR="0023438A" w:rsidRDefault="00A02C86">
      <w:pPr>
        <w:pStyle w:val="Heading1"/>
        <w:ind w:left="435"/>
      </w:pPr>
      <w:r>
        <w:t xml:space="preserve">Ethical Issues </w:t>
      </w:r>
    </w:p>
    <w:p w:rsidR="0023438A" w:rsidRDefault="00A02C86">
      <w:pPr>
        <w:ind w:left="425" w:right="1008" w:firstLine="720"/>
      </w:pPr>
      <w:r>
        <w:t>Institutional Review Board (IRB) approval was obtained from Robert Morris University. Participants were informed of the purpose of the study, privacy rights, confidentiality, and informed consent components. The study should not impose any physical, psycho</w:t>
      </w:r>
      <w:r>
        <w:t>logical, or social risks to study participants. The study included the assurance of volunteerism. The first page of the questionnaire included an informed consent letter. Participants needed to indicate an understanding of the study and consent to particip</w:t>
      </w:r>
      <w:r>
        <w:t>ate by accessing and completing the questionnaire. Participants were assured of confidentiality as they provided no identifying information. Finally, participation was voluntary, and participants had the right to withdraw consent or discontinue participati</w:t>
      </w:r>
      <w:r>
        <w:t xml:space="preserve">on at any time without penalty. </w:t>
      </w:r>
    </w:p>
    <w:p w:rsidR="0023438A" w:rsidRDefault="00A02C86">
      <w:pPr>
        <w:spacing w:after="376" w:line="259" w:lineRule="auto"/>
        <w:ind w:left="435" w:right="777"/>
      </w:pPr>
      <w:r>
        <w:t xml:space="preserve">Again, their identities were not obtained. </w:t>
      </w:r>
    </w:p>
    <w:p w:rsidR="0023438A" w:rsidRDefault="00A02C86">
      <w:pPr>
        <w:pStyle w:val="Heading1"/>
        <w:ind w:left="435"/>
      </w:pPr>
      <w:r>
        <w:t xml:space="preserve">Summary </w:t>
      </w:r>
    </w:p>
    <w:p w:rsidR="0023438A" w:rsidRDefault="00A02C86">
      <w:pPr>
        <w:ind w:left="425" w:right="777" w:firstLine="720"/>
      </w:pPr>
      <w:r>
        <w:t>This study aimed to identify the perceived barriers and opportunities for the alignment of apprenticeships and the higher education community. Two online questionnaires w</w:t>
      </w:r>
      <w:r>
        <w:t xml:space="preserve">ere developed </w:t>
      </w:r>
      <w:r>
        <w:lastRenderedPageBreak/>
        <w:t>and sent to members of the business and higher education community. The instrument contained questions to help identify best practices in the apprenticeship movement as well as impediments for future expansion. Data were collected using an on</w:t>
      </w:r>
      <w:r>
        <w:t>line questionnaire and analyzed using statistics that were appropriate for each research question. The findings in this study provided a framework to recommend and bridge any disconnect that exists between the integral components of the apprenticeship agre</w:t>
      </w:r>
      <w:r>
        <w:t xml:space="preserve">ement. The results of this study and the review of literature may be used by policymakers, educational administrators, and business executives to inform the </w:t>
      </w:r>
      <w:proofErr w:type="spellStart"/>
      <w:r>
        <w:t>decisionmaking</w:t>
      </w:r>
      <w:proofErr w:type="spellEnd"/>
      <w:r>
        <w:t xml:space="preserve"> process. While apprenticeship is not the end-all solution for the American workforce</w:t>
      </w:r>
      <w:r>
        <w:t xml:space="preserve"> challenges, finding opportunities to bridge the divide between two predominant stakeholders could aid in making this type of WBL a more viable option.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0" w:line="259" w:lineRule="auto"/>
        <w:ind w:left="440" w:firstLine="0"/>
      </w:pPr>
      <w:r>
        <w:t xml:space="preserve"> </w:t>
      </w:r>
      <w:r>
        <w:br w:type="page"/>
      </w:r>
    </w:p>
    <w:p w:rsidR="0023438A" w:rsidRDefault="00A02C86">
      <w:pPr>
        <w:spacing w:after="249" w:line="259" w:lineRule="auto"/>
        <w:ind w:left="907" w:right="1241"/>
        <w:jc w:val="center"/>
      </w:pPr>
      <w:r>
        <w:rPr>
          <w:b/>
        </w:rPr>
        <w:lastRenderedPageBreak/>
        <w:t xml:space="preserve">CHAPTER IV </w:t>
      </w:r>
    </w:p>
    <w:p w:rsidR="0023438A" w:rsidRDefault="00A02C86">
      <w:pPr>
        <w:pStyle w:val="Heading1"/>
        <w:spacing w:after="249"/>
        <w:ind w:right="1239"/>
        <w:jc w:val="center"/>
      </w:pPr>
      <w:r>
        <w:t xml:space="preserve">Results </w:t>
      </w:r>
    </w:p>
    <w:p w:rsidR="0023438A" w:rsidRDefault="00A02C86">
      <w:pPr>
        <w:spacing w:after="122"/>
        <w:ind w:left="425" w:right="856" w:firstLine="720"/>
      </w:pPr>
      <w:r>
        <w:t>Despite the paucity of research regarding WBL integration with higher education, the review of literature establishes that employers and educators acknowledge the benefits and barriers of apprenticeship as a form of experiential learning. Multiple stakehol</w:t>
      </w:r>
      <w:r>
        <w:t xml:space="preserve">ders support the use of apprenticeship as a method of pedagogy and as a means to address the skills gap and associated labor market shortfalls. Given stakeholder interest in alignment, there is a need to investigate why apprenticeship has experienced slow </w:t>
      </w:r>
      <w:r>
        <w:t xml:space="preserve">adoption among the members of the business community and higher education sector. Sparse empirical evidence exists that identifies the disconnection and opportunities for growth of apprenticeship as an extension of the higher education sector. The current </w:t>
      </w:r>
      <w:r>
        <w:t xml:space="preserve">study fills this void.   </w:t>
      </w:r>
    </w:p>
    <w:p w:rsidR="0023438A" w:rsidRDefault="00A02C86">
      <w:pPr>
        <w:pStyle w:val="Heading1"/>
        <w:spacing w:after="367"/>
        <w:ind w:left="435"/>
      </w:pPr>
      <w:r>
        <w:t xml:space="preserve">Overview </w:t>
      </w:r>
    </w:p>
    <w:p w:rsidR="0023438A" w:rsidRDefault="00A02C86">
      <w:pPr>
        <w:ind w:left="425" w:right="777" w:firstLine="720"/>
      </w:pPr>
      <w:r>
        <w:t>The purpose of this descriptive research study is to investigate the perceptions and experiences of employers and postsecondary CTE providers related to the implementation and utilization of apprenticeship programs and e</w:t>
      </w:r>
      <w:r>
        <w:t>xamine the extent to which any disconnect exists between these two groups. The study used large scale cross-sectional survey research. A parallel examination of the perspectives of employers and educators engaged in apprenticeships provides insight into ho</w:t>
      </w:r>
      <w:r>
        <w:t>w such programs can enhance college curriculum and career awareness among students and address alignment with employer skills needs. Additionally, the results provide information about the structure and organization of effective programs from the employer’</w:t>
      </w:r>
      <w:r>
        <w:t>s point of view and offer insights into the perceived barriers of employers who have not opted into the program. This study engaged the primary stakeholders: educational providers and employers who are involved in the apprenticeship programs to gain a bett</w:t>
      </w:r>
      <w:r>
        <w:t xml:space="preserve">er understanding of how each group approaches apprenticeship through their perceptions of the strengths, weaknesses, opportunities, and threats to the initiative’s growth prospects.  </w:t>
      </w:r>
    </w:p>
    <w:p w:rsidR="0023438A" w:rsidRDefault="00A02C86">
      <w:pPr>
        <w:ind w:left="425" w:right="1080" w:firstLine="720"/>
      </w:pPr>
      <w:r>
        <w:lastRenderedPageBreak/>
        <w:t xml:space="preserve">In Chapter IV, the researcher presents an analysis of quantitative data that were collected from emailed questionnaires. The questionnaires were distributed to 272 postsecondary CTE school officials and 850 employers from a multi-state Mid-Atlantic region </w:t>
      </w:r>
      <w:r>
        <w:t xml:space="preserve">of the United States. The overall response rate for the employer questionnaire was 15.4%, with 131 employers participating. Of the 272 school officials that were sent the questionnaire, </w:t>
      </w:r>
    </w:p>
    <w:p w:rsidR="0023438A" w:rsidRDefault="00A02C86">
      <w:pPr>
        <w:spacing w:after="376" w:line="259" w:lineRule="auto"/>
        <w:ind w:left="435" w:right="777"/>
      </w:pPr>
      <w:r>
        <w:t xml:space="preserve">91 participated, resulting in a response rate of 33.4%. </w:t>
      </w:r>
    </w:p>
    <w:p w:rsidR="0023438A" w:rsidRDefault="00A02C86">
      <w:pPr>
        <w:pStyle w:val="Heading1"/>
        <w:ind w:left="435"/>
      </w:pPr>
      <w:r>
        <w:t>Data Collect</w:t>
      </w:r>
      <w:r>
        <w:t xml:space="preserve">ion Methods </w:t>
      </w:r>
    </w:p>
    <w:p w:rsidR="0023438A" w:rsidRDefault="00A02C86">
      <w:pPr>
        <w:ind w:left="425" w:right="1080" w:firstLine="720"/>
      </w:pPr>
      <w:r>
        <w:t>The researcher collected data using an online questionnaire consisting of mostly closed-ended items informed by the issues arising from the review of the literature. The instrument included one short answer, open-ended qualitative item. The qu</w:t>
      </w:r>
      <w:r>
        <w:t>estionnaire utilized five different 4-point Likert scales. The Likert items asked the participants to rate their level of awareness, interest level, barrier, priority level, and agreement. All questions were categorized into five groups: non-identifying de</w:t>
      </w:r>
      <w:r>
        <w:t>mographics, knowledge and awareness of PWRA apprenticeship, perceived benefits and advantages, perceived barriers or obstacles, and a section for suggested supports and resources. Educational participants were current CTE school officials, and the employer</w:t>
      </w:r>
      <w:r>
        <w:t xml:space="preserve"> participants are selected from firms who expressed an interest in hiring postsecondary CTE graduates for different locations within this </w:t>
      </w:r>
      <w:proofErr w:type="spellStart"/>
      <w:r>
        <w:t>MidAtlantic</w:t>
      </w:r>
      <w:proofErr w:type="spellEnd"/>
      <w:r>
        <w:t xml:space="preserve"> region. Participants were asked to participate in the current study through email recruitment sent by the </w:t>
      </w:r>
      <w:r>
        <w:t>researcher. The email included the purpose of the study, benefits to the participants, time frame of the questionnaire, confidentiality and anonymity information regarding participation, and a link to the questionnaire (see Appendix C). Participants were a</w:t>
      </w:r>
      <w:r>
        <w:t xml:space="preserve">sked to complete the online questionnaire, and three recruitment emails were sent over the time frame of a month and a half to increase levels of participation. Data collection began on </w:t>
      </w:r>
    </w:p>
    <w:p w:rsidR="0023438A" w:rsidRDefault="00A02C86">
      <w:pPr>
        <w:spacing w:after="376" w:line="259" w:lineRule="auto"/>
        <w:ind w:left="435" w:right="777"/>
      </w:pPr>
      <w:r>
        <w:t xml:space="preserve">June 5, 2020, and continued until July 21, 2020. </w:t>
      </w:r>
    </w:p>
    <w:p w:rsidR="0023438A" w:rsidRDefault="00A02C86">
      <w:pPr>
        <w:pStyle w:val="Heading1"/>
        <w:ind w:left="435"/>
      </w:pPr>
      <w:r>
        <w:t xml:space="preserve">Research Questions </w:t>
      </w:r>
    </w:p>
    <w:p w:rsidR="0023438A" w:rsidRDefault="00A02C86">
      <w:pPr>
        <w:tabs>
          <w:tab w:val="center" w:pos="440"/>
          <w:tab w:val="center" w:pos="4274"/>
        </w:tabs>
        <w:spacing w:after="261" w:line="259" w:lineRule="auto"/>
        <w:ind w:left="0" w:firstLine="0"/>
      </w:pPr>
      <w:r>
        <w:rPr>
          <w:rFonts w:ascii="Calibri" w:eastAsia="Calibri" w:hAnsi="Calibri" w:cs="Calibri"/>
          <w:sz w:val="22"/>
        </w:rPr>
        <w:tab/>
      </w:r>
      <w:r>
        <w:t xml:space="preserve"> </w:t>
      </w:r>
      <w:r>
        <w:tab/>
        <w:t xml:space="preserve">The following research questions were investigated in this study. </w:t>
      </w:r>
    </w:p>
    <w:p w:rsidR="0023438A" w:rsidRDefault="00A02C86">
      <w:pPr>
        <w:numPr>
          <w:ilvl w:val="0"/>
          <w:numId w:val="6"/>
        </w:numPr>
        <w:ind w:right="1219" w:hanging="240"/>
      </w:pPr>
      <w:r>
        <w:lastRenderedPageBreak/>
        <w:t xml:space="preserve">What are the perceptions and experiences of small and medium-size employers and the postsecondary, Career and Technical Education providers regarding apprenticeship programs? (RQ1) </w:t>
      </w:r>
    </w:p>
    <w:p w:rsidR="0023438A" w:rsidRDefault="00A02C86">
      <w:pPr>
        <w:numPr>
          <w:ilvl w:val="0"/>
          <w:numId w:val="6"/>
        </w:numPr>
        <w:ind w:right="1219" w:hanging="240"/>
      </w:pPr>
      <w:r>
        <w:t>Wha</w:t>
      </w:r>
      <w:r>
        <w:t xml:space="preserve">t are the perceived barriers /disconnects and opportunities for alignment between small and medium-size employers and the postsecondary, Career and </w:t>
      </w:r>
    </w:p>
    <w:p w:rsidR="0023438A" w:rsidRDefault="00A02C86">
      <w:pPr>
        <w:spacing w:after="252" w:line="259" w:lineRule="auto"/>
        <w:ind w:left="1369" w:right="777"/>
      </w:pPr>
      <w:r>
        <w:t xml:space="preserve">Technical Education providers regarding starting new Registered </w:t>
      </w:r>
    </w:p>
    <w:p w:rsidR="0023438A" w:rsidRDefault="00A02C86">
      <w:pPr>
        <w:spacing w:after="271" w:line="259" w:lineRule="auto"/>
        <w:ind w:left="1369" w:right="777"/>
      </w:pPr>
      <w:r>
        <w:t xml:space="preserve">Apprenticeship program offerings? (RQ2) </w:t>
      </w:r>
    </w:p>
    <w:p w:rsidR="0023438A" w:rsidRDefault="00A02C86">
      <w:pPr>
        <w:pStyle w:val="Heading1"/>
        <w:ind w:left="435"/>
      </w:pPr>
      <w:r>
        <w:t>R</w:t>
      </w:r>
      <w:r>
        <w:t xml:space="preserve">esults of the Study </w:t>
      </w:r>
    </w:p>
    <w:p w:rsidR="0023438A" w:rsidRDefault="00A02C86">
      <w:pPr>
        <w:ind w:left="435" w:right="777"/>
      </w:pPr>
      <w:r>
        <w:rPr>
          <w:b/>
        </w:rPr>
        <w:t xml:space="preserve"> </w:t>
      </w:r>
      <w:r>
        <w:rPr>
          <w:b/>
        </w:rPr>
        <w:tab/>
      </w:r>
      <w:r>
        <w:t>Results for the quantitative questionnaire conducted by the researcher are presented in this section. First, the demographic information gathered in the questionnaires is presented. Then, results from questionnaire items are shown in</w:t>
      </w:r>
      <w:r>
        <w:t xml:space="preserve"> three groups that report on the research questions of the study. Lastly, results from the open-ended qualitative question are reviewed. </w:t>
      </w:r>
    </w:p>
    <w:p w:rsidR="0023438A" w:rsidRDefault="00A02C86">
      <w:pPr>
        <w:spacing w:after="249" w:line="259" w:lineRule="auto"/>
        <w:ind w:left="435" w:right="777"/>
      </w:pPr>
      <w:r>
        <w:t xml:space="preserve">Where appropriate, the alignment of each group’s results is discussed for comparison purposes.  </w:t>
      </w:r>
    </w:p>
    <w:p w:rsidR="0023438A" w:rsidRDefault="00A02C86">
      <w:pPr>
        <w:spacing w:after="256" w:line="259" w:lineRule="auto"/>
        <w:ind w:left="435" w:right="777"/>
      </w:pPr>
      <w:r>
        <w:t>A total of 32 items, 16 on each of the two questionnaires, were analyzed.</w:t>
      </w:r>
      <w:r>
        <w:rPr>
          <w:b/>
        </w:rPr>
        <w:t xml:space="preserve"> </w:t>
      </w:r>
    </w:p>
    <w:p w:rsidR="0023438A" w:rsidRDefault="00A02C86">
      <w:pPr>
        <w:pStyle w:val="Heading1"/>
        <w:ind w:left="435"/>
      </w:pPr>
      <w:r>
        <w:t xml:space="preserve">Demographic Characteristics </w:t>
      </w:r>
    </w:p>
    <w:p w:rsidR="0023438A" w:rsidRDefault="00A02C86">
      <w:pPr>
        <w:spacing w:after="121" w:line="478" w:lineRule="auto"/>
        <w:ind w:left="425" w:right="1468" w:firstLine="720"/>
        <w:jc w:val="both"/>
      </w:pPr>
      <w:r>
        <w:t>The demographics portion of the questionnaire collected information to validate and describe the employer participants using the following variables: po</w:t>
      </w:r>
      <w:r>
        <w:t>sition held, the number of employees, and WBL programs in which they actively participate. Table 2 provides a breakdown of the demographics of the respondents and their companies, while Table 2 provides the same for the educators and their institutions. Qu</w:t>
      </w:r>
      <w:r>
        <w:t xml:space="preserve">estionnaire items in this section allow the respondents to check multiple answers if their role encapsulates more than one classification. </w:t>
      </w:r>
    </w:p>
    <w:p w:rsidR="0023438A" w:rsidRDefault="00A02C86">
      <w:pPr>
        <w:spacing w:after="252" w:line="259" w:lineRule="auto"/>
        <w:ind w:left="435" w:right="777"/>
      </w:pPr>
      <w:r>
        <w:t xml:space="preserve">Table 2 </w:t>
      </w:r>
    </w:p>
    <w:p w:rsidR="0023438A" w:rsidRDefault="00A02C86">
      <w:pPr>
        <w:spacing w:after="234" w:line="267" w:lineRule="auto"/>
        <w:ind w:left="435" w:right="715"/>
      </w:pPr>
      <w:r>
        <w:rPr>
          <w:i/>
        </w:rPr>
        <w:t>Demographic Information on Employer Participants, n=131</w:t>
      </w:r>
      <w:r>
        <w:t xml:space="preserve"> </w:t>
      </w:r>
    </w:p>
    <w:p w:rsidR="0023438A" w:rsidRDefault="00A02C86">
      <w:pPr>
        <w:spacing w:after="0" w:line="259" w:lineRule="auto"/>
        <w:ind w:left="440" w:firstLine="0"/>
      </w:pPr>
      <w:r>
        <w:rPr>
          <w:rFonts w:ascii="Calibri" w:eastAsia="Calibri" w:hAnsi="Calibri" w:cs="Calibri"/>
          <w:sz w:val="22"/>
        </w:rPr>
        <w:t xml:space="preserve"> </w:t>
      </w:r>
    </w:p>
    <w:tbl>
      <w:tblPr>
        <w:tblStyle w:val="TableGrid"/>
        <w:tblW w:w="7447" w:type="dxa"/>
        <w:tblInd w:w="733" w:type="dxa"/>
        <w:tblCellMar>
          <w:top w:w="0" w:type="dxa"/>
          <w:left w:w="0" w:type="dxa"/>
          <w:bottom w:w="0" w:type="dxa"/>
          <w:right w:w="0" w:type="dxa"/>
        </w:tblCellMar>
        <w:tblLook w:val="04A0" w:firstRow="1" w:lastRow="0" w:firstColumn="1" w:lastColumn="0" w:noHBand="0" w:noVBand="1"/>
      </w:tblPr>
      <w:tblGrid>
        <w:gridCol w:w="2287"/>
        <w:gridCol w:w="2294"/>
        <w:gridCol w:w="617"/>
        <w:gridCol w:w="2249"/>
      </w:tblGrid>
      <w:tr w:rsidR="0023438A">
        <w:trPr>
          <w:trHeight w:val="425"/>
        </w:trPr>
        <w:tc>
          <w:tcPr>
            <w:tcW w:w="2287" w:type="dxa"/>
            <w:tcBorders>
              <w:top w:val="single" w:sz="4" w:space="0" w:color="000000"/>
              <w:left w:val="nil"/>
              <w:bottom w:val="single" w:sz="4" w:space="0" w:color="000000"/>
              <w:right w:val="nil"/>
            </w:tcBorders>
          </w:tcPr>
          <w:p w:rsidR="0023438A" w:rsidRDefault="00A02C86">
            <w:pPr>
              <w:spacing w:after="0" w:line="259" w:lineRule="auto"/>
              <w:ind w:left="122" w:firstLine="0"/>
            </w:pPr>
            <w:r>
              <w:t xml:space="preserve">Questionnaire Item </w:t>
            </w:r>
          </w:p>
        </w:tc>
        <w:tc>
          <w:tcPr>
            <w:tcW w:w="2294" w:type="dxa"/>
            <w:tcBorders>
              <w:top w:val="single" w:sz="4" w:space="0" w:color="000000"/>
              <w:left w:val="nil"/>
              <w:bottom w:val="single" w:sz="4" w:space="0" w:color="000000"/>
              <w:right w:val="nil"/>
            </w:tcBorders>
          </w:tcPr>
          <w:p w:rsidR="0023438A" w:rsidRDefault="00A02C86">
            <w:pPr>
              <w:spacing w:after="0" w:line="259" w:lineRule="auto"/>
              <w:ind w:left="521" w:firstLine="0"/>
            </w:pPr>
            <w:r>
              <w:t xml:space="preserve">Variable </w:t>
            </w:r>
          </w:p>
        </w:tc>
        <w:tc>
          <w:tcPr>
            <w:tcW w:w="617" w:type="dxa"/>
            <w:tcBorders>
              <w:top w:val="single" w:sz="4" w:space="0" w:color="000000"/>
              <w:left w:val="nil"/>
              <w:bottom w:val="single" w:sz="4" w:space="0" w:color="000000"/>
              <w:right w:val="nil"/>
            </w:tcBorders>
          </w:tcPr>
          <w:p w:rsidR="0023438A" w:rsidRDefault="00A02C86">
            <w:pPr>
              <w:spacing w:after="0" w:line="259" w:lineRule="auto"/>
              <w:ind w:left="60" w:firstLine="0"/>
            </w:pPr>
            <w:r>
              <w:rPr>
                <w:i/>
              </w:rPr>
              <w:t>n</w:t>
            </w:r>
            <w:r>
              <w:t xml:space="preserve"> </w:t>
            </w:r>
          </w:p>
        </w:tc>
        <w:tc>
          <w:tcPr>
            <w:tcW w:w="2249"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w:t>
            </w:r>
            <w:r>
              <w:t xml:space="preserve"> </w:t>
            </w:r>
          </w:p>
        </w:tc>
      </w:tr>
      <w:tr w:rsidR="0023438A">
        <w:trPr>
          <w:trHeight w:val="693"/>
        </w:trPr>
        <w:tc>
          <w:tcPr>
            <w:tcW w:w="2287" w:type="dxa"/>
            <w:tcBorders>
              <w:top w:val="single" w:sz="4" w:space="0" w:color="000000"/>
              <w:left w:val="nil"/>
              <w:bottom w:val="nil"/>
              <w:right w:val="nil"/>
            </w:tcBorders>
          </w:tcPr>
          <w:p w:rsidR="0023438A" w:rsidRDefault="00A02C86">
            <w:pPr>
              <w:spacing w:after="105" w:line="259" w:lineRule="auto"/>
              <w:ind w:left="122" w:firstLine="0"/>
            </w:pPr>
            <w:r>
              <w:lastRenderedPageBreak/>
              <w:t xml:space="preserve">Position </w:t>
            </w:r>
          </w:p>
          <w:p w:rsidR="0023438A" w:rsidRDefault="00A02C86">
            <w:pPr>
              <w:spacing w:after="0" w:line="259" w:lineRule="auto"/>
              <w:ind w:left="122" w:firstLine="0"/>
            </w:pPr>
            <w:r>
              <w:t xml:space="preserve"> </w:t>
            </w:r>
          </w:p>
        </w:tc>
        <w:tc>
          <w:tcPr>
            <w:tcW w:w="2294" w:type="dxa"/>
            <w:tcBorders>
              <w:top w:val="single" w:sz="4" w:space="0" w:color="000000"/>
              <w:left w:val="nil"/>
              <w:bottom w:val="nil"/>
              <w:right w:val="nil"/>
            </w:tcBorders>
          </w:tcPr>
          <w:p w:rsidR="0023438A" w:rsidRDefault="00A02C86">
            <w:pPr>
              <w:spacing w:after="139" w:line="259" w:lineRule="auto"/>
              <w:ind w:left="0" w:right="206" w:firstLine="0"/>
              <w:jc w:val="right"/>
            </w:pPr>
            <w:r>
              <w:t xml:space="preserve"> </w:t>
            </w:r>
          </w:p>
          <w:p w:rsidR="0023438A" w:rsidRDefault="00A02C86">
            <w:pPr>
              <w:tabs>
                <w:tab w:val="center" w:pos="2028"/>
              </w:tabs>
              <w:spacing w:after="0" w:line="259" w:lineRule="auto"/>
              <w:ind w:left="0" w:firstLine="0"/>
            </w:pPr>
            <w:r>
              <w:t xml:space="preserve">C-Level </w:t>
            </w:r>
            <w:r>
              <w:tab/>
              <w:t xml:space="preserve"> </w:t>
            </w:r>
          </w:p>
        </w:tc>
        <w:tc>
          <w:tcPr>
            <w:tcW w:w="617" w:type="dxa"/>
            <w:tcBorders>
              <w:top w:val="single" w:sz="4" w:space="0" w:color="000000"/>
              <w:left w:val="nil"/>
              <w:bottom w:val="nil"/>
              <w:right w:val="nil"/>
            </w:tcBorders>
            <w:vAlign w:val="bottom"/>
          </w:tcPr>
          <w:p w:rsidR="0023438A" w:rsidRDefault="00A02C86">
            <w:pPr>
              <w:spacing w:after="0" w:line="259" w:lineRule="auto"/>
              <w:ind w:left="50" w:firstLine="0"/>
            </w:pPr>
            <w:r>
              <w:t xml:space="preserve">52 </w:t>
            </w:r>
          </w:p>
        </w:tc>
        <w:tc>
          <w:tcPr>
            <w:tcW w:w="2249" w:type="dxa"/>
            <w:tcBorders>
              <w:top w:val="single" w:sz="4" w:space="0" w:color="000000"/>
              <w:left w:val="nil"/>
              <w:bottom w:val="nil"/>
              <w:right w:val="nil"/>
            </w:tcBorders>
          </w:tcPr>
          <w:p w:rsidR="0023438A" w:rsidRDefault="00A02C86">
            <w:pPr>
              <w:spacing w:after="134" w:line="259" w:lineRule="auto"/>
              <w:ind w:left="108" w:firstLine="0"/>
            </w:pPr>
            <w:r>
              <w:t xml:space="preserve"> </w:t>
            </w:r>
          </w:p>
          <w:p w:rsidR="0023438A" w:rsidRDefault="00A02C86">
            <w:pPr>
              <w:tabs>
                <w:tab w:val="center" w:pos="741"/>
              </w:tabs>
              <w:spacing w:after="0" w:line="259" w:lineRule="auto"/>
              <w:ind w:left="0" w:firstLine="0"/>
            </w:pPr>
            <w:r>
              <w:t xml:space="preserve">39.62 </w:t>
            </w:r>
            <w:r>
              <w:tab/>
              <w:t xml:space="preserve">% </w:t>
            </w:r>
          </w:p>
        </w:tc>
      </w:tr>
      <w:tr w:rsidR="0023438A">
        <w:trPr>
          <w:trHeight w:val="272"/>
        </w:trPr>
        <w:tc>
          <w:tcPr>
            <w:tcW w:w="2287" w:type="dxa"/>
            <w:tcBorders>
              <w:top w:val="nil"/>
              <w:left w:val="nil"/>
              <w:bottom w:val="nil"/>
              <w:right w:val="nil"/>
            </w:tcBorders>
          </w:tcPr>
          <w:p w:rsidR="0023438A" w:rsidRDefault="00A02C86">
            <w:pPr>
              <w:spacing w:after="0" w:line="259" w:lineRule="auto"/>
              <w:ind w:left="134" w:firstLine="0"/>
              <w:jc w:val="center"/>
            </w:pPr>
            <w:r>
              <w:t xml:space="preserve"> </w:t>
            </w: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Human Resources </w:t>
            </w:r>
          </w:p>
        </w:tc>
        <w:tc>
          <w:tcPr>
            <w:tcW w:w="617" w:type="dxa"/>
            <w:tcBorders>
              <w:top w:val="nil"/>
              <w:left w:val="nil"/>
              <w:bottom w:val="nil"/>
              <w:right w:val="nil"/>
            </w:tcBorders>
          </w:tcPr>
          <w:p w:rsidR="0023438A" w:rsidRDefault="00A02C86">
            <w:pPr>
              <w:spacing w:after="0" w:line="259" w:lineRule="auto"/>
              <w:ind w:left="50" w:firstLine="0"/>
            </w:pPr>
            <w:r>
              <w:t xml:space="preserve">26 </w:t>
            </w:r>
          </w:p>
        </w:tc>
        <w:tc>
          <w:tcPr>
            <w:tcW w:w="2249" w:type="dxa"/>
            <w:tcBorders>
              <w:top w:val="nil"/>
              <w:left w:val="nil"/>
              <w:bottom w:val="nil"/>
              <w:right w:val="nil"/>
            </w:tcBorders>
          </w:tcPr>
          <w:p w:rsidR="0023438A" w:rsidRDefault="00A02C86">
            <w:pPr>
              <w:spacing w:after="0" w:line="259" w:lineRule="auto"/>
              <w:ind w:left="101" w:firstLine="0"/>
            </w:pPr>
            <w:r>
              <w:t xml:space="preserve">19.85% </w:t>
            </w:r>
          </w:p>
        </w:tc>
      </w:tr>
      <w:tr w:rsidR="0023438A">
        <w:trPr>
          <w:trHeight w:val="272"/>
        </w:trPr>
        <w:tc>
          <w:tcPr>
            <w:tcW w:w="2287" w:type="dxa"/>
            <w:tcBorders>
              <w:top w:val="nil"/>
              <w:left w:val="nil"/>
              <w:bottom w:val="nil"/>
              <w:right w:val="nil"/>
            </w:tcBorders>
            <w:vAlign w:val="bottom"/>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Supervisor </w:t>
            </w:r>
          </w:p>
        </w:tc>
        <w:tc>
          <w:tcPr>
            <w:tcW w:w="617" w:type="dxa"/>
            <w:tcBorders>
              <w:top w:val="nil"/>
              <w:left w:val="nil"/>
              <w:bottom w:val="nil"/>
              <w:right w:val="nil"/>
            </w:tcBorders>
          </w:tcPr>
          <w:p w:rsidR="0023438A" w:rsidRDefault="00A02C86">
            <w:pPr>
              <w:spacing w:after="0" w:line="259" w:lineRule="auto"/>
              <w:ind w:left="50" w:firstLine="0"/>
            </w:pPr>
            <w:r>
              <w:t xml:space="preserve">41 </w:t>
            </w:r>
          </w:p>
        </w:tc>
        <w:tc>
          <w:tcPr>
            <w:tcW w:w="2249" w:type="dxa"/>
            <w:tcBorders>
              <w:top w:val="nil"/>
              <w:left w:val="nil"/>
              <w:bottom w:val="nil"/>
              <w:right w:val="nil"/>
            </w:tcBorders>
          </w:tcPr>
          <w:p w:rsidR="0023438A" w:rsidRDefault="00A02C86">
            <w:pPr>
              <w:spacing w:after="0" w:line="259" w:lineRule="auto"/>
              <w:ind w:left="101" w:firstLine="0"/>
            </w:pPr>
            <w:r>
              <w:t xml:space="preserve">31.3% </w:t>
            </w:r>
          </w:p>
        </w:tc>
      </w:tr>
      <w:tr w:rsidR="0023438A">
        <w:trPr>
          <w:trHeight w:val="263"/>
        </w:trPr>
        <w:tc>
          <w:tcPr>
            <w:tcW w:w="2287" w:type="dxa"/>
            <w:tcBorders>
              <w:top w:val="nil"/>
              <w:left w:val="nil"/>
              <w:bottom w:val="nil"/>
              <w:right w:val="nil"/>
            </w:tcBorders>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Staff </w:t>
            </w:r>
          </w:p>
        </w:tc>
        <w:tc>
          <w:tcPr>
            <w:tcW w:w="617" w:type="dxa"/>
            <w:tcBorders>
              <w:top w:val="nil"/>
              <w:left w:val="nil"/>
              <w:bottom w:val="nil"/>
              <w:right w:val="nil"/>
            </w:tcBorders>
          </w:tcPr>
          <w:p w:rsidR="0023438A" w:rsidRDefault="00A02C86">
            <w:pPr>
              <w:spacing w:after="0" w:line="259" w:lineRule="auto"/>
              <w:ind w:left="50" w:firstLine="0"/>
            </w:pPr>
            <w:r>
              <w:t xml:space="preserve">15 </w:t>
            </w:r>
          </w:p>
        </w:tc>
        <w:tc>
          <w:tcPr>
            <w:tcW w:w="2249" w:type="dxa"/>
            <w:tcBorders>
              <w:top w:val="nil"/>
              <w:left w:val="nil"/>
              <w:bottom w:val="nil"/>
              <w:right w:val="nil"/>
            </w:tcBorders>
          </w:tcPr>
          <w:p w:rsidR="0023438A" w:rsidRDefault="00A02C86">
            <w:pPr>
              <w:spacing w:after="0" w:line="259" w:lineRule="auto"/>
              <w:ind w:left="101" w:firstLine="0"/>
            </w:pPr>
            <w:r>
              <w:t xml:space="preserve">11.45% </w:t>
            </w:r>
          </w:p>
        </w:tc>
      </w:tr>
      <w:tr w:rsidR="0023438A">
        <w:trPr>
          <w:trHeight w:val="319"/>
        </w:trPr>
        <w:tc>
          <w:tcPr>
            <w:tcW w:w="2287" w:type="dxa"/>
            <w:tcBorders>
              <w:top w:val="nil"/>
              <w:left w:val="nil"/>
              <w:bottom w:val="nil"/>
              <w:right w:val="nil"/>
            </w:tcBorders>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Other </w:t>
            </w:r>
          </w:p>
        </w:tc>
        <w:tc>
          <w:tcPr>
            <w:tcW w:w="617" w:type="dxa"/>
            <w:tcBorders>
              <w:top w:val="nil"/>
              <w:left w:val="nil"/>
              <w:bottom w:val="nil"/>
              <w:right w:val="nil"/>
            </w:tcBorders>
          </w:tcPr>
          <w:p w:rsidR="0023438A" w:rsidRDefault="00A02C86">
            <w:pPr>
              <w:spacing w:after="0" w:line="259" w:lineRule="auto"/>
              <w:ind w:left="110" w:firstLine="0"/>
            </w:pPr>
            <w:r>
              <w:t xml:space="preserve">6 </w:t>
            </w:r>
          </w:p>
        </w:tc>
        <w:tc>
          <w:tcPr>
            <w:tcW w:w="2249" w:type="dxa"/>
            <w:tcBorders>
              <w:top w:val="nil"/>
              <w:left w:val="nil"/>
              <w:bottom w:val="nil"/>
              <w:right w:val="nil"/>
            </w:tcBorders>
          </w:tcPr>
          <w:p w:rsidR="0023438A" w:rsidRDefault="00A02C86">
            <w:pPr>
              <w:spacing w:after="0" w:line="259" w:lineRule="auto"/>
              <w:ind w:left="101" w:firstLine="0"/>
            </w:pPr>
            <w:r>
              <w:t xml:space="preserve">4.58% </w:t>
            </w:r>
          </w:p>
        </w:tc>
      </w:tr>
      <w:tr w:rsidR="0023438A">
        <w:trPr>
          <w:trHeight w:val="634"/>
        </w:trPr>
        <w:tc>
          <w:tcPr>
            <w:tcW w:w="2287" w:type="dxa"/>
            <w:tcBorders>
              <w:top w:val="nil"/>
              <w:left w:val="nil"/>
              <w:bottom w:val="nil"/>
              <w:right w:val="nil"/>
            </w:tcBorders>
          </w:tcPr>
          <w:p w:rsidR="0023438A" w:rsidRDefault="00A02C86">
            <w:pPr>
              <w:spacing w:after="0" w:line="259" w:lineRule="auto"/>
              <w:ind w:left="60" w:firstLine="0"/>
              <w:jc w:val="center"/>
            </w:pPr>
            <w:r>
              <w:t xml:space="preserve">Employee Count </w:t>
            </w:r>
          </w:p>
        </w:tc>
        <w:tc>
          <w:tcPr>
            <w:tcW w:w="2294" w:type="dxa"/>
            <w:tcBorders>
              <w:top w:val="nil"/>
              <w:left w:val="nil"/>
              <w:bottom w:val="nil"/>
              <w:right w:val="nil"/>
            </w:tcBorders>
            <w:vAlign w:val="bottom"/>
          </w:tcPr>
          <w:p w:rsidR="0023438A" w:rsidRDefault="00A02C86">
            <w:pPr>
              <w:spacing w:after="0" w:line="259" w:lineRule="auto"/>
              <w:ind w:left="41" w:firstLine="0"/>
            </w:pPr>
            <w:r>
              <w:t xml:space="preserve">1-10 </w:t>
            </w:r>
          </w:p>
        </w:tc>
        <w:tc>
          <w:tcPr>
            <w:tcW w:w="617" w:type="dxa"/>
            <w:tcBorders>
              <w:top w:val="nil"/>
              <w:left w:val="nil"/>
              <w:bottom w:val="nil"/>
              <w:right w:val="nil"/>
            </w:tcBorders>
            <w:vAlign w:val="bottom"/>
          </w:tcPr>
          <w:p w:rsidR="0023438A" w:rsidRDefault="00A02C86">
            <w:pPr>
              <w:spacing w:after="0" w:line="259" w:lineRule="auto"/>
              <w:ind w:left="50" w:firstLine="0"/>
              <w:jc w:val="both"/>
            </w:pPr>
            <w:r>
              <w:t xml:space="preserve">30     </w:t>
            </w:r>
          </w:p>
        </w:tc>
        <w:tc>
          <w:tcPr>
            <w:tcW w:w="2249" w:type="dxa"/>
            <w:tcBorders>
              <w:top w:val="nil"/>
              <w:left w:val="nil"/>
              <w:bottom w:val="nil"/>
              <w:right w:val="nil"/>
            </w:tcBorders>
            <w:vAlign w:val="bottom"/>
          </w:tcPr>
          <w:p w:rsidR="0023438A" w:rsidRDefault="00A02C86">
            <w:pPr>
              <w:spacing w:after="0" w:line="259" w:lineRule="auto"/>
              <w:ind w:left="-26" w:firstLine="0"/>
            </w:pPr>
            <w:r>
              <w:t xml:space="preserve"> 1-10% </w:t>
            </w:r>
          </w:p>
        </w:tc>
      </w:tr>
      <w:tr w:rsidR="0023438A">
        <w:trPr>
          <w:trHeight w:val="306"/>
        </w:trPr>
        <w:tc>
          <w:tcPr>
            <w:tcW w:w="2287" w:type="dxa"/>
            <w:tcBorders>
              <w:top w:val="nil"/>
              <w:left w:val="nil"/>
              <w:bottom w:val="nil"/>
              <w:right w:val="nil"/>
            </w:tcBorders>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11-25 </w:t>
            </w:r>
          </w:p>
        </w:tc>
        <w:tc>
          <w:tcPr>
            <w:tcW w:w="617" w:type="dxa"/>
            <w:tcBorders>
              <w:top w:val="nil"/>
              <w:left w:val="nil"/>
              <w:bottom w:val="nil"/>
              <w:right w:val="nil"/>
            </w:tcBorders>
          </w:tcPr>
          <w:p w:rsidR="0023438A" w:rsidRDefault="00A02C86">
            <w:pPr>
              <w:spacing w:after="0" w:line="259" w:lineRule="auto"/>
              <w:ind w:left="50" w:firstLine="0"/>
            </w:pPr>
            <w:r>
              <w:t xml:space="preserve">19 </w:t>
            </w:r>
          </w:p>
        </w:tc>
        <w:tc>
          <w:tcPr>
            <w:tcW w:w="2249" w:type="dxa"/>
            <w:tcBorders>
              <w:top w:val="nil"/>
              <w:left w:val="nil"/>
              <w:bottom w:val="nil"/>
              <w:right w:val="nil"/>
            </w:tcBorders>
          </w:tcPr>
          <w:p w:rsidR="0023438A" w:rsidRDefault="00A02C86">
            <w:pPr>
              <w:spacing w:after="0" w:line="259" w:lineRule="auto"/>
              <w:ind w:left="101" w:firstLine="0"/>
            </w:pPr>
            <w:r>
              <w:t xml:space="preserve">14.50% </w:t>
            </w:r>
          </w:p>
        </w:tc>
      </w:tr>
      <w:tr w:rsidR="0023438A">
        <w:trPr>
          <w:trHeight w:val="317"/>
        </w:trPr>
        <w:tc>
          <w:tcPr>
            <w:tcW w:w="2287" w:type="dxa"/>
            <w:tcBorders>
              <w:top w:val="nil"/>
              <w:left w:val="nil"/>
              <w:bottom w:val="nil"/>
              <w:right w:val="nil"/>
            </w:tcBorders>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26-50 </w:t>
            </w:r>
          </w:p>
        </w:tc>
        <w:tc>
          <w:tcPr>
            <w:tcW w:w="617" w:type="dxa"/>
            <w:tcBorders>
              <w:top w:val="nil"/>
              <w:left w:val="nil"/>
              <w:bottom w:val="nil"/>
              <w:right w:val="nil"/>
            </w:tcBorders>
          </w:tcPr>
          <w:p w:rsidR="0023438A" w:rsidRDefault="00A02C86">
            <w:pPr>
              <w:spacing w:after="0" w:line="259" w:lineRule="auto"/>
              <w:ind w:left="50" w:firstLine="0"/>
            </w:pPr>
            <w:r>
              <w:t xml:space="preserve">14 </w:t>
            </w:r>
          </w:p>
        </w:tc>
        <w:tc>
          <w:tcPr>
            <w:tcW w:w="2249" w:type="dxa"/>
            <w:tcBorders>
              <w:top w:val="nil"/>
              <w:left w:val="nil"/>
              <w:bottom w:val="nil"/>
              <w:right w:val="nil"/>
            </w:tcBorders>
          </w:tcPr>
          <w:p w:rsidR="0023438A" w:rsidRDefault="00A02C86">
            <w:pPr>
              <w:spacing w:after="0" w:line="259" w:lineRule="auto"/>
              <w:ind w:left="101" w:firstLine="0"/>
            </w:pPr>
            <w:r>
              <w:t xml:space="preserve">10.69% </w:t>
            </w:r>
          </w:p>
        </w:tc>
      </w:tr>
      <w:tr w:rsidR="0023438A">
        <w:trPr>
          <w:trHeight w:val="271"/>
        </w:trPr>
        <w:tc>
          <w:tcPr>
            <w:tcW w:w="2287" w:type="dxa"/>
            <w:tcBorders>
              <w:top w:val="nil"/>
              <w:left w:val="nil"/>
              <w:bottom w:val="nil"/>
              <w:right w:val="nil"/>
            </w:tcBorders>
          </w:tcPr>
          <w:p w:rsidR="0023438A" w:rsidRDefault="00A02C86">
            <w:pPr>
              <w:spacing w:after="0" w:line="259" w:lineRule="auto"/>
              <w:ind w:left="0" w:firstLine="0"/>
              <w:jc w:val="right"/>
            </w:pPr>
            <w:r>
              <w:t xml:space="preserve"> </w:t>
            </w:r>
            <w:r>
              <w:tab/>
              <w:t xml:space="preserve"> </w:t>
            </w:r>
          </w:p>
        </w:tc>
        <w:tc>
          <w:tcPr>
            <w:tcW w:w="2294" w:type="dxa"/>
            <w:tcBorders>
              <w:top w:val="nil"/>
              <w:left w:val="nil"/>
              <w:bottom w:val="nil"/>
              <w:right w:val="nil"/>
            </w:tcBorders>
          </w:tcPr>
          <w:p w:rsidR="0023438A" w:rsidRDefault="00A02C86">
            <w:pPr>
              <w:spacing w:after="0" w:line="259" w:lineRule="auto"/>
              <w:ind w:left="0" w:firstLine="0"/>
            </w:pPr>
            <w:r>
              <w:t xml:space="preserve">51-100                     </w:t>
            </w:r>
          </w:p>
        </w:tc>
        <w:tc>
          <w:tcPr>
            <w:tcW w:w="617" w:type="dxa"/>
            <w:tcBorders>
              <w:top w:val="nil"/>
              <w:left w:val="nil"/>
              <w:bottom w:val="nil"/>
              <w:right w:val="nil"/>
            </w:tcBorders>
          </w:tcPr>
          <w:p w:rsidR="0023438A" w:rsidRDefault="00A02C86">
            <w:pPr>
              <w:spacing w:after="0" w:line="259" w:lineRule="auto"/>
              <w:ind w:left="0" w:firstLine="0"/>
            </w:pPr>
            <w:r>
              <w:t>16</w:t>
            </w:r>
            <w:r>
              <w:rPr>
                <w:rFonts w:ascii="Calibri" w:eastAsia="Calibri" w:hAnsi="Calibri" w:cs="Calibri"/>
                <w:sz w:val="22"/>
              </w:rPr>
              <w:t xml:space="preserve"> </w:t>
            </w:r>
          </w:p>
        </w:tc>
        <w:tc>
          <w:tcPr>
            <w:tcW w:w="2249" w:type="dxa"/>
            <w:tcBorders>
              <w:top w:val="nil"/>
              <w:left w:val="nil"/>
              <w:bottom w:val="nil"/>
              <w:right w:val="nil"/>
            </w:tcBorders>
          </w:tcPr>
          <w:p w:rsidR="0023438A" w:rsidRDefault="00A02C86">
            <w:pPr>
              <w:spacing w:after="0" w:line="259" w:lineRule="auto"/>
              <w:ind w:left="0" w:firstLine="0"/>
            </w:pPr>
            <w:r>
              <w:t xml:space="preserve">  </w:t>
            </w:r>
            <w:r>
              <w:t>12.21%</w:t>
            </w:r>
            <w:r>
              <w:rPr>
                <w:rFonts w:ascii="Calibri" w:eastAsia="Calibri" w:hAnsi="Calibri" w:cs="Calibri"/>
                <w:sz w:val="22"/>
              </w:rPr>
              <w:t xml:space="preserve"> </w:t>
            </w:r>
          </w:p>
        </w:tc>
      </w:tr>
      <w:tr w:rsidR="0023438A">
        <w:trPr>
          <w:trHeight w:val="263"/>
        </w:trPr>
        <w:tc>
          <w:tcPr>
            <w:tcW w:w="2287" w:type="dxa"/>
            <w:tcBorders>
              <w:top w:val="nil"/>
              <w:left w:val="nil"/>
              <w:bottom w:val="nil"/>
              <w:right w:val="nil"/>
            </w:tcBorders>
          </w:tcPr>
          <w:p w:rsidR="0023438A" w:rsidRDefault="00A02C86">
            <w:pPr>
              <w:spacing w:after="0" w:line="259" w:lineRule="auto"/>
              <w:ind w:left="144"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101-250 </w:t>
            </w:r>
          </w:p>
        </w:tc>
        <w:tc>
          <w:tcPr>
            <w:tcW w:w="617" w:type="dxa"/>
            <w:tcBorders>
              <w:top w:val="nil"/>
              <w:left w:val="nil"/>
              <w:bottom w:val="nil"/>
              <w:right w:val="nil"/>
            </w:tcBorders>
          </w:tcPr>
          <w:p w:rsidR="0023438A" w:rsidRDefault="00A02C86">
            <w:pPr>
              <w:spacing w:after="0" w:line="259" w:lineRule="auto"/>
              <w:ind w:left="50" w:firstLine="0"/>
            </w:pPr>
            <w:r>
              <w:t xml:space="preserve">14 </w:t>
            </w:r>
          </w:p>
        </w:tc>
        <w:tc>
          <w:tcPr>
            <w:tcW w:w="2249" w:type="dxa"/>
            <w:tcBorders>
              <w:top w:val="nil"/>
              <w:left w:val="nil"/>
              <w:bottom w:val="nil"/>
              <w:right w:val="nil"/>
            </w:tcBorders>
          </w:tcPr>
          <w:p w:rsidR="0023438A" w:rsidRDefault="00A02C86">
            <w:pPr>
              <w:spacing w:after="0" w:line="259" w:lineRule="auto"/>
              <w:ind w:left="101" w:firstLine="0"/>
            </w:pPr>
            <w:r>
              <w:t xml:space="preserve">10.69% </w:t>
            </w:r>
          </w:p>
        </w:tc>
      </w:tr>
      <w:tr w:rsidR="0023438A">
        <w:trPr>
          <w:trHeight w:val="272"/>
        </w:trPr>
        <w:tc>
          <w:tcPr>
            <w:tcW w:w="2287" w:type="dxa"/>
            <w:tcBorders>
              <w:top w:val="nil"/>
              <w:left w:val="nil"/>
              <w:bottom w:val="nil"/>
              <w:right w:val="nil"/>
            </w:tcBorders>
            <w:vAlign w:val="bottom"/>
          </w:tcPr>
          <w:p w:rsidR="0023438A" w:rsidRDefault="00A02C86">
            <w:pPr>
              <w:spacing w:after="0" w:line="259" w:lineRule="auto"/>
              <w:ind w:left="120" w:firstLine="0"/>
              <w:jc w:val="center"/>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251-500 </w:t>
            </w:r>
          </w:p>
        </w:tc>
        <w:tc>
          <w:tcPr>
            <w:tcW w:w="617" w:type="dxa"/>
            <w:tcBorders>
              <w:top w:val="nil"/>
              <w:left w:val="nil"/>
              <w:bottom w:val="nil"/>
              <w:right w:val="nil"/>
            </w:tcBorders>
          </w:tcPr>
          <w:p w:rsidR="0023438A" w:rsidRDefault="00A02C86">
            <w:pPr>
              <w:spacing w:after="0" w:line="259" w:lineRule="auto"/>
              <w:ind w:left="110" w:firstLine="0"/>
            </w:pPr>
            <w:r>
              <w:t xml:space="preserve">8 </w:t>
            </w:r>
          </w:p>
        </w:tc>
        <w:tc>
          <w:tcPr>
            <w:tcW w:w="2249" w:type="dxa"/>
            <w:tcBorders>
              <w:top w:val="nil"/>
              <w:left w:val="nil"/>
              <w:bottom w:val="nil"/>
              <w:right w:val="nil"/>
            </w:tcBorders>
          </w:tcPr>
          <w:p w:rsidR="0023438A" w:rsidRDefault="00A02C86">
            <w:pPr>
              <w:spacing w:after="0" w:line="259" w:lineRule="auto"/>
              <w:ind w:left="101" w:firstLine="0"/>
            </w:pPr>
            <w:r>
              <w:t xml:space="preserve">6.11% </w:t>
            </w:r>
          </w:p>
        </w:tc>
      </w:tr>
      <w:tr w:rsidR="0023438A">
        <w:trPr>
          <w:trHeight w:val="272"/>
        </w:trPr>
        <w:tc>
          <w:tcPr>
            <w:tcW w:w="2287" w:type="dxa"/>
            <w:tcBorders>
              <w:top w:val="nil"/>
              <w:left w:val="nil"/>
              <w:bottom w:val="nil"/>
              <w:right w:val="nil"/>
            </w:tcBorders>
          </w:tcPr>
          <w:p w:rsidR="0023438A" w:rsidRDefault="00A02C86">
            <w:pPr>
              <w:spacing w:after="0" w:line="259" w:lineRule="auto"/>
              <w:ind w:left="4" w:firstLine="0"/>
              <w:jc w:val="center"/>
            </w:pPr>
            <w:r>
              <w:rPr>
                <w:rFonts w:ascii="Calibri" w:eastAsia="Calibri" w:hAnsi="Calibri" w:cs="Calibri"/>
                <w:sz w:val="22"/>
              </w:rP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501-1000 </w:t>
            </w:r>
          </w:p>
        </w:tc>
        <w:tc>
          <w:tcPr>
            <w:tcW w:w="617" w:type="dxa"/>
            <w:tcBorders>
              <w:top w:val="nil"/>
              <w:left w:val="nil"/>
              <w:bottom w:val="nil"/>
              <w:right w:val="nil"/>
            </w:tcBorders>
          </w:tcPr>
          <w:p w:rsidR="0023438A" w:rsidRDefault="00A02C86">
            <w:pPr>
              <w:spacing w:after="0" w:line="259" w:lineRule="auto"/>
              <w:ind w:left="110" w:firstLine="0"/>
            </w:pPr>
            <w:r>
              <w:t xml:space="preserve">8 </w:t>
            </w:r>
          </w:p>
        </w:tc>
        <w:tc>
          <w:tcPr>
            <w:tcW w:w="2249" w:type="dxa"/>
            <w:tcBorders>
              <w:top w:val="nil"/>
              <w:left w:val="nil"/>
              <w:bottom w:val="nil"/>
              <w:right w:val="nil"/>
            </w:tcBorders>
          </w:tcPr>
          <w:p w:rsidR="0023438A" w:rsidRDefault="00A02C86">
            <w:pPr>
              <w:spacing w:after="0" w:line="259" w:lineRule="auto"/>
              <w:ind w:left="101" w:firstLine="0"/>
            </w:pPr>
            <w:r>
              <w:t xml:space="preserve">6.11% </w:t>
            </w:r>
          </w:p>
        </w:tc>
      </w:tr>
      <w:tr w:rsidR="0023438A">
        <w:trPr>
          <w:trHeight w:val="317"/>
        </w:trPr>
        <w:tc>
          <w:tcPr>
            <w:tcW w:w="2287" w:type="dxa"/>
            <w:tcBorders>
              <w:top w:val="nil"/>
              <w:left w:val="nil"/>
              <w:bottom w:val="nil"/>
              <w:right w:val="nil"/>
            </w:tcBorders>
          </w:tcPr>
          <w:p w:rsidR="0023438A" w:rsidRDefault="00A02C86">
            <w:pPr>
              <w:spacing w:after="0" w:line="259" w:lineRule="auto"/>
              <w:ind w:left="115" w:firstLine="0"/>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1000+ </w:t>
            </w:r>
          </w:p>
        </w:tc>
        <w:tc>
          <w:tcPr>
            <w:tcW w:w="617" w:type="dxa"/>
            <w:tcBorders>
              <w:top w:val="nil"/>
              <w:left w:val="nil"/>
              <w:bottom w:val="nil"/>
              <w:right w:val="nil"/>
            </w:tcBorders>
          </w:tcPr>
          <w:p w:rsidR="0023438A" w:rsidRDefault="00A02C86">
            <w:pPr>
              <w:spacing w:after="0" w:line="259" w:lineRule="auto"/>
              <w:ind w:left="53" w:firstLine="0"/>
            </w:pPr>
            <w:r>
              <w:t xml:space="preserve">22 </w:t>
            </w:r>
          </w:p>
        </w:tc>
        <w:tc>
          <w:tcPr>
            <w:tcW w:w="2249" w:type="dxa"/>
            <w:tcBorders>
              <w:top w:val="nil"/>
              <w:left w:val="nil"/>
              <w:bottom w:val="nil"/>
              <w:right w:val="nil"/>
            </w:tcBorders>
          </w:tcPr>
          <w:p w:rsidR="0023438A" w:rsidRDefault="00A02C86">
            <w:pPr>
              <w:spacing w:after="0" w:line="259" w:lineRule="auto"/>
              <w:ind w:left="0" w:firstLine="0"/>
            </w:pPr>
            <w:r>
              <w:t xml:space="preserve"> 16.79% </w:t>
            </w:r>
          </w:p>
        </w:tc>
      </w:tr>
      <w:tr w:rsidR="0023438A">
        <w:trPr>
          <w:trHeight w:val="541"/>
        </w:trPr>
        <w:tc>
          <w:tcPr>
            <w:tcW w:w="2287" w:type="dxa"/>
            <w:tcBorders>
              <w:top w:val="nil"/>
              <w:left w:val="nil"/>
              <w:bottom w:val="nil"/>
              <w:right w:val="nil"/>
            </w:tcBorders>
          </w:tcPr>
          <w:p w:rsidR="0023438A" w:rsidRDefault="00A02C86">
            <w:pPr>
              <w:spacing w:after="0" w:line="259" w:lineRule="auto"/>
              <w:ind w:left="115" w:firstLine="0"/>
            </w:pPr>
            <w:r>
              <w:t xml:space="preserve">WBL Program Used </w:t>
            </w:r>
          </w:p>
        </w:tc>
        <w:tc>
          <w:tcPr>
            <w:tcW w:w="2294" w:type="dxa"/>
            <w:tcBorders>
              <w:top w:val="nil"/>
              <w:left w:val="nil"/>
              <w:bottom w:val="nil"/>
              <w:right w:val="nil"/>
            </w:tcBorders>
          </w:tcPr>
          <w:p w:rsidR="0023438A" w:rsidRDefault="00A02C86">
            <w:pPr>
              <w:spacing w:after="0" w:line="259" w:lineRule="auto"/>
              <w:ind w:left="41" w:firstLine="0"/>
            </w:pPr>
            <w:r>
              <w:t xml:space="preserve">Internships </w:t>
            </w:r>
          </w:p>
        </w:tc>
        <w:tc>
          <w:tcPr>
            <w:tcW w:w="617" w:type="dxa"/>
            <w:tcBorders>
              <w:top w:val="nil"/>
              <w:left w:val="nil"/>
              <w:bottom w:val="nil"/>
              <w:right w:val="nil"/>
            </w:tcBorders>
          </w:tcPr>
          <w:p w:rsidR="0023438A" w:rsidRDefault="00A02C86">
            <w:pPr>
              <w:spacing w:after="0" w:line="259" w:lineRule="auto"/>
              <w:ind w:left="51" w:firstLine="0"/>
            </w:pPr>
            <w:r>
              <w:t xml:space="preserve">92 </w:t>
            </w:r>
          </w:p>
        </w:tc>
        <w:tc>
          <w:tcPr>
            <w:tcW w:w="2249" w:type="dxa"/>
            <w:tcBorders>
              <w:top w:val="nil"/>
              <w:left w:val="nil"/>
              <w:bottom w:val="nil"/>
              <w:right w:val="nil"/>
            </w:tcBorders>
          </w:tcPr>
          <w:p w:rsidR="0023438A" w:rsidRDefault="00A02C86">
            <w:pPr>
              <w:spacing w:after="0" w:line="259" w:lineRule="auto"/>
              <w:ind w:left="101" w:firstLine="0"/>
            </w:pPr>
            <w:r>
              <w:t xml:space="preserve">70.23% </w:t>
            </w:r>
          </w:p>
        </w:tc>
      </w:tr>
      <w:tr w:rsidR="0023438A">
        <w:trPr>
          <w:trHeight w:val="533"/>
        </w:trPr>
        <w:tc>
          <w:tcPr>
            <w:tcW w:w="2287" w:type="dxa"/>
            <w:tcBorders>
              <w:top w:val="nil"/>
              <w:left w:val="nil"/>
              <w:bottom w:val="nil"/>
              <w:right w:val="nil"/>
            </w:tcBorders>
            <w:vAlign w:val="bottom"/>
          </w:tcPr>
          <w:p w:rsidR="0023438A" w:rsidRDefault="00A02C86">
            <w:pPr>
              <w:spacing w:after="0" w:line="259" w:lineRule="auto"/>
              <w:ind w:left="115" w:firstLine="0"/>
            </w:pPr>
            <w:r>
              <w:t xml:space="preserve"> </w:t>
            </w:r>
          </w:p>
        </w:tc>
        <w:tc>
          <w:tcPr>
            <w:tcW w:w="2294" w:type="dxa"/>
            <w:tcBorders>
              <w:top w:val="nil"/>
              <w:left w:val="nil"/>
              <w:bottom w:val="nil"/>
              <w:right w:val="nil"/>
            </w:tcBorders>
            <w:vAlign w:val="bottom"/>
          </w:tcPr>
          <w:p w:rsidR="0023438A" w:rsidRDefault="00A02C86">
            <w:pPr>
              <w:spacing w:after="0" w:line="259" w:lineRule="auto"/>
              <w:ind w:left="41" w:firstLine="0"/>
            </w:pPr>
            <w:r>
              <w:t xml:space="preserve">Apprenticeships </w:t>
            </w:r>
          </w:p>
        </w:tc>
        <w:tc>
          <w:tcPr>
            <w:tcW w:w="617" w:type="dxa"/>
            <w:tcBorders>
              <w:top w:val="nil"/>
              <w:left w:val="nil"/>
              <w:bottom w:val="nil"/>
              <w:right w:val="nil"/>
            </w:tcBorders>
            <w:vAlign w:val="bottom"/>
          </w:tcPr>
          <w:p w:rsidR="0023438A" w:rsidRDefault="00A02C86">
            <w:pPr>
              <w:spacing w:after="0" w:line="259" w:lineRule="auto"/>
              <w:ind w:left="51" w:firstLine="0"/>
            </w:pPr>
            <w:r>
              <w:t xml:space="preserve">21 </w:t>
            </w:r>
          </w:p>
        </w:tc>
        <w:tc>
          <w:tcPr>
            <w:tcW w:w="2249" w:type="dxa"/>
            <w:tcBorders>
              <w:top w:val="nil"/>
              <w:left w:val="nil"/>
              <w:bottom w:val="nil"/>
              <w:right w:val="nil"/>
            </w:tcBorders>
            <w:vAlign w:val="bottom"/>
          </w:tcPr>
          <w:p w:rsidR="0023438A" w:rsidRDefault="00A02C86">
            <w:pPr>
              <w:spacing w:after="0" w:line="259" w:lineRule="auto"/>
              <w:ind w:left="101" w:firstLine="0"/>
            </w:pPr>
            <w:r>
              <w:t xml:space="preserve">16.03% </w:t>
            </w:r>
          </w:p>
        </w:tc>
      </w:tr>
      <w:tr w:rsidR="0023438A">
        <w:trPr>
          <w:trHeight w:val="362"/>
        </w:trPr>
        <w:tc>
          <w:tcPr>
            <w:tcW w:w="2287" w:type="dxa"/>
            <w:tcBorders>
              <w:top w:val="nil"/>
              <w:left w:val="nil"/>
              <w:bottom w:val="nil"/>
              <w:right w:val="nil"/>
            </w:tcBorders>
          </w:tcPr>
          <w:p w:rsidR="0023438A" w:rsidRDefault="00A02C86">
            <w:pPr>
              <w:spacing w:after="0" w:line="259" w:lineRule="auto"/>
              <w:ind w:left="115" w:firstLine="0"/>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Field Trips/Tours </w:t>
            </w:r>
          </w:p>
        </w:tc>
        <w:tc>
          <w:tcPr>
            <w:tcW w:w="617" w:type="dxa"/>
            <w:tcBorders>
              <w:top w:val="nil"/>
              <w:left w:val="nil"/>
              <w:bottom w:val="nil"/>
              <w:right w:val="nil"/>
            </w:tcBorders>
          </w:tcPr>
          <w:p w:rsidR="0023438A" w:rsidRDefault="00A02C86">
            <w:pPr>
              <w:spacing w:after="0" w:line="259" w:lineRule="auto"/>
              <w:ind w:left="51" w:firstLine="0"/>
            </w:pPr>
            <w:r>
              <w:t xml:space="preserve">57 </w:t>
            </w:r>
          </w:p>
        </w:tc>
        <w:tc>
          <w:tcPr>
            <w:tcW w:w="2249" w:type="dxa"/>
            <w:tcBorders>
              <w:top w:val="nil"/>
              <w:left w:val="nil"/>
              <w:bottom w:val="nil"/>
              <w:right w:val="nil"/>
            </w:tcBorders>
          </w:tcPr>
          <w:p w:rsidR="0023438A" w:rsidRDefault="00A02C86">
            <w:pPr>
              <w:spacing w:after="0" w:line="259" w:lineRule="auto"/>
              <w:ind w:left="101" w:firstLine="0"/>
            </w:pPr>
            <w:r>
              <w:t xml:space="preserve">43.15% </w:t>
            </w:r>
          </w:p>
        </w:tc>
      </w:tr>
      <w:tr w:rsidR="0023438A">
        <w:trPr>
          <w:trHeight w:val="362"/>
        </w:trPr>
        <w:tc>
          <w:tcPr>
            <w:tcW w:w="2287" w:type="dxa"/>
            <w:tcBorders>
              <w:top w:val="nil"/>
              <w:left w:val="nil"/>
              <w:bottom w:val="nil"/>
              <w:right w:val="nil"/>
            </w:tcBorders>
          </w:tcPr>
          <w:p w:rsidR="0023438A" w:rsidRDefault="00A02C86">
            <w:pPr>
              <w:spacing w:after="0" w:line="259" w:lineRule="auto"/>
              <w:ind w:left="115" w:firstLine="0"/>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Co-ops </w:t>
            </w:r>
          </w:p>
        </w:tc>
        <w:tc>
          <w:tcPr>
            <w:tcW w:w="617" w:type="dxa"/>
            <w:tcBorders>
              <w:top w:val="nil"/>
              <w:left w:val="nil"/>
              <w:bottom w:val="nil"/>
              <w:right w:val="nil"/>
            </w:tcBorders>
          </w:tcPr>
          <w:p w:rsidR="0023438A" w:rsidRDefault="00A02C86">
            <w:pPr>
              <w:spacing w:after="0" w:line="259" w:lineRule="auto"/>
              <w:ind w:left="50" w:firstLine="0"/>
            </w:pPr>
            <w:r>
              <w:t xml:space="preserve">18 </w:t>
            </w:r>
          </w:p>
        </w:tc>
        <w:tc>
          <w:tcPr>
            <w:tcW w:w="2249" w:type="dxa"/>
            <w:tcBorders>
              <w:top w:val="nil"/>
              <w:left w:val="nil"/>
              <w:bottom w:val="nil"/>
              <w:right w:val="nil"/>
            </w:tcBorders>
          </w:tcPr>
          <w:p w:rsidR="0023438A" w:rsidRDefault="00A02C86">
            <w:pPr>
              <w:spacing w:after="0" w:line="259" w:lineRule="auto"/>
              <w:ind w:left="101" w:firstLine="0"/>
            </w:pPr>
            <w:r>
              <w:t xml:space="preserve">13.74% </w:t>
            </w:r>
          </w:p>
        </w:tc>
      </w:tr>
      <w:tr w:rsidR="0023438A">
        <w:trPr>
          <w:trHeight w:val="392"/>
        </w:trPr>
        <w:tc>
          <w:tcPr>
            <w:tcW w:w="2287" w:type="dxa"/>
            <w:tcBorders>
              <w:top w:val="nil"/>
              <w:left w:val="nil"/>
              <w:bottom w:val="nil"/>
              <w:right w:val="nil"/>
            </w:tcBorders>
          </w:tcPr>
          <w:p w:rsidR="0023438A" w:rsidRDefault="00A02C86">
            <w:pPr>
              <w:spacing w:after="0" w:line="259" w:lineRule="auto"/>
              <w:ind w:left="115" w:firstLine="0"/>
            </w:pPr>
            <w:r>
              <w:t xml:space="preserve"> </w:t>
            </w:r>
          </w:p>
        </w:tc>
        <w:tc>
          <w:tcPr>
            <w:tcW w:w="2294" w:type="dxa"/>
            <w:tcBorders>
              <w:top w:val="nil"/>
              <w:left w:val="nil"/>
              <w:bottom w:val="nil"/>
              <w:right w:val="nil"/>
            </w:tcBorders>
          </w:tcPr>
          <w:p w:rsidR="0023438A" w:rsidRDefault="00A02C86">
            <w:pPr>
              <w:spacing w:after="0" w:line="259" w:lineRule="auto"/>
              <w:ind w:left="41" w:firstLine="0"/>
            </w:pPr>
            <w:r>
              <w:t xml:space="preserve">None </w:t>
            </w:r>
          </w:p>
        </w:tc>
        <w:tc>
          <w:tcPr>
            <w:tcW w:w="617" w:type="dxa"/>
            <w:tcBorders>
              <w:top w:val="nil"/>
              <w:left w:val="nil"/>
              <w:bottom w:val="nil"/>
              <w:right w:val="nil"/>
            </w:tcBorders>
          </w:tcPr>
          <w:p w:rsidR="0023438A" w:rsidRDefault="00A02C86">
            <w:pPr>
              <w:spacing w:after="0" w:line="259" w:lineRule="auto"/>
              <w:ind w:left="50" w:firstLine="0"/>
            </w:pPr>
            <w:r>
              <w:t xml:space="preserve">20 </w:t>
            </w:r>
          </w:p>
        </w:tc>
        <w:tc>
          <w:tcPr>
            <w:tcW w:w="2249" w:type="dxa"/>
            <w:tcBorders>
              <w:top w:val="nil"/>
              <w:left w:val="nil"/>
              <w:bottom w:val="nil"/>
              <w:right w:val="nil"/>
            </w:tcBorders>
          </w:tcPr>
          <w:p w:rsidR="0023438A" w:rsidRDefault="00A02C86">
            <w:pPr>
              <w:spacing w:after="0" w:line="259" w:lineRule="auto"/>
              <w:ind w:left="101" w:firstLine="0"/>
            </w:pPr>
            <w:r>
              <w:t xml:space="preserve">15.27% </w:t>
            </w:r>
          </w:p>
        </w:tc>
      </w:tr>
      <w:tr w:rsidR="0023438A">
        <w:trPr>
          <w:trHeight w:val="518"/>
        </w:trPr>
        <w:tc>
          <w:tcPr>
            <w:tcW w:w="2287" w:type="dxa"/>
            <w:tcBorders>
              <w:top w:val="nil"/>
              <w:left w:val="nil"/>
              <w:bottom w:val="single" w:sz="4" w:space="0" w:color="000000"/>
              <w:right w:val="nil"/>
            </w:tcBorders>
          </w:tcPr>
          <w:p w:rsidR="0023438A" w:rsidRDefault="00A02C86">
            <w:pPr>
              <w:spacing w:after="0" w:line="259" w:lineRule="auto"/>
              <w:ind w:left="115" w:firstLine="0"/>
            </w:pPr>
            <w:r>
              <w:t xml:space="preserve"> </w:t>
            </w:r>
          </w:p>
        </w:tc>
        <w:tc>
          <w:tcPr>
            <w:tcW w:w="2294" w:type="dxa"/>
            <w:tcBorders>
              <w:top w:val="nil"/>
              <w:left w:val="nil"/>
              <w:bottom w:val="single" w:sz="4" w:space="0" w:color="000000"/>
              <w:right w:val="nil"/>
            </w:tcBorders>
          </w:tcPr>
          <w:p w:rsidR="0023438A" w:rsidRDefault="00A02C86">
            <w:pPr>
              <w:spacing w:after="0" w:line="259" w:lineRule="auto"/>
              <w:ind w:left="41" w:firstLine="0"/>
            </w:pPr>
            <w:r>
              <w:t>Other</w:t>
            </w:r>
          </w:p>
        </w:tc>
        <w:tc>
          <w:tcPr>
            <w:tcW w:w="617" w:type="dxa"/>
            <w:tcBorders>
              <w:top w:val="nil"/>
              <w:left w:val="nil"/>
              <w:bottom w:val="single" w:sz="4" w:space="0" w:color="000000"/>
              <w:right w:val="nil"/>
            </w:tcBorders>
          </w:tcPr>
          <w:p w:rsidR="0023438A" w:rsidRDefault="00A02C86">
            <w:pPr>
              <w:spacing w:after="0" w:line="259" w:lineRule="auto"/>
              <w:ind w:left="50" w:firstLine="0"/>
            </w:pPr>
            <w:r>
              <w:t xml:space="preserve">15 </w:t>
            </w:r>
          </w:p>
        </w:tc>
        <w:tc>
          <w:tcPr>
            <w:tcW w:w="2249" w:type="dxa"/>
            <w:tcBorders>
              <w:top w:val="nil"/>
              <w:left w:val="nil"/>
              <w:bottom w:val="single" w:sz="4" w:space="0" w:color="000000"/>
              <w:right w:val="nil"/>
            </w:tcBorders>
          </w:tcPr>
          <w:p w:rsidR="0023438A" w:rsidRDefault="00A02C86">
            <w:pPr>
              <w:spacing w:after="0" w:line="259" w:lineRule="auto"/>
              <w:ind w:left="101" w:firstLine="0"/>
            </w:pPr>
            <w:r>
              <w:t xml:space="preserve">11.45% </w:t>
            </w:r>
          </w:p>
        </w:tc>
      </w:tr>
    </w:tbl>
    <w:p w:rsidR="0023438A" w:rsidRDefault="00A02C86">
      <w:pPr>
        <w:spacing w:after="0" w:line="259" w:lineRule="auto"/>
        <w:ind w:left="0" w:right="102" w:firstLine="0"/>
        <w:jc w:val="center"/>
      </w:pPr>
      <w:r>
        <w:t xml:space="preserve"> </w:t>
      </w:r>
    </w:p>
    <w:p w:rsidR="0023438A" w:rsidRDefault="00A02C86">
      <w:pPr>
        <w:spacing w:after="121" w:line="478" w:lineRule="auto"/>
        <w:ind w:left="425" w:right="764" w:firstLine="720"/>
        <w:jc w:val="both"/>
      </w:pPr>
      <w:r>
        <w:t xml:space="preserve">Table 3 includes the demographic information collected from the educational participants using the following variables: position held, type of institution, and WBL </w:t>
      </w:r>
      <w:r>
        <w:t xml:space="preserve">programs in which they actively participate. Similarly, questionnaire items in this section allow the respondents to check multiple answers if their role encapsulates more than one classification. </w:t>
      </w:r>
    </w:p>
    <w:p w:rsidR="0023438A" w:rsidRDefault="00A02C86">
      <w:pPr>
        <w:spacing w:after="321" w:line="259" w:lineRule="auto"/>
        <w:ind w:left="435" w:right="777"/>
      </w:pPr>
      <w:r>
        <w:t xml:space="preserve">Table 3 </w:t>
      </w:r>
    </w:p>
    <w:p w:rsidR="0023438A" w:rsidRDefault="00A02C86">
      <w:pPr>
        <w:spacing w:after="96" w:line="267" w:lineRule="auto"/>
        <w:ind w:left="435" w:right="715"/>
      </w:pPr>
      <w:r>
        <w:rPr>
          <w:i/>
        </w:rPr>
        <w:t>Demographic Information on Educational Participan</w:t>
      </w:r>
      <w:r>
        <w:rPr>
          <w:i/>
        </w:rPr>
        <w:t>ts, n=91</w:t>
      </w:r>
      <w:r>
        <w:t xml:space="preserve"> </w:t>
      </w:r>
    </w:p>
    <w:tbl>
      <w:tblPr>
        <w:tblStyle w:val="TableGrid"/>
        <w:tblW w:w="7447" w:type="dxa"/>
        <w:tblInd w:w="733" w:type="dxa"/>
        <w:tblCellMar>
          <w:top w:w="0" w:type="dxa"/>
          <w:left w:w="0" w:type="dxa"/>
          <w:bottom w:w="0" w:type="dxa"/>
          <w:right w:w="206" w:type="dxa"/>
        </w:tblCellMar>
        <w:tblLook w:val="04A0" w:firstRow="1" w:lastRow="0" w:firstColumn="1" w:lastColumn="0" w:noHBand="0" w:noVBand="1"/>
      </w:tblPr>
      <w:tblGrid>
        <w:gridCol w:w="1778"/>
        <w:gridCol w:w="2803"/>
        <w:gridCol w:w="617"/>
        <w:gridCol w:w="2249"/>
      </w:tblGrid>
      <w:tr w:rsidR="0023438A">
        <w:trPr>
          <w:trHeight w:val="622"/>
        </w:trPr>
        <w:tc>
          <w:tcPr>
            <w:tcW w:w="1778" w:type="dxa"/>
            <w:tcBorders>
              <w:top w:val="single" w:sz="4" w:space="0" w:color="000000"/>
              <w:left w:val="nil"/>
              <w:bottom w:val="single" w:sz="4" w:space="0" w:color="000000"/>
              <w:right w:val="nil"/>
            </w:tcBorders>
          </w:tcPr>
          <w:p w:rsidR="0023438A" w:rsidRDefault="00A02C86">
            <w:pPr>
              <w:spacing w:after="0" w:line="259" w:lineRule="auto"/>
              <w:ind w:left="122" w:firstLine="0"/>
            </w:pPr>
            <w:r>
              <w:t xml:space="preserve">Questionnaire Item </w:t>
            </w:r>
          </w:p>
        </w:tc>
        <w:tc>
          <w:tcPr>
            <w:tcW w:w="2803" w:type="dxa"/>
            <w:tcBorders>
              <w:top w:val="single" w:sz="4" w:space="0" w:color="000000"/>
              <w:left w:val="nil"/>
              <w:bottom w:val="single" w:sz="4" w:space="0" w:color="000000"/>
              <w:right w:val="nil"/>
            </w:tcBorders>
          </w:tcPr>
          <w:p w:rsidR="0023438A" w:rsidRDefault="00A02C86">
            <w:pPr>
              <w:spacing w:after="0" w:line="259" w:lineRule="auto"/>
              <w:ind w:left="807" w:firstLine="0"/>
            </w:pPr>
            <w:r>
              <w:t xml:space="preserve">Variable </w:t>
            </w:r>
          </w:p>
        </w:tc>
        <w:tc>
          <w:tcPr>
            <w:tcW w:w="617" w:type="dxa"/>
            <w:tcBorders>
              <w:top w:val="single" w:sz="4" w:space="0" w:color="000000"/>
              <w:left w:val="nil"/>
              <w:bottom w:val="single" w:sz="4" w:space="0" w:color="000000"/>
              <w:right w:val="nil"/>
            </w:tcBorders>
          </w:tcPr>
          <w:p w:rsidR="0023438A" w:rsidRDefault="00A02C86">
            <w:pPr>
              <w:spacing w:after="0" w:line="259" w:lineRule="auto"/>
              <w:ind w:left="60" w:firstLine="0"/>
            </w:pPr>
            <w:r>
              <w:rPr>
                <w:i/>
              </w:rPr>
              <w:t>n</w:t>
            </w:r>
            <w:r>
              <w:t xml:space="preserve"> </w:t>
            </w:r>
          </w:p>
        </w:tc>
        <w:tc>
          <w:tcPr>
            <w:tcW w:w="2249"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w:t>
            </w:r>
            <w:r>
              <w:t xml:space="preserve"> </w:t>
            </w:r>
          </w:p>
        </w:tc>
      </w:tr>
      <w:tr w:rsidR="0023438A">
        <w:trPr>
          <w:trHeight w:val="693"/>
        </w:trPr>
        <w:tc>
          <w:tcPr>
            <w:tcW w:w="1778" w:type="dxa"/>
            <w:tcBorders>
              <w:top w:val="single" w:sz="4" w:space="0" w:color="000000"/>
              <w:left w:val="nil"/>
              <w:bottom w:val="nil"/>
              <w:right w:val="nil"/>
            </w:tcBorders>
          </w:tcPr>
          <w:p w:rsidR="0023438A" w:rsidRDefault="00A02C86">
            <w:pPr>
              <w:spacing w:after="103" w:line="259" w:lineRule="auto"/>
              <w:ind w:left="122" w:firstLine="0"/>
            </w:pPr>
            <w:r>
              <w:t xml:space="preserve">Position </w:t>
            </w:r>
          </w:p>
          <w:p w:rsidR="0023438A" w:rsidRDefault="00A02C86">
            <w:pPr>
              <w:spacing w:after="0" w:line="259" w:lineRule="auto"/>
              <w:ind w:left="122" w:firstLine="0"/>
            </w:pPr>
            <w:r>
              <w:t xml:space="preserve"> </w:t>
            </w:r>
          </w:p>
        </w:tc>
        <w:tc>
          <w:tcPr>
            <w:tcW w:w="2803" w:type="dxa"/>
            <w:tcBorders>
              <w:top w:val="single" w:sz="4" w:space="0" w:color="000000"/>
              <w:left w:val="nil"/>
              <w:bottom w:val="nil"/>
              <w:right w:val="nil"/>
            </w:tcBorders>
          </w:tcPr>
          <w:p w:rsidR="0023438A" w:rsidRDefault="00A02C86">
            <w:pPr>
              <w:spacing w:after="139" w:line="259" w:lineRule="auto"/>
              <w:ind w:left="0" w:firstLine="0"/>
              <w:jc w:val="right"/>
            </w:pPr>
            <w:r>
              <w:t xml:space="preserve"> </w:t>
            </w:r>
          </w:p>
          <w:p w:rsidR="0023438A" w:rsidRDefault="00A02C86">
            <w:pPr>
              <w:tabs>
                <w:tab w:val="center" w:pos="2537"/>
              </w:tabs>
              <w:spacing w:after="0" w:line="259" w:lineRule="auto"/>
              <w:ind w:left="0" w:firstLine="0"/>
            </w:pPr>
            <w:r>
              <w:t xml:space="preserve">Administrator </w:t>
            </w:r>
            <w:r>
              <w:tab/>
              <w:t xml:space="preserve"> </w:t>
            </w:r>
          </w:p>
        </w:tc>
        <w:tc>
          <w:tcPr>
            <w:tcW w:w="617" w:type="dxa"/>
            <w:tcBorders>
              <w:top w:val="single" w:sz="4" w:space="0" w:color="000000"/>
              <w:left w:val="nil"/>
              <w:bottom w:val="nil"/>
              <w:right w:val="nil"/>
            </w:tcBorders>
            <w:vAlign w:val="bottom"/>
          </w:tcPr>
          <w:p w:rsidR="0023438A" w:rsidRDefault="00A02C86">
            <w:pPr>
              <w:spacing w:after="0" w:line="259" w:lineRule="auto"/>
              <w:ind w:left="0" w:firstLine="0"/>
            </w:pPr>
            <w:r>
              <w:t xml:space="preserve">51 </w:t>
            </w:r>
          </w:p>
        </w:tc>
        <w:tc>
          <w:tcPr>
            <w:tcW w:w="2249" w:type="dxa"/>
            <w:tcBorders>
              <w:top w:val="single" w:sz="4" w:space="0" w:color="000000"/>
              <w:left w:val="nil"/>
              <w:bottom w:val="nil"/>
              <w:right w:val="nil"/>
            </w:tcBorders>
          </w:tcPr>
          <w:p w:rsidR="0023438A" w:rsidRDefault="00A02C86">
            <w:pPr>
              <w:spacing w:after="135" w:line="259" w:lineRule="auto"/>
              <w:ind w:left="108" w:firstLine="0"/>
            </w:pPr>
            <w:r>
              <w:t xml:space="preserve"> </w:t>
            </w:r>
          </w:p>
          <w:p w:rsidR="0023438A" w:rsidRDefault="00A02C86">
            <w:pPr>
              <w:tabs>
                <w:tab w:val="center" w:pos="640"/>
              </w:tabs>
              <w:spacing w:after="0" w:line="259" w:lineRule="auto"/>
              <w:ind w:left="0" w:firstLine="0"/>
            </w:pPr>
            <w:r>
              <w:t xml:space="preserve">56.04 </w:t>
            </w:r>
            <w:r>
              <w:tab/>
              <w:t xml:space="preserve">% </w:t>
            </w:r>
          </w:p>
        </w:tc>
      </w:tr>
      <w:tr w:rsidR="0023438A">
        <w:trPr>
          <w:trHeight w:val="271"/>
        </w:trPr>
        <w:tc>
          <w:tcPr>
            <w:tcW w:w="1778" w:type="dxa"/>
            <w:tcBorders>
              <w:top w:val="nil"/>
              <w:left w:val="nil"/>
              <w:bottom w:val="nil"/>
              <w:right w:val="nil"/>
            </w:tcBorders>
          </w:tcPr>
          <w:p w:rsidR="0023438A" w:rsidRDefault="00A02C86">
            <w:pPr>
              <w:spacing w:after="0" w:line="259" w:lineRule="auto"/>
              <w:ind w:left="401" w:firstLine="0"/>
              <w:jc w:val="center"/>
            </w:pPr>
            <w:r>
              <w:t xml:space="preserve"> </w:t>
            </w: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Instructor </w:t>
            </w:r>
          </w:p>
        </w:tc>
        <w:tc>
          <w:tcPr>
            <w:tcW w:w="617" w:type="dxa"/>
            <w:tcBorders>
              <w:top w:val="nil"/>
              <w:left w:val="nil"/>
              <w:bottom w:val="nil"/>
              <w:right w:val="nil"/>
            </w:tcBorders>
          </w:tcPr>
          <w:p w:rsidR="0023438A" w:rsidRDefault="00A02C86">
            <w:pPr>
              <w:spacing w:after="0" w:line="259" w:lineRule="auto"/>
              <w:ind w:left="0" w:firstLine="0"/>
            </w:pPr>
            <w:r>
              <w:t xml:space="preserve">28 </w:t>
            </w:r>
          </w:p>
        </w:tc>
        <w:tc>
          <w:tcPr>
            <w:tcW w:w="2249" w:type="dxa"/>
            <w:tcBorders>
              <w:top w:val="nil"/>
              <w:left w:val="nil"/>
              <w:bottom w:val="nil"/>
              <w:right w:val="nil"/>
            </w:tcBorders>
          </w:tcPr>
          <w:p w:rsidR="0023438A" w:rsidRDefault="00A02C86">
            <w:pPr>
              <w:spacing w:after="0" w:line="259" w:lineRule="auto"/>
              <w:ind w:left="0" w:firstLine="0"/>
            </w:pPr>
            <w:r>
              <w:t xml:space="preserve">30.77% </w:t>
            </w:r>
          </w:p>
        </w:tc>
      </w:tr>
      <w:tr w:rsidR="0023438A">
        <w:trPr>
          <w:trHeight w:val="272"/>
        </w:trPr>
        <w:tc>
          <w:tcPr>
            <w:tcW w:w="1778" w:type="dxa"/>
            <w:tcBorders>
              <w:top w:val="nil"/>
              <w:left w:val="nil"/>
              <w:bottom w:val="nil"/>
              <w:right w:val="nil"/>
            </w:tcBorders>
            <w:vAlign w:val="bottom"/>
          </w:tcPr>
          <w:p w:rsidR="0023438A" w:rsidRDefault="00A02C86">
            <w:pPr>
              <w:spacing w:after="0" w:line="259" w:lineRule="auto"/>
              <w:ind w:left="389" w:firstLine="0"/>
              <w:jc w:val="center"/>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Support Staff </w:t>
            </w:r>
          </w:p>
        </w:tc>
        <w:tc>
          <w:tcPr>
            <w:tcW w:w="617" w:type="dxa"/>
            <w:tcBorders>
              <w:top w:val="nil"/>
              <w:left w:val="nil"/>
              <w:bottom w:val="nil"/>
              <w:right w:val="nil"/>
            </w:tcBorders>
          </w:tcPr>
          <w:p w:rsidR="0023438A" w:rsidRDefault="00A02C86">
            <w:pPr>
              <w:spacing w:after="0" w:line="259" w:lineRule="auto"/>
              <w:ind w:left="0" w:firstLine="0"/>
            </w:pPr>
            <w:r>
              <w:t xml:space="preserve">13 </w:t>
            </w:r>
          </w:p>
        </w:tc>
        <w:tc>
          <w:tcPr>
            <w:tcW w:w="2249" w:type="dxa"/>
            <w:tcBorders>
              <w:top w:val="nil"/>
              <w:left w:val="nil"/>
              <w:bottom w:val="nil"/>
              <w:right w:val="nil"/>
            </w:tcBorders>
          </w:tcPr>
          <w:p w:rsidR="0023438A" w:rsidRDefault="00A02C86">
            <w:pPr>
              <w:spacing w:after="0" w:line="259" w:lineRule="auto"/>
              <w:ind w:left="0" w:firstLine="0"/>
            </w:pPr>
            <w:r>
              <w:t xml:space="preserve">14.29% </w:t>
            </w:r>
          </w:p>
        </w:tc>
      </w:tr>
      <w:tr w:rsidR="0023438A">
        <w:trPr>
          <w:trHeight w:val="244"/>
        </w:trPr>
        <w:tc>
          <w:tcPr>
            <w:tcW w:w="1778" w:type="dxa"/>
            <w:tcBorders>
              <w:top w:val="nil"/>
              <w:left w:val="nil"/>
              <w:bottom w:val="nil"/>
              <w:right w:val="nil"/>
            </w:tcBorders>
          </w:tcPr>
          <w:p w:rsidR="0023438A" w:rsidRDefault="00A02C86">
            <w:pPr>
              <w:spacing w:after="0" w:line="259" w:lineRule="auto"/>
              <w:ind w:left="389" w:firstLine="0"/>
              <w:jc w:val="center"/>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Other </w:t>
            </w:r>
          </w:p>
        </w:tc>
        <w:tc>
          <w:tcPr>
            <w:tcW w:w="617" w:type="dxa"/>
            <w:tcBorders>
              <w:top w:val="nil"/>
              <w:left w:val="nil"/>
              <w:bottom w:val="nil"/>
              <w:right w:val="nil"/>
            </w:tcBorders>
          </w:tcPr>
          <w:p w:rsidR="0023438A" w:rsidRDefault="00A02C86">
            <w:pPr>
              <w:spacing w:after="0" w:line="259" w:lineRule="auto"/>
              <w:ind w:left="60" w:firstLine="0"/>
            </w:pPr>
            <w:r>
              <w:t xml:space="preserve">3 </w:t>
            </w:r>
          </w:p>
        </w:tc>
        <w:tc>
          <w:tcPr>
            <w:tcW w:w="2249" w:type="dxa"/>
            <w:tcBorders>
              <w:top w:val="nil"/>
              <w:left w:val="nil"/>
              <w:bottom w:val="nil"/>
              <w:right w:val="nil"/>
            </w:tcBorders>
          </w:tcPr>
          <w:p w:rsidR="0023438A" w:rsidRDefault="00A02C86">
            <w:pPr>
              <w:spacing w:after="0" w:line="259" w:lineRule="auto"/>
              <w:ind w:left="0" w:firstLine="0"/>
            </w:pPr>
            <w:r>
              <w:t xml:space="preserve">3.30% </w:t>
            </w:r>
          </w:p>
        </w:tc>
      </w:tr>
      <w:tr w:rsidR="0023438A">
        <w:trPr>
          <w:trHeight w:val="557"/>
        </w:trPr>
        <w:tc>
          <w:tcPr>
            <w:tcW w:w="1778" w:type="dxa"/>
            <w:tcBorders>
              <w:top w:val="nil"/>
              <w:left w:val="nil"/>
              <w:bottom w:val="nil"/>
              <w:right w:val="nil"/>
            </w:tcBorders>
          </w:tcPr>
          <w:p w:rsidR="0023438A" w:rsidRDefault="00A02C86">
            <w:pPr>
              <w:spacing w:after="0" w:line="259" w:lineRule="auto"/>
              <w:ind w:left="122" w:firstLine="0"/>
            </w:pPr>
            <w:r>
              <w:t xml:space="preserve">Institutional </w:t>
            </w:r>
          </w:p>
          <w:p w:rsidR="0023438A" w:rsidRDefault="00A02C86">
            <w:pPr>
              <w:spacing w:after="0" w:line="259" w:lineRule="auto"/>
              <w:ind w:left="122" w:firstLine="0"/>
            </w:pPr>
            <w:r>
              <w:t xml:space="preserve">Classification </w:t>
            </w:r>
          </w:p>
        </w:tc>
        <w:tc>
          <w:tcPr>
            <w:tcW w:w="2803" w:type="dxa"/>
            <w:tcBorders>
              <w:top w:val="nil"/>
              <w:left w:val="nil"/>
              <w:bottom w:val="nil"/>
              <w:right w:val="nil"/>
            </w:tcBorders>
            <w:vAlign w:val="bottom"/>
          </w:tcPr>
          <w:p w:rsidR="0023438A" w:rsidRDefault="00A02C86">
            <w:pPr>
              <w:spacing w:after="0" w:line="259" w:lineRule="auto"/>
              <w:ind w:left="0" w:firstLine="0"/>
            </w:pPr>
            <w:r>
              <w:t xml:space="preserve">4- year and above </w:t>
            </w:r>
          </w:p>
        </w:tc>
        <w:tc>
          <w:tcPr>
            <w:tcW w:w="617" w:type="dxa"/>
            <w:tcBorders>
              <w:top w:val="nil"/>
              <w:left w:val="nil"/>
              <w:bottom w:val="nil"/>
              <w:right w:val="nil"/>
            </w:tcBorders>
            <w:vAlign w:val="bottom"/>
          </w:tcPr>
          <w:p w:rsidR="0023438A" w:rsidRDefault="00A02C86">
            <w:pPr>
              <w:spacing w:after="0" w:line="259" w:lineRule="auto"/>
              <w:ind w:left="60" w:firstLine="0"/>
            </w:pPr>
            <w:r>
              <w:t xml:space="preserve">9 </w:t>
            </w:r>
          </w:p>
        </w:tc>
        <w:tc>
          <w:tcPr>
            <w:tcW w:w="2249" w:type="dxa"/>
            <w:tcBorders>
              <w:top w:val="nil"/>
              <w:left w:val="nil"/>
              <w:bottom w:val="nil"/>
              <w:right w:val="nil"/>
            </w:tcBorders>
            <w:vAlign w:val="bottom"/>
          </w:tcPr>
          <w:p w:rsidR="0023438A" w:rsidRDefault="00A02C86">
            <w:pPr>
              <w:spacing w:after="0" w:line="259" w:lineRule="auto"/>
              <w:ind w:left="0" w:firstLine="0"/>
            </w:pPr>
            <w:r>
              <w:t xml:space="preserve">10% </w:t>
            </w:r>
          </w:p>
        </w:tc>
      </w:tr>
      <w:tr w:rsidR="0023438A">
        <w:trPr>
          <w:trHeight w:val="305"/>
        </w:trPr>
        <w:tc>
          <w:tcPr>
            <w:tcW w:w="1778" w:type="dxa"/>
            <w:tcBorders>
              <w:top w:val="nil"/>
              <w:left w:val="nil"/>
              <w:bottom w:val="nil"/>
              <w:right w:val="nil"/>
            </w:tcBorders>
          </w:tcPr>
          <w:p w:rsidR="0023438A" w:rsidRDefault="00A02C86">
            <w:pPr>
              <w:spacing w:after="0" w:line="259" w:lineRule="auto"/>
              <w:ind w:left="389" w:firstLine="0"/>
              <w:jc w:val="center"/>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2-year </w:t>
            </w:r>
          </w:p>
        </w:tc>
        <w:tc>
          <w:tcPr>
            <w:tcW w:w="617" w:type="dxa"/>
            <w:tcBorders>
              <w:top w:val="nil"/>
              <w:left w:val="nil"/>
              <w:bottom w:val="nil"/>
              <w:right w:val="nil"/>
            </w:tcBorders>
          </w:tcPr>
          <w:p w:rsidR="0023438A" w:rsidRDefault="00A02C86">
            <w:pPr>
              <w:spacing w:after="0" w:line="259" w:lineRule="auto"/>
              <w:ind w:left="0" w:firstLine="0"/>
            </w:pPr>
            <w:r>
              <w:t xml:space="preserve">42 </w:t>
            </w:r>
          </w:p>
        </w:tc>
        <w:tc>
          <w:tcPr>
            <w:tcW w:w="2249" w:type="dxa"/>
            <w:tcBorders>
              <w:top w:val="nil"/>
              <w:left w:val="nil"/>
              <w:bottom w:val="nil"/>
              <w:right w:val="nil"/>
            </w:tcBorders>
          </w:tcPr>
          <w:p w:rsidR="0023438A" w:rsidRDefault="00A02C86">
            <w:pPr>
              <w:spacing w:after="0" w:line="259" w:lineRule="auto"/>
              <w:ind w:left="0" w:firstLine="0"/>
            </w:pPr>
            <w:r>
              <w:t xml:space="preserve">46.67% </w:t>
            </w:r>
          </w:p>
        </w:tc>
      </w:tr>
      <w:tr w:rsidR="0023438A">
        <w:trPr>
          <w:trHeight w:val="317"/>
        </w:trPr>
        <w:tc>
          <w:tcPr>
            <w:tcW w:w="1778" w:type="dxa"/>
            <w:tcBorders>
              <w:top w:val="nil"/>
              <w:left w:val="nil"/>
              <w:bottom w:val="nil"/>
              <w:right w:val="nil"/>
            </w:tcBorders>
          </w:tcPr>
          <w:p w:rsidR="0023438A" w:rsidRDefault="00A02C86">
            <w:pPr>
              <w:spacing w:after="0" w:line="259" w:lineRule="auto"/>
              <w:ind w:left="389" w:firstLine="0"/>
              <w:jc w:val="center"/>
            </w:pPr>
            <w:r>
              <w:lastRenderedPageBreak/>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Less than 2 year </w:t>
            </w:r>
          </w:p>
        </w:tc>
        <w:tc>
          <w:tcPr>
            <w:tcW w:w="617" w:type="dxa"/>
            <w:tcBorders>
              <w:top w:val="nil"/>
              <w:left w:val="nil"/>
              <w:bottom w:val="nil"/>
              <w:right w:val="nil"/>
            </w:tcBorders>
          </w:tcPr>
          <w:p w:rsidR="0023438A" w:rsidRDefault="00A02C86">
            <w:pPr>
              <w:spacing w:after="0" w:line="259" w:lineRule="auto"/>
              <w:ind w:left="0" w:firstLine="0"/>
            </w:pPr>
            <w:r>
              <w:t xml:space="preserve">32 </w:t>
            </w:r>
          </w:p>
        </w:tc>
        <w:tc>
          <w:tcPr>
            <w:tcW w:w="2249" w:type="dxa"/>
            <w:tcBorders>
              <w:top w:val="nil"/>
              <w:left w:val="nil"/>
              <w:bottom w:val="nil"/>
              <w:right w:val="nil"/>
            </w:tcBorders>
          </w:tcPr>
          <w:p w:rsidR="0023438A" w:rsidRDefault="00A02C86">
            <w:pPr>
              <w:spacing w:after="0" w:line="259" w:lineRule="auto"/>
              <w:ind w:left="0" w:firstLine="0"/>
            </w:pPr>
            <w:r>
              <w:t xml:space="preserve">35.56% </w:t>
            </w:r>
          </w:p>
        </w:tc>
      </w:tr>
      <w:tr w:rsidR="0023438A">
        <w:trPr>
          <w:trHeight w:val="304"/>
        </w:trPr>
        <w:tc>
          <w:tcPr>
            <w:tcW w:w="1778" w:type="dxa"/>
            <w:tcBorders>
              <w:top w:val="nil"/>
              <w:left w:val="nil"/>
              <w:bottom w:val="nil"/>
              <w:right w:val="nil"/>
            </w:tcBorders>
          </w:tcPr>
          <w:p w:rsidR="0023438A" w:rsidRDefault="00A02C86">
            <w:pPr>
              <w:spacing w:after="0" w:line="259" w:lineRule="auto"/>
              <w:ind w:left="408" w:firstLine="0"/>
              <w:jc w:val="center"/>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Workforce Org </w:t>
            </w:r>
          </w:p>
        </w:tc>
        <w:tc>
          <w:tcPr>
            <w:tcW w:w="617" w:type="dxa"/>
            <w:tcBorders>
              <w:top w:val="nil"/>
              <w:left w:val="nil"/>
              <w:bottom w:val="nil"/>
              <w:right w:val="nil"/>
            </w:tcBorders>
          </w:tcPr>
          <w:p w:rsidR="0023438A" w:rsidRDefault="00A02C86">
            <w:pPr>
              <w:spacing w:after="0" w:line="259" w:lineRule="auto"/>
              <w:ind w:left="60" w:firstLine="0"/>
            </w:pPr>
            <w:r>
              <w:t xml:space="preserve">7 </w:t>
            </w:r>
          </w:p>
        </w:tc>
        <w:tc>
          <w:tcPr>
            <w:tcW w:w="2249" w:type="dxa"/>
            <w:tcBorders>
              <w:top w:val="nil"/>
              <w:left w:val="nil"/>
              <w:bottom w:val="nil"/>
              <w:right w:val="nil"/>
            </w:tcBorders>
          </w:tcPr>
          <w:p w:rsidR="0023438A" w:rsidRDefault="00A02C86">
            <w:pPr>
              <w:spacing w:after="0" w:line="259" w:lineRule="auto"/>
              <w:ind w:left="0" w:firstLine="0"/>
            </w:pPr>
            <w:r>
              <w:t xml:space="preserve">7.78% </w:t>
            </w:r>
          </w:p>
        </w:tc>
      </w:tr>
      <w:tr w:rsidR="0023438A">
        <w:trPr>
          <w:trHeight w:val="872"/>
        </w:trPr>
        <w:tc>
          <w:tcPr>
            <w:tcW w:w="1778" w:type="dxa"/>
            <w:tcBorders>
              <w:top w:val="nil"/>
              <w:left w:val="nil"/>
              <w:bottom w:val="nil"/>
              <w:right w:val="nil"/>
            </w:tcBorders>
          </w:tcPr>
          <w:p w:rsidR="0023438A" w:rsidRDefault="00A02C86">
            <w:pPr>
              <w:spacing w:after="232" w:line="259" w:lineRule="auto"/>
              <w:ind w:left="14" w:firstLine="0"/>
            </w:pPr>
            <w:r>
              <w:t xml:space="preserve">WBL Program </w:t>
            </w:r>
          </w:p>
          <w:p w:rsidR="0023438A" w:rsidRDefault="00A02C86">
            <w:pPr>
              <w:spacing w:after="0" w:line="259" w:lineRule="auto"/>
              <w:ind w:left="14" w:firstLine="0"/>
            </w:pPr>
            <w:r>
              <w:t xml:space="preserve"> </w:t>
            </w:r>
          </w:p>
        </w:tc>
        <w:tc>
          <w:tcPr>
            <w:tcW w:w="2803" w:type="dxa"/>
            <w:tcBorders>
              <w:top w:val="nil"/>
              <w:left w:val="nil"/>
              <w:bottom w:val="nil"/>
              <w:right w:val="nil"/>
            </w:tcBorders>
          </w:tcPr>
          <w:p w:rsidR="0023438A" w:rsidRDefault="00A02C86">
            <w:pPr>
              <w:spacing w:after="232" w:line="259" w:lineRule="auto"/>
              <w:ind w:left="0" w:firstLine="0"/>
            </w:pPr>
            <w:r>
              <w:t xml:space="preserve"> </w:t>
            </w:r>
          </w:p>
          <w:p w:rsidR="0023438A" w:rsidRDefault="00A02C86">
            <w:pPr>
              <w:spacing w:after="0" w:line="259" w:lineRule="auto"/>
              <w:ind w:left="0" w:firstLine="0"/>
            </w:pPr>
            <w:r>
              <w:t xml:space="preserve">Internships </w:t>
            </w:r>
          </w:p>
        </w:tc>
        <w:tc>
          <w:tcPr>
            <w:tcW w:w="617" w:type="dxa"/>
            <w:tcBorders>
              <w:top w:val="nil"/>
              <w:left w:val="nil"/>
              <w:bottom w:val="nil"/>
              <w:right w:val="nil"/>
            </w:tcBorders>
          </w:tcPr>
          <w:p w:rsidR="0023438A" w:rsidRDefault="00A02C86">
            <w:pPr>
              <w:spacing w:after="232" w:line="259" w:lineRule="auto"/>
              <w:ind w:left="120" w:firstLine="0"/>
            </w:pPr>
            <w:r>
              <w:t xml:space="preserve"> </w:t>
            </w:r>
          </w:p>
          <w:p w:rsidR="0023438A" w:rsidRDefault="00A02C86">
            <w:pPr>
              <w:spacing w:after="0" w:line="259" w:lineRule="auto"/>
              <w:ind w:left="0" w:firstLine="0"/>
            </w:pPr>
            <w:r>
              <w:t xml:space="preserve">69 </w:t>
            </w:r>
          </w:p>
        </w:tc>
        <w:tc>
          <w:tcPr>
            <w:tcW w:w="2249" w:type="dxa"/>
            <w:tcBorders>
              <w:top w:val="nil"/>
              <w:left w:val="nil"/>
              <w:bottom w:val="nil"/>
              <w:right w:val="nil"/>
            </w:tcBorders>
          </w:tcPr>
          <w:p w:rsidR="0023438A" w:rsidRDefault="00A02C86">
            <w:pPr>
              <w:spacing w:after="232" w:line="259" w:lineRule="auto"/>
              <w:ind w:left="0" w:firstLine="0"/>
            </w:pPr>
            <w:r>
              <w:t xml:space="preserve"> </w:t>
            </w:r>
          </w:p>
          <w:p w:rsidR="0023438A" w:rsidRDefault="00A02C86">
            <w:pPr>
              <w:spacing w:after="0" w:line="259" w:lineRule="auto"/>
              <w:ind w:left="0" w:firstLine="0"/>
            </w:pPr>
            <w:r>
              <w:t xml:space="preserve">75.82% </w:t>
            </w:r>
          </w:p>
        </w:tc>
      </w:tr>
      <w:tr w:rsidR="0023438A">
        <w:trPr>
          <w:trHeight w:val="353"/>
        </w:trPr>
        <w:tc>
          <w:tcPr>
            <w:tcW w:w="1778" w:type="dxa"/>
            <w:tcBorders>
              <w:top w:val="nil"/>
              <w:left w:val="nil"/>
              <w:bottom w:val="nil"/>
              <w:right w:val="nil"/>
            </w:tcBorders>
          </w:tcPr>
          <w:p w:rsidR="0023438A" w:rsidRDefault="00A02C86">
            <w:pPr>
              <w:spacing w:after="0" w:line="259" w:lineRule="auto"/>
              <w:ind w:left="14" w:firstLine="0"/>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Apprenticeships </w:t>
            </w:r>
          </w:p>
        </w:tc>
        <w:tc>
          <w:tcPr>
            <w:tcW w:w="617" w:type="dxa"/>
            <w:tcBorders>
              <w:top w:val="nil"/>
              <w:left w:val="nil"/>
              <w:bottom w:val="nil"/>
              <w:right w:val="nil"/>
            </w:tcBorders>
          </w:tcPr>
          <w:p w:rsidR="0023438A" w:rsidRDefault="00A02C86">
            <w:pPr>
              <w:spacing w:after="0" w:line="259" w:lineRule="auto"/>
              <w:ind w:left="0" w:firstLine="0"/>
            </w:pPr>
            <w:r>
              <w:t xml:space="preserve">32 </w:t>
            </w:r>
          </w:p>
        </w:tc>
        <w:tc>
          <w:tcPr>
            <w:tcW w:w="2249" w:type="dxa"/>
            <w:tcBorders>
              <w:top w:val="nil"/>
              <w:left w:val="nil"/>
              <w:bottom w:val="nil"/>
              <w:right w:val="nil"/>
            </w:tcBorders>
          </w:tcPr>
          <w:p w:rsidR="0023438A" w:rsidRDefault="00A02C86">
            <w:pPr>
              <w:spacing w:after="0" w:line="259" w:lineRule="auto"/>
              <w:ind w:left="0" w:firstLine="0"/>
            </w:pPr>
            <w:r>
              <w:t xml:space="preserve">35.16% </w:t>
            </w:r>
          </w:p>
        </w:tc>
      </w:tr>
      <w:tr w:rsidR="0023438A">
        <w:trPr>
          <w:trHeight w:val="362"/>
        </w:trPr>
        <w:tc>
          <w:tcPr>
            <w:tcW w:w="1778" w:type="dxa"/>
            <w:tcBorders>
              <w:top w:val="nil"/>
              <w:left w:val="nil"/>
              <w:bottom w:val="nil"/>
              <w:right w:val="nil"/>
            </w:tcBorders>
          </w:tcPr>
          <w:p w:rsidR="0023438A" w:rsidRDefault="00A02C86">
            <w:pPr>
              <w:spacing w:after="0" w:line="259" w:lineRule="auto"/>
              <w:ind w:left="14" w:firstLine="0"/>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Field Trips/Tours </w:t>
            </w:r>
          </w:p>
        </w:tc>
        <w:tc>
          <w:tcPr>
            <w:tcW w:w="617" w:type="dxa"/>
            <w:tcBorders>
              <w:top w:val="nil"/>
              <w:left w:val="nil"/>
              <w:bottom w:val="nil"/>
              <w:right w:val="nil"/>
            </w:tcBorders>
          </w:tcPr>
          <w:p w:rsidR="0023438A" w:rsidRDefault="00A02C86">
            <w:pPr>
              <w:spacing w:after="0" w:line="259" w:lineRule="auto"/>
              <w:ind w:left="0" w:firstLine="0"/>
            </w:pPr>
            <w:r>
              <w:t xml:space="preserve">80 </w:t>
            </w:r>
          </w:p>
        </w:tc>
        <w:tc>
          <w:tcPr>
            <w:tcW w:w="2249" w:type="dxa"/>
            <w:tcBorders>
              <w:top w:val="nil"/>
              <w:left w:val="nil"/>
              <w:bottom w:val="nil"/>
              <w:right w:val="nil"/>
            </w:tcBorders>
          </w:tcPr>
          <w:p w:rsidR="0023438A" w:rsidRDefault="00A02C86">
            <w:pPr>
              <w:spacing w:after="0" w:line="259" w:lineRule="auto"/>
              <w:ind w:left="0" w:firstLine="0"/>
            </w:pPr>
            <w:r>
              <w:t xml:space="preserve">87.91% </w:t>
            </w:r>
          </w:p>
        </w:tc>
      </w:tr>
      <w:tr w:rsidR="0023438A">
        <w:trPr>
          <w:trHeight w:val="362"/>
        </w:trPr>
        <w:tc>
          <w:tcPr>
            <w:tcW w:w="1778" w:type="dxa"/>
            <w:tcBorders>
              <w:top w:val="nil"/>
              <w:left w:val="nil"/>
              <w:bottom w:val="nil"/>
              <w:right w:val="nil"/>
            </w:tcBorders>
          </w:tcPr>
          <w:p w:rsidR="0023438A" w:rsidRDefault="00A02C86">
            <w:pPr>
              <w:spacing w:after="0" w:line="259" w:lineRule="auto"/>
              <w:ind w:left="14" w:firstLine="0"/>
            </w:pPr>
            <w:r>
              <w:t xml:space="preserve"> </w:t>
            </w:r>
          </w:p>
        </w:tc>
        <w:tc>
          <w:tcPr>
            <w:tcW w:w="2803" w:type="dxa"/>
            <w:tcBorders>
              <w:top w:val="nil"/>
              <w:left w:val="nil"/>
              <w:bottom w:val="nil"/>
              <w:right w:val="nil"/>
            </w:tcBorders>
          </w:tcPr>
          <w:p w:rsidR="0023438A" w:rsidRDefault="00A02C86">
            <w:pPr>
              <w:spacing w:after="0" w:line="259" w:lineRule="auto"/>
              <w:ind w:left="0" w:firstLine="0"/>
            </w:pPr>
            <w:r>
              <w:t xml:space="preserve">Co-ops </w:t>
            </w:r>
          </w:p>
        </w:tc>
        <w:tc>
          <w:tcPr>
            <w:tcW w:w="617" w:type="dxa"/>
            <w:tcBorders>
              <w:top w:val="nil"/>
              <w:left w:val="nil"/>
              <w:bottom w:val="nil"/>
              <w:right w:val="nil"/>
            </w:tcBorders>
          </w:tcPr>
          <w:p w:rsidR="0023438A" w:rsidRDefault="00A02C86">
            <w:pPr>
              <w:spacing w:after="0" w:line="259" w:lineRule="auto"/>
              <w:ind w:left="0" w:firstLine="0"/>
            </w:pPr>
            <w:r>
              <w:t xml:space="preserve">14 </w:t>
            </w:r>
          </w:p>
        </w:tc>
        <w:tc>
          <w:tcPr>
            <w:tcW w:w="2249" w:type="dxa"/>
            <w:tcBorders>
              <w:top w:val="nil"/>
              <w:left w:val="nil"/>
              <w:bottom w:val="nil"/>
              <w:right w:val="nil"/>
            </w:tcBorders>
          </w:tcPr>
          <w:p w:rsidR="0023438A" w:rsidRDefault="00A02C86">
            <w:pPr>
              <w:spacing w:after="0" w:line="259" w:lineRule="auto"/>
              <w:ind w:left="0" w:firstLine="0"/>
            </w:pPr>
            <w:r>
              <w:t xml:space="preserve">15.38% </w:t>
            </w:r>
          </w:p>
        </w:tc>
      </w:tr>
      <w:tr w:rsidR="0023438A">
        <w:trPr>
          <w:trHeight w:val="392"/>
        </w:trPr>
        <w:tc>
          <w:tcPr>
            <w:tcW w:w="1778" w:type="dxa"/>
            <w:tcBorders>
              <w:top w:val="nil"/>
              <w:left w:val="nil"/>
              <w:bottom w:val="nil"/>
              <w:right w:val="nil"/>
            </w:tcBorders>
          </w:tcPr>
          <w:p w:rsidR="0023438A" w:rsidRDefault="00A02C86">
            <w:pPr>
              <w:spacing w:after="0" w:line="259" w:lineRule="auto"/>
              <w:ind w:left="14" w:firstLine="0"/>
            </w:pPr>
            <w:r>
              <w:t xml:space="preserve"> </w:t>
            </w:r>
          </w:p>
        </w:tc>
        <w:tc>
          <w:tcPr>
            <w:tcW w:w="2803" w:type="dxa"/>
            <w:tcBorders>
              <w:top w:val="nil"/>
              <w:left w:val="nil"/>
              <w:bottom w:val="nil"/>
              <w:right w:val="nil"/>
            </w:tcBorders>
          </w:tcPr>
          <w:p w:rsidR="0023438A" w:rsidRDefault="00A02C86">
            <w:pPr>
              <w:spacing w:after="0" w:line="259" w:lineRule="auto"/>
              <w:ind w:left="0" w:firstLine="0"/>
            </w:pPr>
            <w:r>
              <w:t>None</w:t>
            </w:r>
            <w:r>
              <w:t xml:space="preserve"> </w:t>
            </w:r>
          </w:p>
        </w:tc>
        <w:tc>
          <w:tcPr>
            <w:tcW w:w="617" w:type="dxa"/>
            <w:tcBorders>
              <w:top w:val="nil"/>
              <w:left w:val="nil"/>
              <w:bottom w:val="nil"/>
              <w:right w:val="nil"/>
            </w:tcBorders>
          </w:tcPr>
          <w:p w:rsidR="0023438A" w:rsidRDefault="00A02C86">
            <w:pPr>
              <w:spacing w:after="0" w:line="259" w:lineRule="auto"/>
              <w:ind w:left="60" w:firstLine="0"/>
            </w:pPr>
            <w:r>
              <w:t xml:space="preserve">3 </w:t>
            </w:r>
          </w:p>
        </w:tc>
        <w:tc>
          <w:tcPr>
            <w:tcW w:w="2249" w:type="dxa"/>
            <w:tcBorders>
              <w:top w:val="nil"/>
              <w:left w:val="nil"/>
              <w:bottom w:val="nil"/>
              <w:right w:val="nil"/>
            </w:tcBorders>
          </w:tcPr>
          <w:p w:rsidR="0023438A" w:rsidRDefault="00A02C86">
            <w:pPr>
              <w:spacing w:after="0" w:line="259" w:lineRule="auto"/>
              <w:ind w:left="0" w:firstLine="0"/>
            </w:pPr>
            <w:r>
              <w:t xml:space="preserve">3.30% </w:t>
            </w:r>
          </w:p>
        </w:tc>
      </w:tr>
      <w:tr w:rsidR="0023438A">
        <w:trPr>
          <w:trHeight w:val="518"/>
        </w:trPr>
        <w:tc>
          <w:tcPr>
            <w:tcW w:w="1778" w:type="dxa"/>
            <w:tcBorders>
              <w:top w:val="nil"/>
              <w:left w:val="nil"/>
              <w:bottom w:val="single" w:sz="4" w:space="0" w:color="000000"/>
              <w:right w:val="nil"/>
            </w:tcBorders>
          </w:tcPr>
          <w:p w:rsidR="0023438A" w:rsidRDefault="00A02C86">
            <w:pPr>
              <w:spacing w:after="0" w:line="259" w:lineRule="auto"/>
              <w:ind w:left="14" w:firstLine="0"/>
            </w:pPr>
            <w:r>
              <w:t xml:space="preserve"> </w:t>
            </w:r>
          </w:p>
        </w:tc>
        <w:tc>
          <w:tcPr>
            <w:tcW w:w="2803" w:type="dxa"/>
            <w:tcBorders>
              <w:top w:val="nil"/>
              <w:left w:val="nil"/>
              <w:bottom w:val="single" w:sz="4" w:space="0" w:color="000000"/>
              <w:right w:val="nil"/>
            </w:tcBorders>
          </w:tcPr>
          <w:p w:rsidR="0023438A" w:rsidRDefault="00A02C86">
            <w:pPr>
              <w:spacing w:after="0" w:line="259" w:lineRule="auto"/>
              <w:ind w:left="0" w:firstLine="0"/>
            </w:pPr>
            <w:r>
              <w:t>Other</w:t>
            </w:r>
          </w:p>
        </w:tc>
        <w:tc>
          <w:tcPr>
            <w:tcW w:w="617" w:type="dxa"/>
            <w:tcBorders>
              <w:top w:val="nil"/>
              <w:left w:val="nil"/>
              <w:bottom w:val="single" w:sz="4" w:space="0" w:color="000000"/>
              <w:right w:val="nil"/>
            </w:tcBorders>
          </w:tcPr>
          <w:p w:rsidR="0023438A" w:rsidRDefault="00A02C86">
            <w:pPr>
              <w:spacing w:after="0" w:line="259" w:lineRule="auto"/>
              <w:ind w:left="0" w:firstLine="0"/>
            </w:pPr>
            <w:r>
              <w:t xml:space="preserve">10 </w:t>
            </w:r>
          </w:p>
        </w:tc>
        <w:tc>
          <w:tcPr>
            <w:tcW w:w="2249" w:type="dxa"/>
            <w:tcBorders>
              <w:top w:val="nil"/>
              <w:left w:val="nil"/>
              <w:bottom w:val="single" w:sz="4" w:space="0" w:color="000000"/>
              <w:right w:val="nil"/>
            </w:tcBorders>
          </w:tcPr>
          <w:p w:rsidR="0023438A" w:rsidRDefault="00A02C86">
            <w:pPr>
              <w:spacing w:after="0" w:line="259" w:lineRule="auto"/>
              <w:ind w:left="0" w:firstLine="0"/>
            </w:pPr>
            <w:r>
              <w:t xml:space="preserve">10.99% </w:t>
            </w:r>
          </w:p>
        </w:tc>
      </w:tr>
    </w:tbl>
    <w:p w:rsidR="0023438A" w:rsidRDefault="00A02C86">
      <w:pPr>
        <w:spacing w:after="372" w:line="259" w:lineRule="auto"/>
        <w:ind w:left="0" w:right="102" w:firstLine="0"/>
        <w:jc w:val="center"/>
      </w:pPr>
      <w:r>
        <w:t xml:space="preserve"> </w:t>
      </w:r>
    </w:p>
    <w:p w:rsidR="0023438A" w:rsidRDefault="00A02C86">
      <w:pPr>
        <w:ind w:left="425" w:right="777" w:firstLine="540"/>
      </w:pPr>
      <w:r>
        <w:t>Tables 2 and 3 display a breakdown of the demographics of the participants. The largest subgroup of employer participants are C-level officers of their respective businesses (n = 32, 39.6%), and the majority of the educational participants are administrato</w:t>
      </w:r>
      <w:r>
        <w:t xml:space="preserve">rs (n = 51, 56.0%). Both parties are almost unanimous in their declaration of being active participants in some form of </w:t>
      </w:r>
    </w:p>
    <w:p w:rsidR="0023438A" w:rsidRDefault="00A02C86">
      <w:pPr>
        <w:spacing w:after="121" w:line="478" w:lineRule="auto"/>
        <w:ind w:left="435" w:right="764"/>
        <w:jc w:val="both"/>
      </w:pPr>
      <w:r>
        <w:t>WBL, 85%, and 97%, respectively. While the employer respondents are evenly dispersed in small to medium and large businesses, nearly ha</w:t>
      </w:r>
      <w:r>
        <w:t xml:space="preserve">lf of the educational respondents are from two-year degree institutions (n = 42, 46.7%), and an additional third are from less than two-year </w:t>
      </w:r>
      <w:proofErr w:type="spellStart"/>
      <w:r>
        <w:t>degreegranting</w:t>
      </w:r>
      <w:proofErr w:type="spellEnd"/>
      <w:r>
        <w:t xml:space="preserve"> institutions (n = 32, 35.6%).  These results suggest the sample aligns with the researcher’s goal to</w:t>
      </w:r>
      <w:r>
        <w:t xml:space="preserve"> survey educators that align with the middle-skills occupational gap noted in the literature.  </w:t>
      </w:r>
    </w:p>
    <w:p w:rsidR="0023438A" w:rsidRDefault="00A02C86">
      <w:pPr>
        <w:pStyle w:val="Heading1"/>
        <w:ind w:left="435"/>
      </w:pPr>
      <w:r>
        <w:t xml:space="preserve">Reliability of the Instrument </w:t>
      </w:r>
    </w:p>
    <w:p w:rsidR="0023438A" w:rsidRDefault="00A02C86">
      <w:pPr>
        <w:ind w:left="425" w:right="978" w:firstLine="720"/>
      </w:pPr>
      <w:r>
        <w:t>The content of the questionnaire items was informed by the literature. Additionally, the reliability of the instrument was assess</w:t>
      </w:r>
      <w:r>
        <w:t xml:space="preserve">ed using </w:t>
      </w:r>
      <w:proofErr w:type="spellStart"/>
      <w:r>
        <w:t>Cronbach’s</w:t>
      </w:r>
      <w:proofErr w:type="spellEnd"/>
      <w:r>
        <w:t xml:space="preserve"> α, which is a measure of internal consistency. As can be seen in Table 4, all scale reliabilities were near or above the 0.60 considered adequate for survey research (</w:t>
      </w:r>
      <w:proofErr w:type="spellStart"/>
      <w:r>
        <w:t>Nunnally</w:t>
      </w:r>
      <w:proofErr w:type="spellEnd"/>
      <w:r>
        <w:t>, 1978), and the overall scale reliabilities were close to .9</w:t>
      </w:r>
      <w:r>
        <w:t xml:space="preserve">0, indicating high internal consistency. The knowledge scale showed the lowest reliability, but excluding these items did not impact the overall reliability of either instrument.  </w:t>
      </w:r>
    </w:p>
    <w:p w:rsidR="0023438A" w:rsidRDefault="00A02C86">
      <w:pPr>
        <w:spacing w:after="372" w:line="259" w:lineRule="auto"/>
        <w:ind w:left="435" w:right="777"/>
      </w:pPr>
      <w:r>
        <w:t>Table 4 displays the reliability measures for questionnaire items related t</w:t>
      </w:r>
      <w:r>
        <w:t>o both RQ1 and RQ2.</w:t>
      </w:r>
      <w:r>
        <w:rPr>
          <w:b/>
        </w:rPr>
        <w:t xml:space="preserve"> </w:t>
      </w:r>
    </w:p>
    <w:p w:rsidR="0023438A" w:rsidRDefault="00A02C86">
      <w:pPr>
        <w:spacing w:after="252" w:line="259" w:lineRule="auto"/>
        <w:ind w:left="435" w:right="777"/>
      </w:pPr>
      <w:r>
        <w:lastRenderedPageBreak/>
        <w:t xml:space="preserve">Table 4 </w:t>
      </w:r>
    </w:p>
    <w:p w:rsidR="0023438A" w:rsidRDefault="00A02C86">
      <w:pPr>
        <w:spacing w:after="96" w:line="267" w:lineRule="auto"/>
        <w:ind w:left="435" w:right="715"/>
      </w:pPr>
      <w:r>
        <w:rPr>
          <w:i/>
        </w:rPr>
        <w:t xml:space="preserve">Reliability Measures of the Instrument using </w:t>
      </w:r>
      <w:proofErr w:type="spellStart"/>
      <w:r>
        <w:rPr>
          <w:i/>
        </w:rPr>
        <w:t>Cronbach’s</w:t>
      </w:r>
      <w:proofErr w:type="spellEnd"/>
      <w:r>
        <w:rPr>
          <w:i/>
        </w:rPr>
        <w:t xml:space="preserve"> α </w:t>
      </w:r>
    </w:p>
    <w:tbl>
      <w:tblPr>
        <w:tblStyle w:val="TableGrid"/>
        <w:tblW w:w="7862" w:type="dxa"/>
        <w:tblInd w:w="1038" w:type="dxa"/>
        <w:tblCellMar>
          <w:top w:w="7" w:type="dxa"/>
          <w:left w:w="0" w:type="dxa"/>
          <w:bottom w:w="0" w:type="dxa"/>
          <w:right w:w="115" w:type="dxa"/>
        </w:tblCellMar>
        <w:tblLook w:val="04A0" w:firstRow="1" w:lastRow="0" w:firstColumn="1" w:lastColumn="0" w:noHBand="0" w:noVBand="1"/>
      </w:tblPr>
      <w:tblGrid>
        <w:gridCol w:w="3477"/>
        <w:gridCol w:w="2249"/>
        <w:gridCol w:w="2136"/>
      </w:tblGrid>
      <w:tr w:rsidR="0023438A">
        <w:trPr>
          <w:trHeight w:val="708"/>
        </w:trPr>
        <w:tc>
          <w:tcPr>
            <w:tcW w:w="3478" w:type="dxa"/>
            <w:tcBorders>
              <w:top w:val="single" w:sz="4" w:space="0" w:color="000000"/>
              <w:left w:val="nil"/>
              <w:bottom w:val="single" w:sz="4" w:space="0" w:color="000000"/>
              <w:right w:val="nil"/>
            </w:tcBorders>
          </w:tcPr>
          <w:p w:rsidR="0023438A" w:rsidRDefault="00A02C86">
            <w:pPr>
              <w:spacing w:after="0" w:line="259" w:lineRule="auto"/>
              <w:ind w:left="310" w:firstLine="0"/>
            </w:pPr>
            <w:r>
              <w:t xml:space="preserve">Questionnaire Subscale </w:t>
            </w:r>
          </w:p>
        </w:tc>
        <w:tc>
          <w:tcPr>
            <w:tcW w:w="2249"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Employer  </w:t>
            </w:r>
          </w:p>
        </w:tc>
        <w:tc>
          <w:tcPr>
            <w:tcW w:w="2136"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Educator  </w:t>
            </w:r>
          </w:p>
        </w:tc>
      </w:tr>
      <w:tr w:rsidR="0023438A">
        <w:trPr>
          <w:trHeight w:val="387"/>
        </w:trPr>
        <w:tc>
          <w:tcPr>
            <w:tcW w:w="3478" w:type="dxa"/>
            <w:tcBorders>
              <w:top w:val="single" w:sz="4" w:space="0" w:color="000000"/>
              <w:left w:val="nil"/>
              <w:bottom w:val="nil"/>
              <w:right w:val="nil"/>
            </w:tcBorders>
          </w:tcPr>
          <w:p w:rsidR="0023438A" w:rsidRDefault="00A02C86">
            <w:pPr>
              <w:spacing w:after="0" w:line="259" w:lineRule="auto"/>
              <w:ind w:left="310" w:firstLine="0"/>
            </w:pPr>
            <w:r>
              <w:t xml:space="preserve">Knowledge scale </w:t>
            </w:r>
          </w:p>
        </w:tc>
        <w:tc>
          <w:tcPr>
            <w:tcW w:w="2249" w:type="dxa"/>
            <w:tcBorders>
              <w:top w:val="single" w:sz="4" w:space="0" w:color="000000"/>
              <w:left w:val="nil"/>
              <w:bottom w:val="nil"/>
              <w:right w:val="nil"/>
            </w:tcBorders>
          </w:tcPr>
          <w:p w:rsidR="0023438A" w:rsidRDefault="00A02C86">
            <w:pPr>
              <w:spacing w:after="0" w:line="259" w:lineRule="auto"/>
              <w:ind w:left="773" w:firstLine="0"/>
            </w:pPr>
            <w:r>
              <w:t xml:space="preserve">.61 </w:t>
            </w:r>
          </w:p>
        </w:tc>
        <w:tc>
          <w:tcPr>
            <w:tcW w:w="2136" w:type="dxa"/>
            <w:tcBorders>
              <w:top w:val="single" w:sz="4" w:space="0" w:color="000000"/>
              <w:left w:val="nil"/>
              <w:bottom w:val="nil"/>
              <w:right w:val="nil"/>
            </w:tcBorders>
          </w:tcPr>
          <w:p w:rsidR="0023438A" w:rsidRDefault="00A02C86">
            <w:pPr>
              <w:spacing w:after="0" w:line="259" w:lineRule="auto"/>
              <w:ind w:left="7" w:firstLine="0"/>
              <w:jc w:val="center"/>
            </w:pPr>
            <w:r>
              <w:t xml:space="preserve">.56 </w:t>
            </w:r>
          </w:p>
        </w:tc>
      </w:tr>
      <w:tr w:rsidR="0023438A">
        <w:trPr>
          <w:trHeight w:val="466"/>
        </w:trPr>
        <w:tc>
          <w:tcPr>
            <w:tcW w:w="3478" w:type="dxa"/>
            <w:tcBorders>
              <w:top w:val="nil"/>
              <w:left w:val="nil"/>
              <w:bottom w:val="nil"/>
              <w:right w:val="nil"/>
            </w:tcBorders>
          </w:tcPr>
          <w:p w:rsidR="0023438A" w:rsidRDefault="00A02C86">
            <w:pPr>
              <w:spacing w:after="0" w:line="259" w:lineRule="auto"/>
              <w:ind w:left="310" w:firstLine="0"/>
            </w:pPr>
            <w:r>
              <w:t xml:space="preserve">Awareness Scale </w:t>
            </w:r>
          </w:p>
        </w:tc>
        <w:tc>
          <w:tcPr>
            <w:tcW w:w="2249" w:type="dxa"/>
            <w:tcBorders>
              <w:top w:val="nil"/>
              <w:left w:val="nil"/>
              <w:bottom w:val="nil"/>
              <w:right w:val="nil"/>
            </w:tcBorders>
          </w:tcPr>
          <w:p w:rsidR="0023438A" w:rsidRDefault="00A02C86">
            <w:pPr>
              <w:spacing w:after="0" w:line="259" w:lineRule="auto"/>
              <w:ind w:left="773" w:firstLine="0"/>
            </w:pPr>
            <w:r>
              <w:t xml:space="preserve">.88 </w:t>
            </w:r>
          </w:p>
        </w:tc>
        <w:tc>
          <w:tcPr>
            <w:tcW w:w="2136" w:type="dxa"/>
            <w:tcBorders>
              <w:top w:val="nil"/>
              <w:left w:val="nil"/>
              <w:bottom w:val="nil"/>
              <w:right w:val="nil"/>
            </w:tcBorders>
          </w:tcPr>
          <w:p w:rsidR="0023438A" w:rsidRDefault="00A02C86">
            <w:pPr>
              <w:spacing w:after="0" w:line="259" w:lineRule="auto"/>
              <w:ind w:left="7" w:firstLine="0"/>
              <w:jc w:val="center"/>
            </w:pPr>
            <w:r>
              <w:t xml:space="preserve">.89 </w:t>
            </w:r>
          </w:p>
        </w:tc>
      </w:tr>
      <w:tr w:rsidR="0023438A">
        <w:trPr>
          <w:trHeight w:val="437"/>
        </w:trPr>
        <w:tc>
          <w:tcPr>
            <w:tcW w:w="3478" w:type="dxa"/>
            <w:tcBorders>
              <w:top w:val="nil"/>
              <w:left w:val="nil"/>
              <w:bottom w:val="nil"/>
              <w:right w:val="nil"/>
            </w:tcBorders>
          </w:tcPr>
          <w:p w:rsidR="0023438A" w:rsidRDefault="00A02C86">
            <w:pPr>
              <w:spacing w:after="0" w:line="259" w:lineRule="auto"/>
              <w:ind w:left="310" w:firstLine="0"/>
            </w:pPr>
            <w:r>
              <w:t xml:space="preserve">Perception of Priority Scale </w:t>
            </w:r>
          </w:p>
        </w:tc>
        <w:tc>
          <w:tcPr>
            <w:tcW w:w="2249" w:type="dxa"/>
            <w:tcBorders>
              <w:top w:val="nil"/>
              <w:left w:val="nil"/>
              <w:bottom w:val="nil"/>
              <w:right w:val="nil"/>
            </w:tcBorders>
          </w:tcPr>
          <w:p w:rsidR="0023438A" w:rsidRDefault="00A02C86">
            <w:pPr>
              <w:spacing w:after="0" w:line="259" w:lineRule="auto"/>
              <w:ind w:left="773" w:firstLine="0"/>
            </w:pPr>
            <w:r>
              <w:t xml:space="preserve">.81 </w:t>
            </w:r>
          </w:p>
        </w:tc>
        <w:tc>
          <w:tcPr>
            <w:tcW w:w="2136" w:type="dxa"/>
            <w:tcBorders>
              <w:top w:val="nil"/>
              <w:left w:val="nil"/>
              <w:bottom w:val="nil"/>
              <w:right w:val="nil"/>
            </w:tcBorders>
          </w:tcPr>
          <w:p w:rsidR="0023438A" w:rsidRDefault="00A02C86">
            <w:pPr>
              <w:spacing w:after="0" w:line="259" w:lineRule="auto"/>
              <w:ind w:left="7" w:firstLine="0"/>
              <w:jc w:val="center"/>
            </w:pPr>
            <w:r>
              <w:t xml:space="preserve">.79 </w:t>
            </w:r>
          </w:p>
        </w:tc>
      </w:tr>
      <w:tr w:rsidR="0023438A">
        <w:trPr>
          <w:trHeight w:val="438"/>
        </w:trPr>
        <w:tc>
          <w:tcPr>
            <w:tcW w:w="3478" w:type="dxa"/>
            <w:tcBorders>
              <w:top w:val="nil"/>
              <w:left w:val="nil"/>
              <w:bottom w:val="nil"/>
              <w:right w:val="nil"/>
            </w:tcBorders>
          </w:tcPr>
          <w:p w:rsidR="0023438A" w:rsidRDefault="00A02C86">
            <w:pPr>
              <w:spacing w:after="0" w:line="259" w:lineRule="auto"/>
              <w:ind w:left="310" w:firstLine="0"/>
            </w:pPr>
            <w:r>
              <w:t xml:space="preserve">Barrier Scale </w:t>
            </w:r>
          </w:p>
        </w:tc>
        <w:tc>
          <w:tcPr>
            <w:tcW w:w="2249" w:type="dxa"/>
            <w:tcBorders>
              <w:top w:val="nil"/>
              <w:left w:val="nil"/>
              <w:bottom w:val="nil"/>
              <w:right w:val="nil"/>
            </w:tcBorders>
          </w:tcPr>
          <w:p w:rsidR="0023438A" w:rsidRDefault="00A02C86">
            <w:pPr>
              <w:spacing w:after="0" w:line="259" w:lineRule="auto"/>
              <w:ind w:left="773" w:firstLine="0"/>
            </w:pPr>
            <w:r>
              <w:t xml:space="preserve">.90 </w:t>
            </w:r>
          </w:p>
        </w:tc>
        <w:tc>
          <w:tcPr>
            <w:tcW w:w="2136" w:type="dxa"/>
            <w:tcBorders>
              <w:top w:val="nil"/>
              <w:left w:val="nil"/>
              <w:bottom w:val="nil"/>
              <w:right w:val="nil"/>
            </w:tcBorders>
          </w:tcPr>
          <w:p w:rsidR="0023438A" w:rsidRDefault="00A02C86">
            <w:pPr>
              <w:spacing w:after="0" w:line="259" w:lineRule="auto"/>
              <w:ind w:left="7" w:firstLine="0"/>
              <w:jc w:val="center"/>
            </w:pPr>
            <w:r>
              <w:t xml:space="preserve">.87 </w:t>
            </w:r>
          </w:p>
        </w:tc>
      </w:tr>
      <w:tr w:rsidR="0023438A">
        <w:trPr>
          <w:trHeight w:val="438"/>
        </w:trPr>
        <w:tc>
          <w:tcPr>
            <w:tcW w:w="3478" w:type="dxa"/>
            <w:tcBorders>
              <w:top w:val="nil"/>
              <w:left w:val="nil"/>
              <w:bottom w:val="nil"/>
              <w:right w:val="nil"/>
            </w:tcBorders>
          </w:tcPr>
          <w:p w:rsidR="0023438A" w:rsidRDefault="00A02C86">
            <w:pPr>
              <w:spacing w:after="0" w:line="259" w:lineRule="auto"/>
              <w:ind w:left="310" w:firstLine="0"/>
            </w:pPr>
            <w:r>
              <w:t xml:space="preserve">Resource Priority Scale </w:t>
            </w:r>
          </w:p>
        </w:tc>
        <w:tc>
          <w:tcPr>
            <w:tcW w:w="2249" w:type="dxa"/>
            <w:tcBorders>
              <w:top w:val="nil"/>
              <w:left w:val="nil"/>
              <w:bottom w:val="nil"/>
              <w:right w:val="nil"/>
            </w:tcBorders>
          </w:tcPr>
          <w:p w:rsidR="0023438A" w:rsidRDefault="00A02C86">
            <w:pPr>
              <w:spacing w:after="0" w:line="259" w:lineRule="auto"/>
              <w:ind w:left="773" w:firstLine="0"/>
            </w:pPr>
            <w:r>
              <w:t xml:space="preserve">.92 </w:t>
            </w:r>
          </w:p>
        </w:tc>
        <w:tc>
          <w:tcPr>
            <w:tcW w:w="2136" w:type="dxa"/>
            <w:tcBorders>
              <w:top w:val="nil"/>
              <w:left w:val="nil"/>
              <w:bottom w:val="nil"/>
              <w:right w:val="nil"/>
            </w:tcBorders>
          </w:tcPr>
          <w:p w:rsidR="0023438A" w:rsidRDefault="00A02C86">
            <w:pPr>
              <w:spacing w:after="0" w:line="259" w:lineRule="auto"/>
              <w:ind w:left="7" w:firstLine="0"/>
              <w:jc w:val="center"/>
            </w:pPr>
            <w:r>
              <w:t xml:space="preserve">.88 </w:t>
            </w:r>
          </w:p>
        </w:tc>
      </w:tr>
      <w:tr w:rsidR="0023438A">
        <w:trPr>
          <w:trHeight w:val="525"/>
        </w:trPr>
        <w:tc>
          <w:tcPr>
            <w:tcW w:w="3478" w:type="dxa"/>
            <w:tcBorders>
              <w:top w:val="nil"/>
              <w:left w:val="nil"/>
              <w:bottom w:val="single" w:sz="4" w:space="0" w:color="000000"/>
              <w:right w:val="nil"/>
            </w:tcBorders>
          </w:tcPr>
          <w:p w:rsidR="0023438A" w:rsidRDefault="00A02C86">
            <w:pPr>
              <w:spacing w:after="0" w:line="259" w:lineRule="auto"/>
              <w:ind w:left="310" w:firstLine="0"/>
            </w:pPr>
            <w:r>
              <w:t xml:space="preserve">Overall </w:t>
            </w:r>
          </w:p>
        </w:tc>
        <w:tc>
          <w:tcPr>
            <w:tcW w:w="2249" w:type="dxa"/>
            <w:tcBorders>
              <w:top w:val="nil"/>
              <w:left w:val="nil"/>
              <w:bottom w:val="single" w:sz="4" w:space="0" w:color="000000"/>
              <w:right w:val="nil"/>
            </w:tcBorders>
          </w:tcPr>
          <w:p w:rsidR="0023438A" w:rsidRDefault="00A02C86">
            <w:pPr>
              <w:spacing w:after="0" w:line="259" w:lineRule="auto"/>
              <w:ind w:left="773" w:firstLine="0"/>
            </w:pPr>
            <w:r>
              <w:t xml:space="preserve">.87 </w:t>
            </w:r>
          </w:p>
        </w:tc>
        <w:tc>
          <w:tcPr>
            <w:tcW w:w="2136" w:type="dxa"/>
            <w:tcBorders>
              <w:top w:val="nil"/>
              <w:left w:val="nil"/>
              <w:bottom w:val="single" w:sz="4" w:space="0" w:color="000000"/>
              <w:right w:val="nil"/>
            </w:tcBorders>
          </w:tcPr>
          <w:p w:rsidR="0023438A" w:rsidRDefault="00A02C86">
            <w:pPr>
              <w:spacing w:after="0" w:line="259" w:lineRule="auto"/>
              <w:ind w:left="7" w:firstLine="0"/>
              <w:jc w:val="center"/>
            </w:pPr>
            <w:r>
              <w:t xml:space="preserve">.89 </w:t>
            </w:r>
          </w:p>
        </w:tc>
      </w:tr>
    </w:tbl>
    <w:p w:rsidR="0023438A" w:rsidRDefault="00A02C86">
      <w:pPr>
        <w:spacing w:after="0" w:line="259" w:lineRule="auto"/>
        <w:ind w:left="440" w:firstLine="0"/>
      </w:pPr>
      <w:r>
        <w:t xml:space="preserve"> </w:t>
      </w:r>
    </w:p>
    <w:p w:rsidR="0023438A" w:rsidRDefault="00A02C86">
      <w:pPr>
        <w:pStyle w:val="Heading1"/>
        <w:ind w:left="435"/>
      </w:pPr>
      <w:r>
        <w:t xml:space="preserve">Results for Research Question 1 </w:t>
      </w:r>
    </w:p>
    <w:p w:rsidR="0023438A" w:rsidRDefault="00A02C86">
      <w:pPr>
        <w:ind w:left="425" w:right="906" w:firstLine="720"/>
      </w:pPr>
      <w:r>
        <w:t>Research question one examined respondents’ perceptions about apprenticeship programs.  Respondents were asked to rate their knowledge, awareness, and perception of priority. Table 5 displays a cross-sectional analysis of descriptive statistics for the res</w:t>
      </w:r>
      <w:r>
        <w:t>ults of parallel questions from the employer and educator groups’ questionnaire items addressing RQ1. The questionnaires used various Likert scale items with response categories appropriate for each section of the instrument. The questionnaire items relate</w:t>
      </w:r>
      <w:r>
        <w:t xml:space="preserve">d to RQ1 use three different </w:t>
      </w:r>
      <w:proofErr w:type="spellStart"/>
      <w:r>
        <w:t>fourpoint</w:t>
      </w:r>
      <w:proofErr w:type="spellEnd"/>
      <w:r>
        <w:t xml:space="preserve"> Likert scales: Knowledge Scale with response categories 1-Strongly Disagree, 2Disagree, 3-Agree, 4-Strongly Agree; Awareness Scale with response categories 1-Not at all aware, 2-Somewhat aware, 3-Moderately aware, and</w:t>
      </w:r>
      <w:r>
        <w:t xml:space="preserve"> 4-Extremely aware; and Perception of </w:t>
      </w:r>
    </w:p>
    <w:p w:rsidR="0023438A" w:rsidRDefault="00A02C86">
      <w:pPr>
        <w:spacing w:after="117"/>
        <w:ind w:left="435" w:right="899"/>
      </w:pPr>
      <w:r>
        <w:t xml:space="preserve">Priority Scale with response categories 1-Not a priority, 2-Low priority, 3-Medium priority, 4High priority. The percentages listed in Table 5 indicate the percent of participants who selected a 3 or 4 on each of the </w:t>
      </w:r>
      <w:r>
        <w:t xml:space="preserve">Likert scale items in the questionnaire.  </w:t>
      </w:r>
    </w:p>
    <w:p w:rsidR="0023438A" w:rsidRDefault="00A02C86">
      <w:pPr>
        <w:spacing w:after="372" w:line="259" w:lineRule="auto"/>
        <w:ind w:left="1160" w:firstLine="0"/>
      </w:pPr>
      <w:r>
        <w:t xml:space="preserve"> </w:t>
      </w:r>
    </w:p>
    <w:p w:rsidR="0023438A" w:rsidRDefault="00A02C86">
      <w:pPr>
        <w:spacing w:after="374" w:line="259" w:lineRule="auto"/>
        <w:ind w:left="1160" w:firstLine="0"/>
      </w:pPr>
      <w:r>
        <w:t xml:space="preserve"> </w:t>
      </w:r>
    </w:p>
    <w:p w:rsidR="0023438A" w:rsidRDefault="00A02C86">
      <w:pPr>
        <w:spacing w:after="0" w:line="259" w:lineRule="auto"/>
        <w:ind w:left="440" w:firstLine="0"/>
      </w:pPr>
      <w:r>
        <w:t xml:space="preserve"> </w:t>
      </w:r>
      <w:r>
        <w:tab/>
        <w:t xml:space="preserve"> </w:t>
      </w:r>
    </w:p>
    <w:p w:rsidR="0023438A" w:rsidRDefault="00A02C86">
      <w:pPr>
        <w:spacing w:after="252" w:line="259" w:lineRule="auto"/>
        <w:ind w:left="435" w:right="777"/>
      </w:pPr>
      <w:r>
        <w:t xml:space="preserve">Table 5 </w:t>
      </w:r>
    </w:p>
    <w:p w:rsidR="0023438A" w:rsidRDefault="00A02C86">
      <w:pPr>
        <w:spacing w:after="96" w:line="267" w:lineRule="auto"/>
        <w:ind w:left="435" w:right="715"/>
      </w:pPr>
      <w:r>
        <w:rPr>
          <w:i/>
        </w:rPr>
        <w:lastRenderedPageBreak/>
        <w:t>Descriptive Comparison of Parallel RQ1 Questionnaire Items by Group</w:t>
      </w:r>
      <w:r>
        <w:t xml:space="preserve"> </w:t>
      </w:r>
    </w:p>
    <w:tbl>
      <w:tblPr>
        <w:tblStyle w:val="TableGrid"/>
        <w:tblW w:w="9360" w:type="dxa"/>
        <w:tblInd w:w="440" w:type="dxa"/>
        <w:tblCellMar>
          <w:top w:w="5" w:type="dxa"/>
          <w:left w:w="0" w:type="dxa"/>
          <w:bottom w:w="0" w:type="dxa"/>
          <w:right w:w="0" w:type="dxa"/>
        </w:tblCellMar>
        <w:tblLook w:val="04A0" w:firstRow="1" w:lastRow="0" w:firstColumn="1" w:lastColumn="0" w:noHBand="0" w:noVBand="1"/>
      </w:tblPr>
      <w:tblGrid>
        <w:gridCol w:w="4969"/>
        <w:gridCol w:w="108"/>
        <w:gridCol w:w="650"/>
        <w:gridCol w:w="108"/>
        <w:gridCol w:w="1236"/>
        <w:gridCol w:w="108"/>
        <w:gridCol w:w="710"/>
        <w:gridCol w:w="108"/>
        <w:gridCol w:w="710"/>
        <w:gridCol w:w="108"/>
        <w:gridCol w:w="391"/>
        <w:gridCol w:w="154"/>
      </w:tblGrid>
      <w:tr w:rsidR="0023438A">
        <w:trPr>
          <w:trHeight w:val="286"/>
        </w:trPr>
        <w:tc>
          <w:tcPr>
            <w:tcW w:w="5834" w:type="dxa"/>
            <w:gridSpan w:val="4"/>
            <w:tcBorders>
              <w:top w:val="single" w:sz="4" w:space="0" w:color="000000"/>
              <w:left w:val="nil"/>
              <w:bottom w:val="single" w:sz="4" w:space="0" w:color="000000"/>
              <w:right w:val="nil"/>
            </w:tcBorders>
          </w:tcPr>
          <w:p w:rsidR="0023438A" w:rsidRDefault="00A02C86">
            <w:pPr>
              <w:tabs>
                <w:tab w:val="center" w:pos="295"/>
                <w:tab w:val="center" w:pos="5136"/>
              </w:tabs>
              <w:spacing w:after="0" w:line="259" w:lineRule="auto"/>
              <w:ind w:left="0" w:firstLine="0"/>
            </w:pPr>
            <w:r>
              <w:rPr>
                <w:rFonts w:ascii="Calibri" w:eastAsia="Calibri" w:hAnsi="Calibri" w:cs="Calibri"/>
                <w:sz w:val="22"/>
              </w:rPr>
              <w:tab/>
            </w:r>
            <w:r>
              <w:t xml:space="preserve"> </w:t>
            </w:r>
            <w:r>
              <w:tab/>
            </w:r>
            <w:r>
              <w:rPr>
                <w:i/>
              </w:rPr>
              <w:t xml:space="preserve">n </w:t>
            </w:r>
          </w:p>
        </w:tc>
        <w:tc>
          <w:tcPr>
            <w:tcW w:w="1344"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Group </w:t>
            </w:r>
          </w:p>
        </w:tc>
        <w:tc>
          <w:tcPr>
            <w:tcW w:w="818"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rPr>
                <w:i/>
              </w:rPr>
              <w:t>M</w:t>
            </w:r>
            <w:r>
              <w:t xml:space="preserve"> </w:t>
            </w:r>
          </w:p>
        </w:tc>
        <w:tc>
          <w:tcPr>
            <w:tcW w:w="818"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rPr>
                <w:i/>
              </w:rPr>
              <w:t>SD</w:t>
            </w:r>
            <w:r>
              <w:t xml:space="preserve"> </w:t>
            </w:r>
          </w:p>
        </w:tc>
        <w:tc>
          <w:tcPr>
            <w:tcW w:w="545"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 </w:t>
            </w:r>
          </w:p>
        </w:tc>
      </w:tr>
      <w:tr w:rsidR="0023438A">
        <w:trPr>
          <w:trHeight w:val="286"/>
        </w:trPr>
        <w:tc>
          <w:tcPr>
            <w:tcW w:w="5834" w:type="dxa"/>
            <w:gridSpan w:val="4"/>
            <w:tcBorders>
              <w:top w:val="single" w:sz="4" w:space="0" w:color="000000"/>
              <w:left w:val="nil"/>
              <w:bottom w:val="single" w:sz="4" w:space="0" w:color="000000"/>
              <w:right w:val="nil"/>
            </w:tcBorders>
          </w:tcPr>
          <w:p w:rsidR="0023438A" w:rsidRDefault="00A02C86">
            <w:pPr>
              <w:spacing w:after="0" w:line="259" w:lineRule="auto"/>
              <w:ind w:left="0" w:right="222" w:firstLine="0"/>
              <w:jc w:val="right"/>
            </w:pPr>
            <w:r>
              <w:t xml:space="preserve">Knowledge Scale </w:t>
            </w:r>
          </w:p>
        </w:tc>
        <w:tc>
          <w:tcPr>
            <w:tcW w:w="1344"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8"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8"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554"/>
        </w:trPr>
        <w:tc>
          <w:tcPr>
            <w:tcW w:w="5076" w:type="dxa"/>
            <w:gridSpan w:val="2"/>
            <w:tcBorders>
              <w:top w:val="single" w:sz="4" w:space="0" w:color="000000"/>
              <w:left w:val="nil"/>
              <w:bottom w:val="nil"/>
              <w:right w:val="nil"/>
            </w:tcBorders>
          </w:tcPr>
          <w:p w:rsidR="0023438A" w:rsidRDefault="00A02C86">
            <w:pPr>
              <w:spacing w:after="0" w:line="259" w:lineRule="auto"/>
              <w:ind w:left="108" w:right="120" w:firstLine="0"/>
            </w:pPr>
            <w:r>
              <w:t xml:space="preserve">More work-based learning experiences are needed. </w:t>
            </w:r>
          </w:p>
        </w:tc>
        <w:tc>
          <w:tcPr>
            <w:tcW w:w="758" w:type="dxa"/>
            <w:gridSpan w:val="2"/>
            <w:tcBorders>
              <w:top w:val="single" w:sz="4" w:space="0" w:color="000000"/>
              <w:left w:val="nil"/>
              <w:bottom w:val="nil"/>
              <w:right w:val="nil"/>
            </w:tcBorders>
          </w:tcPr>
          <w:p w:rsidR="0023438A" w:rsidRDefault="00A02C86">
            <w:pPr>
              <w:spacing w:after="0" w:line="259" w:lineRule="auto"/>
              <w:ind w:left="0" w:firstLine="0"/>
            </w:pPr>
            <w:r>
              <w:t xml:space="preserve">90 </w:t>
            </w:r>
          </w:p>
          <w:p w:rsidR="0023438A" w:rsidRDefault="00A02C86">
            <w:pPr>
              <w:spacing w:after="0" w:line="259" w:lineRule="auto"/>
              <w:ind w:left="0" w:firstLine="0"/>
            </w:pPr>
            <w:r>
              <w:t>131</w:t>
            </w:r>
            <w:r>
              <w:t xml:space="preserve"> </w:t>
            </w:r>
          </w:p>
        </w:tc>
        <w:tc>
          <w:tcPr>
            <w:tcW w:w="1344" w:type="dxa"/>
            <w:gridSpan w:val="2"/>
            <w:tcBorders>
              <w:top w:val="single" w:sz="4" w:space="0" w:color="000000"/>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single" w:sz="4" w:space="0" w:color="000000"/>
              <w:left w:val="nil"/>
              <w:bottom w:val="nil"/>
              <w:right w:val="nil"/>
            </w:tcBorders>
          </w:tcPr>
          <w:p w:rsidR="0023438A" w:rsidRDefault="00A02C86">
            <w:pPr>
              <w:spacing w:after="0" w:line="259" w:lineRule="auto"/>
              <w:ind w:left="0" w:firstLine="0"/>
            </w:pPr>
            <w:r>
              <w:t xml:space="preserve">3.32 </w:t>
            </w:r>
          </w:p>
          <w:p w:rsidR="0023438A" w:rsidRDefault="00A02C86">
            <w:pPr>
              <w:spacing w:after="0" w:line="259" w:lineRule="auto"/>
              <w:ind w:left="0" w:firstLine="0"/>
            </w:pPr>
            <w:r>
              <w:t>3.68</w:t>
            </w:r>
            <w:r>
              <w:t xml:space="preserve"> </w:t>
            </w:r>
          </w:p>
        </w:tc>
        <w:tc>
          <w:tcPr>
            <w:tcW w:w="818" w:type="dxa"/>
            <w:gridSpan w:val="2"/>
            <w:tcBorders>
              <w:top w:val="single" w:sz="4" w:space="0" w:color="000000"/>
              <w:left w:val="nil"/>
              <w:bottom w:val="nil"/>
              <w:right w:val="nil"/>
            </w:tcBorders>
          </w:tcPr>
          <w:p w:rsidR="0023438A" w:rsidRDefault="00A02C86">
            <w:pPr>
              <w:spacing w:after="0" w:line="259" w:lineRule="auto"/>
              <w:ind w:left="0" w:firstLine="0"/>
            </w:pPr>
            <w:r>
              <w:t xml:space="preserve">.70 </w:t>
            </w:r>
          </w:p>
          <w:p w:rsidR="0023438A" w:rsidRDefault="00A02C86">
            <w:pPr>
              <w:spacing w:after="0" w:line="259" w:lineRule="auto"/>
              <w:ind w:left="0" w:firstLine="0"/>
            </w:pPr>
            <w:r>
              <w:t xml:space="preserve">.48 </w:t>
            </w:r>
          </w:p>
        </w:tc>
        <w:tc>
          <w:tcPr>
            <w:tcW w:w="545" w:type="dxa"/>
            <w:gridSpan w:val="2"/>
            <w:tcBorders>
              <w:top w:val="single" w:sz="4" w:space="0" w:color="000000"/>
              <w:left w:val="nil"/>
              <w:bottom w:val="nil"/>
              <w:right w:val="nil"/>
            </w:tcBorders>
          </w:tcPr>
          <w:p w:rsidR="0023438A" w:rsidRDefault="00A02C86">
            <w:pPr>
              <w:spacing w:after="0" w:line="259" w:lineRule="auto"/>
              <w:ind w:left="0" w:firstLine="0"/>
              <w:jc w:val="both"/>
            </w:pPr>
            <w:r>
              <w:t xml:space="preserve">89% </w:t>
            </w:r>
          </w:p>
          <w:p w:rsidR="0023438A" w:rsidRDefault="00A02C86">
            <w:pPr>
              <w:spacing w:after="0" w:line="259" w:lineRule="auto"/>
              <w:ind w:left="0" w:firstLine="0"/>
              <w:jc w:val="both"/>
            </w:pPr>
            <w:r>
              <w:t>99%</w:t>
            </w:r>
            <w:r>
              <w:t xml:space="preserve"> </w:t>
            </w:r>
          </w:p>
        </w:tc>
      </w:tr>
      <w:tr w:rsidR="0023438A">
        <w:trPr>
          <w:trHeight w:val="828"/>
        </w:trPr>
        <w:tc>
          <w:tcPr>
            <w:tcW w:w="5076" w:type="dxa"/>
            <w:gridSpan w:val="2"/>
            <w:tcBorders>
              <w:top w:val="nil"/>
              <w:left w:val="nil"/>
              <w:bottom w:val="nil"/>
              <w:right w:val="nil"/>
            </w:tcBorders>
          </w:tcPr>
          <w:p w:rsidR="0023438A" w:rsidRDefault="00A02C86">
            <w:pPr>
              <w:spacing w:after="0" w:line="259" w:lineRule="auto"/>
              <w:ind w:left="108" w:right="343" w:firstLine="0"/>
            </w:pPr>
            <w:r>
              <w:t xml:space="preserve">Higher education institutions are currently doing a good job of training graduates to meet the needs of the employer community.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2.80 </w:t>
            </w:r>
          </w:p>
          <w:p w:rsidR="0023438A" w:rsidRDefault="00A02C86">
            <w:pPr>
              <w:spacing w:after="0" w:line="259" w:lineRule="auto"/>
              <w:ind w:left="0" w:firstLine="0"/>
            </w:pPr>
            <w:r>
              <w:t>2.70</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.63 </w:t>
            </w:r>
          </w:p>
          <w:p w:rsidR="0023438A" w:rsidRDefault="00A02C86">
            <w:pPr>
              <w:spacing w:after="0" w:line="259" w:lineRule="auto"/>
              <w:ind w:left="0" w:firstLine="0"/>
            </w:pPr>
            <w:r>
              <w:t xml:space="preserve">.68 </w:t>
            </w:r>
          </w:p>
        </w:tc>
        <w:tc>
          <w:tcPr>
            <w:tcW w:w="545" w:type="dxa"/>
            <w:gridSpan w:val="2"/>
            <w:tcBorders>
              <w:top w:val="nil"/>
              <w:left w:val="nil"/>
              <w:bottom w:val="nil"/>
              <w:right w:val="nil"/>
            </w:tcBorders>
          </w:tcPr>
          <w:p w:rsidR="0023438A" w:rsidRDefault="00A02C86">
            <w:pPr>
              <w:spacing w:after="0" w:line="259" w:lineRule="auto"/>
              <w:ind w:left="0" w:firstLine="0"/>
              <w:jc w:val="both"/>
            </w:pPr>
            <w:r>
              <w:t xml:space="preserve">73% </w:t>
            </w:r>
          </w:p>
          <w:p w:rsidR="0023438A" w:rsidRDefault="00A02C86">
            <w:pPr>
              <w:spacing w:after="0" w:line="259" w:lineRule="auto"/>
              <w:ind w:left="0" w:firstLine="0"/>
              <w:jc w:val="both"/>
            </w:pPr>
            <w:r>
              <w:t>63%</w:t>
            </w:r>
            <w:r>
              <w:t xml:space="preserve"> </w:t>
            </w:r>
          </w:p>
        </w:tc>
      </w:tr>
      <w:tr w:rsidR="0023438A">
        <w:trPr>
          <w:trHeight w:val="569"/>
        </w:trPr>
        <w:tc>
          <w:tcPr>
            <w:tcW w:w="5076" w:type="dxa"/>
            <w:gridSpan w:val="2"/>
            <w:tcBorders>
              <w:top w:val="nil"/>
              <w:left w:val="nil"/>
              <w:bottom w:val="nil"/>
              <w:right w:val="nil"/>
            </w:tcBorders>
          </w:tcPr>
          <w:p w:rsidR="0023438A" w:rsidRDefault="00A02C86">
            <w:pPr>
              <w:spacing w:after="0" w:line="259" w:lineRule="auto"/>
              <w:ind w:left="108" w:firstLine="0"/>
            </w:pPr>
            <w:r>
              <w:t xml:space="preserve">The traditional WBL meet the community's workforce development demands.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90 </w:t>
            </w:r>
          </w:p>
          <w:p w:rsidR="0023438A" w:rsidRDefault="00A02C86">
            <w:pPr>
              <w:spacing w:after="0" w:line="259" w:lineRule="auto"/>
              <w:ind w:left="0" w:firstLine="0"/>
            </w:pPr>
            <w:r>
              <w:t>128</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2.72 </w:t>
            </w:r>
          </w:p>
          <w:p w:rsidR="0023438A" w:rsidRDefault="00A02C86">
            <w:pPr>
              <w:spacing w:after="0" w:line="259" w:lineRule="auto"/>
              <w:ind w:left="0" w:firstLine="0"/>
            </w:pPr>
            <w:r>
              <w:t>2.67</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.65 </w:t>
            </w:r>
          </w:p>
          <w:p w:rsidR="0023438A" w:rsidRDefault="00A02C86">
            <w:pPr>
              <w:spacing w:after="0" w:line="259" w:lineRule="auto"/>
              <w:ind w:left="0" w:firstLine="0"/>
            </w:pPr>
            <w:r>
              <w:t xml:space="preserve">.62 </w:t>
            </w:r>
          </w:p>
        </w:tc>
        <w:tc>
          <w:tcPr>
            <w:tcW w:w="545" w:type="dxa"/>
            <w:gridSpan w:val="2"/>
            <w:tcBorders>
              <w:top w:val="nil"/>
              <w:left w:val="nil"/>
              <w:bottom w:val="nil"/>
              <w:right w:val="nil"/>
            </w:tcBorders>
          </w:tcPr>
          <w:p w:rsidR="0023438A" w:rsidRDefault="00A02C86">
            <w:pPr>
              <w:spacing w:after="0" w:line="259" w:lineRule="auto"/>
              <w:ind w:left="0" w:firstLine="0"/>
              <w:jc w:val="both"/>
            </w:pPr>
            <w:r>
              <w:t xml:space="preserve">63% </w:t>
            </w:r>
          </w:p>
          <w:p w:rsidR="0023438A" w:rsidRDefault="00A02C86">
            <w:pPr>
              <w:spacing w:after="0" w:line="259" w:lineRule="auto"/>
              <w:ind w:left="0" w:firstLine="0"/>
              <w:jc w:val="both"/>
            </w:pPr>
            <w:r>
              <w:t>66%</w:t>
            </w:r>
            <w:r>
              <w:t xml:space="preserve"> </w:t>
            </w:r>
          </w:p>
        </w:tc>
      </w:tr>
      <w:tr w:rsidR="0023438A">
        <w:trPr>
          <w:trHeight w:val="853"/>
        </w:trPr>
        <w:tc>
          <w:tcPr>
            <w:tcW w:w="5076" w:type="dxa"/>
            <w:gridSpan w:val="2"/>
            <w:tcBorders>
              <w:top w:val="nil"/>
              <w:left w:val="nil"/>
              <w:bottom w:val="single" w:sz="4" w:space="0" w:color="000000"/>
              <w:right w:val="nil"/>
            </w:tcBorders>
          </w:tcPr>
          <w:p w:rsidR="0023438A" w:rsidRDefault="00A02C86">
            <w:pPr>
              <w:spacing w:after="0" w:line="259" w:lineRule="auto"/>
              <w:ind w:left="108" w:firstLine="0"/>
            </w:pPr>
            <w:r>
              <w:t xml:space="preserve">Online courses would better accommodate the schedule demands of work-based learning experiences. </w:t>
            </w:r>
          </w:p>
        </w:tc>
        <w:tc>
          <w:tcPr>
            <w:tcW w:w="758" w:type="dxa"/>
            <w:gridSpan w:val="2"/>
            <w:tcBorders>
              <w:top w:val="nil"/>
              <w:left w:val="nil"/>
              <w:bottom w:val="single" w:sz="4" w:space="0" w:color="000000"/>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126</w:t>
            </w:r>
            <w:r>
              <w:t xml:space="preserve"> </w:t>
            </w:r>
          </w:p>
        </w:tc>
        <w:tc>
          <w:tcPr>
            <w:tcW w:w="1344" w:type="dxa"/>
            <w:gridSpan w:val="2"/>
            <w:tcBorders>
              <w:top w:val="nil"/>
              <w:left w:val="nil"/>
              <w:bottom w:val="single" w:sz="4" w:space="0" w:color="000000"/>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single" w:sz="4" w:space="0" w:color="000000"/>
              <w:right w:val="nil"/>
            </w:tcBorders>
          </w:tcPr>
          <w:p w:rsidR="0023438A" w:rsidRDefault="00A02C86">
            <w:pPr>
              <w:spacing w:after="0" w:line="259" w:lineRule="auto"/>
              <w:ind w:left="0" w:firstLine="0"/>
            </w:pPr>
            <w:r>
              <w:t xml:space="preserve">2.54 </w:t>
            </w:r>
          </w:p>
          <w:p w:rsidR="0023438A" w:rsidRDefault="00A02C86">
            <w:pPr>
              <w:spacing w:after="0" w:line="259" w:lineRule="auto"/>
              <w:ind w:left="0" w:firstLine="0"/>
            </w:pPr>
            <w:r>
              <w:t>2.76</w:t>
            </w:r>
            <w:r>
              <w:t xml:space="preserve"> </w:t>
            </w:r>
          </w:p>
        </w:tc>
        <w:tc>
          <w:tcPr>
            <w:tcW w:w="818" w:type="dxa"/>
            <w:gridSpan w:val="2"/>
            <w:tcBorders>
              <w:top w:val="nil"/>
              <w:left w:val="nil"/>
              <w:bottom w:val="single" w:sz="4" w:space="0" w:color="000000"/>
              <w:right w:val="nil"/>
            </w:tcBorders>
          </w:tcPr>
          <w:p w:rsidR="0023438A" w:rsidRDefault="00A02C86">
            <w:pPr>
              <w:spacing w:after="0" w:line="259" w:lineRule="auto"/>
              <w:ind w:left="0" w:firstLine="0"/>
            </w:pPr>
            <w:r>
              <w:t xml:space="preserve">.80 </w:t>
            </w:r>
          </w:p>
          <w:p w:rsidR="0023438A" w:rsidRDefault="00A02C86">
            <w:pPr>
              <w:spacing w:after="0" w:line="259" w:lineRule="auto"/>
              <w:ind w:left="0" w:firstLine="0"/>
            </w:pPr>
            <w:r>
              <w:t xml:space="preserve">.82 </w:t>
            </w:r>
          </w:p>
        </w:tc>
        <w:tc>
          <w:tcPr>
            <w:tcW w:w="545" w:type="dxa"/>
            <w:gridSpan w:val="2"/>
            <w:tcBorders>
              <w:top w:val="nil"/>
              <w:left w:val="nil"/>
              <w:bottom w:val="single" w:sz="4" w:space="0" w:color="000000"/>
              <w:right w:val="nil"/>
            </w:tcBorders>
          </w:tcPr>
          <w:p w:rsidR="0023438A" w:rsidRDefault="00A02C86">
            <w:pPr>
              <w:spacing w:after="0" w:line="259" w:lineRule="auto"/>
              <w:ind w:left="0" w:firstLine="0"/>
              <w:jc w:val="both"/>
            </w:pPr>
            <w:r>
              <w:t xml:space="preserve">62% </w:t>
            </w:r>
          </w:p>
          <w:p w:rsidR="0023438A" w:rsidRDefault="00A02C86">
            <w:pPr>
              <w:spacing w:after="0" w:line="259" w:lineRule="auto"/>
              <w:ind w:left="0" w:firstLine="0"/>
              <w:jc w:val="both"/>
            </w:pPr>
            <w:r>
              <w:t>66%</w:t>
            </w:r>
            <w:r>
              <w:t xml:space="preserve"> </w:t>
            </w:r>
          </w:p>
        </w:tc>
      </w:tr>
      <w:tr w:rsidR="0023438A">
        <w:trPr>
          <w:trHeight w:val="286"/>
        </w:trPr>
        <w:tc>
          <w:tcPr>
            <w:tcW w:w="5834" w:type="dxa"/>
            <w:gridSpan w:val="4"/>
            <w:tcBorders>
              <w:top w:val="single" w:sz="4" w:space="0" w:color="000000"/>
              <w:left w:val="nil"/>
              <w:bottom w:val="single" w:sz="4" w:space="0" w:color="000000"/>
              <w:right w:val="nil"/>
            </w:tcBorders>
          </w:tcPr>
          <w:p w:rsidR="0023438A" w:rsidRDefault="00A02C86">
            <w:pPr>
              <w:spacing w:after="0" w:line="259" w:lineRule="auto"/>
              <w:ind w:left="0" w:right="342" w:firstLine="0"/>
              <w:jc w:val="right"/>
            </w:pPr>
            <w:r>
              <w:t xml:space="preserve">Awareness Scale </w:t>
            </w:r>
          </w:p>
        </w:tc>
        <w:tc>
          <w:tcPr>
            <w:tcW w:w="1344"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8"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8"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gridSpan w:val="2"/>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554"/>
        </w:trPr>
        <w:tc>
          <w:tcPr>
            <w:tcW w:w="5076" w:type="dxa"/>
            <w:gridSpan w:val="2"/>
            <w:tcBorders>
              <w:top w:val="single" w:sz="4" w:space="0" w:color="000000"/>
              <w:left w:val="nil"/>
              <w:bottom w:val="nil"/>
              <w:right w:val="nil"/>
            </w:tcBorders>
          </w:tcPr>
          <w:p w:rsidR="0023438A" w:rsidRDefault="00A02C86">
            <w:pPr>
              <w:spacing w:after="0" w:line="259" w:lineRule="auto"/>
              <w:ind w:left="108" w:right="1" w:firstLine="0"/>
            </w:pPr>
            <w:r>
              <w:t xml:space="preserve">Apprenticeship programs are now available for over 1000 occupations. </w:t>
            </w:r>
          </w:p>
        </w:tc>
        <w:tc>
          <w:tcPr>
            <w:tcW w:w="758" w:type="dxa"/>
            <w:gridSpan w:val="2"/>
            <w:tcBorders>
              <w:top w:val="single" w:sz="4" w:space="0" w:color="000000"/>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single" w:sz="4" w:space="0" w:color="000000"/>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single" w:sz="4" w:space="0" w:color="000000"/>
              <w:left w:val="nil"/>
              <w:bottom w:val="nil"/>
              <w:right w:val="nil"/>
            </w:tcBorders>
          </w:tcPr>
          <w:p w:rsidR="0023438A" w:rsidRDefault="00A02C86">
            <w:pPr>
              <w:spacing w:after="0" w:line="259" w:lineRule="auto"/>
              <w:ind w:left="0" w:firstLine="0"/>
            </w:pPr>
            <w:r>
              <w:t xml:space="preserve">2.65 </w:t>
            </w:r>
          </w:p>
          <w:p w:rsidR="0023438A" w:rsidRDefault="00A02C86">
            <w:pPr>
              <w:spacing w:after="0" w:line="259" w:lineRule="auto"/>
              <w:ind w:left="0" w:firstLine="0"/>
            </w:pPr>
            <w:r>
              <w:t>2.48</w:t>
            </w:r>
            <w:r>
              <w:t xml:space="preserve"> </w:t>
            </w:r>
          </w:p>
        </w:tc>
        <w:tc>
          <w:tcPr>
            <w:tcW w:w="818" w:type="dxa"/>
            <w:gridSpan w:val="2"/>
            <w:tcBorders>
              <w:top w:val="single" w:sz="4" w:space="0" w:color="000000"/>
              <w:left w:val="nil"/>
              <w:bottom w:val="nil"/>
              <w:right w:val="nil"/>
            </w:tcBorders>
          </w:tcPr>
          <w:p w:rsidR="0023438A" w:rsidRDefault="00A02C86">
            <w:pPr>
              <w:spacing w:after="0" w:line="259" w:lineRule="auto"/>
              <w:ind w:left="0" w:firstLine="0"/>
            </w:pPr>
            <w:r>
              <w:t xml:space="preserve">.92 </w:t>
            </w:r>
          </w:p>
          <w:p w:rsidR="0023438A" w:rsidRDefault="00A02C86">
            <w:pPr>
              <w:spacing w:after="0" w:line="259" w:lineRule="auto"/>
              <w:ind w:left="0" w:firstLine="0"/>
            </w:pPr>
            <w:r>
              <w:t>1.04</w:t>
            </w:r>
            <w:r>
              <w:t xml:space="preserve"> </w:t>
            </w:r>
          </w:p>
        </w:tc>
        <w:tc>
          <w:tcPr>
            <w:tcW w:w="545" w:type="dxa"/>
            <w:gridSpan w:val="2"/>
            <w:tcBorders>
              <w:top w:val="single" w:sz="4" w:space="0" w:color="000000"/>
              <w:left w:val="nil"/>
              <w:bottom w:val="nil"/>
              <w:right w:val="nil"/>
            </w:tcBorders>
          </w:tcPr>
          <w:p w:rsidR="0023438A" w:rsidRDefault="00A02C86">
            <w:pPr>
              <w:spacing w:after="0" w:line="259" w:lineRule="auto"/>
              <w:ind w:left="0" w:firstLine="0"/>
              <w:jc w:val="both"/>
            </w:pPr>
            <w:r>
              <w:t xml:space="preserve">59% </w:t>
            </w:r>
          </w:p>
          <w:p w:rsidR="0023438A" w:rsidRDefault="00A02C86">
            <w:pPr>
              <w:spacing w:after="0" w:line="259" w:lineRule="auto"/>
              <w:ind w:left="0" w:firstLine="0"/>
              <w:jc w:val="both"/>
            </w:pPr>
            <w:r>
              <w:t>53%</w:t>
            </w:r>
            <w:r>
              <w:t xml:space="preserve"> </w:t>
            </w:r>
          </w:p>
        </w:tc>
      </w:tr>
      <w:tr w:rsidR="0023438A">
        <w:trPr>
          <w:trHeight w:val="552"/>
        </w:trPr>
        <w:tc>
          <w:tcPr>
            <w:tcW w:w="5076" w:type="dxa"/>
            <w:gridSpan w:val="2"/>
            <w:tcBorders>
              <w:top w:val="nil"/>
              <w:left w:val="nil"/>
              <w:bottom w:val="nil"/>
              <w:right w:val="nil"/>
            </w:tcBorders>
          </w:tcPr>
          <w:p w:rsidR="0023438A" w:rsidRDefault="00A02C86">
            <w:pPr>
              <w:spacing w:after="0" w:line="259" w:lineRule="auto"/>
              <w:ind w:left="108" w:right="110" w:firstLine="0"/>
            </w:pPr>
            <w:r>
              <w:t xml:space="preserve">Historically, apprenticeships usually take 3-5 years to complete.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2.70 </w:t>
            </w:r>
          </w:p>
          <w:p w:rsidR="0023438A" w:rsidRDefault="00A02C86">
            <w:pPr>
              <w:spacing w:after="0" w:line="259" w:lineRule="auto"/>
              <w:ind w:left="0" w:firstLine="0"/>
            </w:pPr>
            <w:r>
              <w:t>2.26</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1.01 </w:t>
            </w:r>
          </w:p>
          <w:p w:rsidR="0023438A" w:rsidRDefault="00A02C86">
            <w:pPr>
              <w:spacing w:after="0" w:line="259" w:lineRule="auto"/>
              <w:ind w:left="0" w:firstLine="0"/>
            </w:pPr>
            <w:r>
              <w:t>1.07</w:t>
            </w:r>
            <w:r>
              <w:t xml:space="preserve"> </w:t>
            </w:r>
          </w:p>
        </w:tc>
        <w:tc>
          <w:tcPr>
            <w:tcW w:w="545" w:type="dxa"/>
            <w:gridSpan w:val="2"/>
            <w:tcBorders>
              <w:top w:val="nil"/>
              <w:left w:val="nil"/>
              <w:bottom w:val="nil"/>
              <w:right w:val="nil"/>
            </w:tcBorders>
          </w:tcPr>
          <w:p w:rsidR="0023438A" w:rsidRDefault="00A02C86">
            <w:pPr>
              <w:spacing w:after="0" w:line="259" w:lineRule="auto"/>
              <w:ind w:left="0" w:firstLine="0"/>
              <w:jc w:val="both"/>
            </w:pPr>
            <w:r>
              <w:t xml:space="preserve">60% </w:t>
            </w:r>
          </w:p>
          <w:p w:rsidR="0023438A" w:rsidRDefault="00A02C86">
            <w:pPr>
              <w:spacing w:after="0" w:line="259" w:lineRule="auto"/>
              <w:ind w:left="0" w:firstLine="0"/>
              <w:jc w:val="both"/>
            </w:pPr>
            <w:r>
              <w:t>43%</w:t>
            </w:r>
            <w:r>
              <w:t xml:space="preserve"> </w:t>
            </w:r>
          </w:p>
        </w:tc>
      </w:tr>
      <w:tr w:rsidR="0023438A">
        <w:trPr>
          <w:trHeight w:val="552"/>
        </w:trPr>
        <w:tc>
          <w:tcPr>
            <w:tcW w:w="5076" w:type="dxa"/>
            <w:gridSpan w:val="2"/>
            <w:tcBorders>
              <w:top w:val="nil"/>
              <w:left w:val="nil"/>
              <w:bottom w:val="nil"/>
              <w:right w:val="nil"/>
            </w:tcBorders>
          </w:tcPr>
          <w:p w:rsidR="0023438A" w:rsidRDefault="00A02C86">
            <w:pPr>
              <w:spacing w:after="0" w:line="259" w:lineRule="auto"/>
              <w:ind w:left="108" w:right="26" w:firstLine="0"/>
            </w:pPr>
            <w:r>
              <w:t xml:space="preserve">Apprenticeships can now be based on competencies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130</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2.59 </w:t>
            </w:r>
          </w:p>
          <w:p w:rsidR="0023438A" w:rsidRDefault="00A02C86">
            <w:pPr>
              <w:spacing w:after="0" w:line="259" w:lineRule="auto"/>
              <w:ind w:left="0" w:firstLine="0"/>
            </w:pPr>
            <w:r>
              <w:t>2.05</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.96 </w:t>
            </w:r>
          </w:p>
          <w:p w:rsidR="0023438A" w:rsidRDefault="00A02C86">
            <w:pPr>
              <w:spacing w:after="0" w:line="259" w:lineRule="auto"/>
              <w:ind w:left="0" w:firstLine="0"/>
            </w:pPr>
            <w:r>
              <w:t>1.04</w:t>
            </w:r>
            <w:r>
              <w:t xml:space="preserve"> </w:t>
            </w:r>
          </w:p>
        </w:tc>
        <w:tc>
          <w:tcPr>
            <w:tcW w:w="545" w:type="dxa"/>
            <w:gridSpan w:val="2"/>
            <w:tcBorders>
              <w:top w:val="nil"/>
              <w:left w:val="nil"/>
              <w:bottom w:val="nil"/>
              <w:right w:val="nil"/>
            </w:tcBorders>
          </w:tcPr>
          <w:p w:rsidR="0023438A" w:rsidRDefault="00A02C86">
            <w:pPr>
              <w:spacing w:after="0" w:line="259" w:lineRule="auto"/>
              <w:ind w:left="0" w:firstLine="0"/>
              <w:jc w:val="both"/>
            </w:pPr>
            <w:r>
              <w:t xml:space="preserve">58% </w:t>
            </w:r>
          </w:p>
          <w:p w:rsidR="0023438A" w:rsidRDefault="00A02C86">
            <w:pPr>
              <w:spacing w:after="0" w:line="259" w:lineRule="auto"/>
              <w:ind w:left="0" w:firstLine="0"/>
              <w:jc w:val="both"/>
            </w:pPr>
            <w:r>
              <w:t>36%</w:t>
            </w:r>
            <w:r>
              <w:t xml:space="preserve"> </w:t>
            </w:r>
          </w:p>
        </w:tc>
      </w:tr>
      <w:tr w:rsidR="0023438A">
        <w:trPr>
          <w:trHeight w:val="552"/>
        </w:trPr>
        <w:tc>
          <w:tcPr>
            <w:tcW w:w="5076" w:type="dxa"/>
            <w:gridSpan w:val="2"/>
            <w:tcBorders>
              <w:top w:val="nil"/>
              <w:left w:val="nil"/>
              <w:bottom w:val="nil"/>
              <w:right w:val="nil"/>
            </w:tcBorders>
          </w:tcPr>
          <w:p w:rsidR="0023438A" w:rsidRDefault="00A02C86">
            <w:pPr>
              <w:spacing w:after="0" w:line="259" w:lineRule="auto"/>
              <w:ind w:left="108" w:firstLine="0"/>
              <w:jc w:val="both"/>
            </w:pPr>
            <w:r>
              <w:t xml:space="preserve">Apprenticeship participants usually earn an associate degree or credential.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2.80 </w:t>
            </w:r>
          </w:p>
          <w:p w:rsidR="0023438A" w:rsidRDefault="00A02C86">
            <w:pPr>
              <w:spacing w:after="0" w:line="259" w:lineRule="auto"/>
              <w:ind w:left="0" w:firstLine="0"/>
            </w:pPr>
            <w:r>
              <w:t>2.40</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.96 </w:t>
            </w:r>
          </w:p>
          <w:p w:rsidR="0023438A" w:rsidRDefault="00A02C86">
            <w:pPr>
              <w:spacing w:after="0" w:line="259" w:lineRule="auto"/>
              <w:ind w:left="0" w:firstLine="0"/>
            </w:pPr>
            <w:r>
              <w:t>1.01</w:t>
            </w:r>
            <w:r>
              <w:t xml:space="preserve"> </w:t>
            </w:r>
          </w:p>
        </w:tc>
        <w:tc>
          <w:tcPr>
            <w:tcW w:w="545" w:type="dxa"/>
            <w:gridSpan w:val="2"/>
            <w:tcBorders>
              <w:top w:val="nil"/>
              <w:left w:val="nil"/>
              <w:bottom w:val="nil"/>
              <w:right w:val="nil"/>
            </w:tcBorders>
          </w:tcPr>
          <w:p w:rsidR="0023438A" w:rsidRDefault="00A02C86">
            <w:pPr>
              <w:spacing w:after="0" w:line="259" w:lineRule="auto"/>
              <w:ind w:left="0" w:firstLine="0"/>
              <w:jc w:val="both"/>
            </w:pPr>
            <w:r>
              <w:t xml:space="preserve">66% </w:t>
            </w:r>
          </w:p>
          <w:p w:rsidR="0023438A" w:rsidRDefault="00A02C86">
            <w:pPr>
              <w:spacing w:after="0" w:line="259" w:lineRule="auto"/>
              <w:ind w:left="0" w:firstLine="0"/>
              <w:jc w:val="both"/>
            </w:pPr>
            <w:r>
              <w:t>50%</w:t>
            </w:r>
            <w:r>
              <w:t xml:space="preserve"> </w:t>
            </w:r>
          </w:p>
        </w:tc>
      </w:tr>
      <w:tr w:rsidR="0023438A">
        <w:trPr>
          <w:trHeight w:val="845"/>
        </w:trPr>
        <w:tc>
          <w:tcPr>
            <w:tcW w:w="5076" w:type="dxa"/>
            <w:gridSpan w:val="2"/>
            <w:tcBorders>
              <w:top w:val="nil"/>
              <w:left w:val="nil"/>
              <w:bottom w:val="single" w:sz="4" w:space="0" w:color="000000"/>
              <w:right w:val="nil"/>
            </w:tcBorders>
          </w:tcPr>
          <w:p w:rsidR="0023438A" w:rsidRDefault="00A02C86">
            <w:pPr>
              <w:spacing w:after="12" w:line="238" w:lineRule="auto"/>
              <w:ind w:left="108" w:firstLine="0"/>
              <w:jc w:val="both"/>
            </w:pPr>
            <w:r>
              <w:t xml:space="preserve">Apprentices are employees of the company and </w:t>
            </w:r>
            <w:r>
              <w:rPr>
                <w:u w:val="single" w:color="000000"/>
              </w:rPr>
              <w:t xml:space="preserve">earn a wage while they learn. </w:t>
            </w:r>
          </w:p>
          <w:p w:rsidR="0023438A" w:rsidRDefault="00A02C86">
            <w:pPr>
              <w:spacing w:after="0" w:line="259" w:lineRule="auto"/>
              <w:ind w:left="3365" w:right="-923" w:firstLine="0"/>
            </w:pPr>
            <w:r>
              <w:t xml:space="preserve">Perception of Priority Scale </w:t>
            </w:r>
          </w:p>
        </w:tc>
        <w:tc>
          <w:tcPr>
            <w:tcW w:w="758" w:type="dxa"/>
            <w:gridSpan w:val="2"/>
            <w:tcBorders>
              <w:top w:val="nil"/>
              <w:left w:val="nil"/>
              <w:bottom w:val="single" w:sz="4" w:space="0" w:color="000000"/>
              <w:right w:val="nil"/>
            </w:tcBorders>
          </w:tcPr>
          <w:p w:rsidR="0023438A" w:rsidRDefault="00A02C86">
            <w:pPr>
              <w:spacing w:after="0" w:line="259" w:lineRule="auto"/>
              <w:ind w:left="0" w:firstLine="0"/>
            </w:pPr>
            <w:r>
              <w:t xml:space="preserve">90 </w:t>
            </w:r>
          </w:p>
          <w:p w:rsidR="0023438A" w:rsidRDefault="00A02C86">
            <w:pPr>
              <w:spacing w:after="0" w:line="259" w:lineRule="auto"/>
              <w:ind w:left="0" w:firstLine="0"/>
            </w:pPr>
            <w:r>
              <w:rPr>
                <w:u w:val="single" w:color="000000"/>
              </w:rPr>
              <w:t>131</w:t>
            </w:r>
            <w:r>
              <w:rPr>
                <w:u w:val="single" w:color="000000"/>
              </w:rPr>
              <w:t xml:space="preserve"> </w:t>
            </w:r>
          </w:p>
        </w:tc>
        <w:tc>
          <w:tcPr>
            <w:tcW w:w="1344" w:type="dxa"/>
            <w:gridSpan w:val="2"/>
            <w:tcBorders>
              <w:top w:val="nil"/>
              <w:left w:val="nil"/>
              <w:bottom w:val="single" w:sz="4" w:space="0" w:color="000000"/>
              <w:right w:val="nil"/>
            </w:tcBorders>
          </w:tcPr>
          <w:p w:rsidR="0023438A" w:rsidRDefault="00A02C86">
            <w:pPr>
              <w:spacing w:after="0" w:line="259" w:lineRule="auto"/>
              <w:ind w:left="0" w:firstLine="0"/>
            </w:pPr>
            <w:r>
              <w:t xml:space="preserve">Educator </w:t>
            </w:r>
            <w:r>
              <w:rPr>
                <w:u w:val="single" w:color="000000"/>
              </w:rPr>
              <w:t>Employer</w:t>
            </w:r>
            <w:r>
              <w:rPr>
                <w:u w:val="single" w:color="000000"/>
              </w:rPr>
              <w:t xml:space="preserve"> </w:t>
            </w:r>
          </w:p>
        </w:tc>
        <w:tc>
          <w:tcPr>
            <w:tcW w:w="818" w:type="dxa"/>
            <w:gridSpan w:val="2"/>
            <w:tcBorders>
              <w:top w:val="nil"/>
              <w:left w:val="nil"/>
              <w:bottom w:val="single" w:sz="4" w:space="0" w:color="000000"/>
              <w:right w:val="nil"/>
            </w:tcBorders>
          </w:tcPr>
          <w:p w:rsidR="0023438A" w:rsidRDefault="00A02C86">
            <w:pPr>
              <w:spacing w:after="0" w:line="259" w:lineRule="auto"/>
              <w:ind w:left="0" w:firstLine="0"/>
            </w:pPr>
            <w:r>
              <w:t xml:space="preserve">3.22 </w:t>
            </w:r>
          </w:p>
          <w:p w:rsidR="0023438A" w:rsidRDefault="00A02C86">
            <w:pPr>
              <w:spacing w:after="0" w:line="259" w:lineRule="auto"/>
              <w:ind w:left="0" w:firstLine="0"/>
            </w:pPr>
            <w:r>
              <w:rPr>
                <w:u w:val="single" w:color="000000"/>
              </w:rPr>
              <w:t>2.79</w:t>
            </w:r>
            <w:r>
              <w:rPr>
                <w:u w:val="single" w:color="000000"/>
              </w:rPr>
              <w:t xml:space="preserve"> </w:t>
            </w:r>
          </w:p>
        </w:tc>
        <w:tc>
          <w:tcPr>
            <w:tcW w:w="818" w:type="dxa"/>
            <w:gridSpan w:val="2"/>
            <w:tcBorders>
              <w:top w:val="nil"/>
              <w:left w:val="nil"/>
              <w:bottom w:val="single" w:sz="4" w:space="0" w:color="000000"/>
              <w:right w:val="nil"/>
            </w:tcBorders>
          </w:tcPr>
          <w:p w:rsidR="0023438A" w:rsidRDefault="00A02C86">
            <w:pPr>
              <w:spacing w:after="0" w:line="259" w:lineRule="auto"/>
              <w:ind w:left="0" w:firstLine="0"/>
            </w:pPr>
            <w:r>
              <w:t xml:space="preserve">.89 </w:t>
            </w:r>
          </w:p>
          <w:p w:rsidR="0023438A" w:rsidRDefault="00A02C86">
            <w:pPr>
              <w:spacing w:after="0" w:line="259" w:lineRule="auto"/>
              <w:ind w:left="0" w:firstLine="0"/>
            </w:pPr>
            <w:r>
              <w:rPr>
                <w:u w:val="single" w:color="000000"/>
              </w:rPr>
              <w:t>1.07</w:t>
            </w:r>
            <w:r>
              <w:rPr>
                <w:u w:val="single" w:color="000000"/>
              </w:rPr>
              <w:t xml:space="preserve"> </w:t>
            </w:r>
          </w:p>
        </w:tc>
        <w:tc>
          <w:tcPr>
            <w:tcW w:w="545" w:type="dxa"/>
            <w:gridSpan w:val="2"/>
            <w:tcBorders>
              <w:top w:val="nil"/>
              <w:left w:val="nil"/>
              <w:bottom w:val="single" w:sz="4" w:space="0" w:color="000000"/>
              <w:right w:val="nil"/>
            </w:tcBorders>
          </w:tcPr>
          <w:p w:rsidR="0023438A" w:rsidRDefault="00A02C86">
            <w:pPr>
              <w:spacing w:after="0" w:line="259" w:lineRule="auto"/>
              <w:ind w:left="0" w:firstLine="0"/>
              <w:jc w:val="both"/>
            </w:pPr>
            <w:r>
              <w:t xml:space="preserve">82% </w:t>
            </w:r>
          </w:p>
          <w:p w:rsidR="0023438A" w:rsidRDefault="00A02C86">
            <w:pPr>
              <w:spacing w:after="0" w:line="259" w:lineRule="auto"/>
              <w:ind w:left="0" w:firstLine="0"/>
              <w:jc w:val="both"/>
            </w:pPr>
            <w:r>
              <w:rPr>
                <w:u w:val="single" w:color="000000"/>
              </w:rPr>
              <w:t>64%</w:t>
            </w:r>
            <w:r>
              <w:rPr>
                <w:u w:val="single" w:color="000000"/>
              </w:rPr>
              <w:t xml:space="preserve"> </w:t>
            </w:r>
          </w:p>
        </w:tc>
      </w:tr>
      <w:tr w:rsidR="0023438A">
        <w:tblPrEx>
          <w:tblCellMar>
            <w:top w:w="0" w:type="dxa"/>
          </w:tblCellMar>
        </w:tblPrEx>
        <w:trPr>
          <w:gridAfter w:val="1"/>
          <w:wAfter w:w="154" w:type="dxa"/>
          <w:trHeight w:val="547"/>
        </w:trPr>
        <w:tc>
          <w:tcPr>
            <w:tcW w:w="4968" w:type="dxa"/>
            <w:tcBorders>
              <w:top w:val="nil"/>
              <w:left w:val="nil"/>
              <w:bottom w:val="nil"/>
              <w:right w:val="nil"/>
            </w:tcBorders>
          </w:tcPr>
          <w:p w:rsidR="0023438A" w:rsidRDefault="00A02C86">
            <w:pPr>
              <w:spacing w:after="0" w:line="259" w:lineRule="auto"/>
              <w:ind w:left="0" w:right="164" w:firstLine="0"/>
              <w:jc w:val="both"/>
            </w:pPr>
            <w:r>
              <w:t xml:space="preserve">Expand apprentice-ship to occupations beyond the skilled trades.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3.13 </w:t>
            </w:r>
          </w:p>
          <w:p w:rsidR="0023438A" w:rsidRDefault="00A02C86">
            <w:pPr>
              <w:spacing w:after="0" w:line="259" w:lineRule="auto"/>
              <w:ind w:left="0" w:firstLine="0"/>
            </w:pPr>
            <w:r>
              <w:t>2.87</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.80 </w:t>
            </w:r>
          </w:p>
          <w:p w:rsidR="0023438A" w:rsidRDefault="00A02C86">
            <w:pPr>
              <w:spacing w:after="0" w:line="259" w:lineRule="auto"/>
              <w:ind w:left="0" w:firstLine="0"/>
            </w:pPr>
            <w:r>
              <w:t xml:space="preserve">.87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80% </w:t>
            </w:r>
          </w:p>
          <w:p w:rsidR="0023438A" w:rsidRDefault="00A02C86">
            <w:pPr>
              <w:spacing w:after="0" w:line="259" w:lineRule="auto"/>
              <w:ind w:left="0" w:firstLine="0"/>
              <w:jc w:val="both"/>
            </w:pPr>
            <w:r>
              <w:t>72%</w:t>
            </w:r>
            <w:r>
              <w:t xml:space="preserve"> </w:t>
            </w:r>
          </w:p>
        </w:tc>
      </w:tr>
      <w:tr w:rsidR="0023438A">
        <w:tblPrEx>
          <w:tblCellMar>
            <w:top w:w="0" w:type="dxa"/>
          </w:tblCellMar>
        </w:tblPrEx>
        <w:trPr>
          <w:gridAfter w:val="1"/>
          <w:wAfter w:w="154" w:type="dxa"/>
          <w:trHeight w:val="828"/>
        </w:trPr>
        <w:tc>
          <w:tcPr>
            <w:tcW w:w="4968" w:type="dxa"/>
            <w:tcBorders>
              <w:top w:val="nil"/>
              <w:left w:val="nil"/>
              <w:bottom w:val="nil"/>
              <w:right w:val="nil"/>
            </w:tcBorders>
          </w:tcPr>
          <w:p w:rsidR="0023438A" w:rsidRDefault="00A02C86">
            <w:pPr>
              <w:spacing w:after="0" w:line="259" w:lineRule="auto"/>
              <w:ind w:left="0" w:right="366" w:firstLine="0"/>
            </w:pPr>
            <w:r>
              <w:t xml:space="preserve">Ability to earn an accredited Degree or Diploma during apprenticeship (Student Apprentice).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3.27 </w:t>
            </w:r>
          </w:p>
          <w:p w:rsidR="0023438A" w:rsidRDefault="00A02C86">
            <w:pPr>
              <w:spacing w:after="0" w:line="259" w:lineRule="auto"/>
              <w:ind w:left="0" w:firstLine="0"/>
            </w:pPr>
            <w:r>
              <w:t>3.17</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.77 </w:t>
            </w:r>
          </w:p>
          <w:p w:rsidR="0023438A" w:rsidRDefault="00A02C86">
            <w:pPr>
              <w:spacing w:after="0" w:line="259" w:lineRule="auto"/>
              <w:ind w:left="0" w:firstLine="0"/>
            </w:pPr>
            <w:r>
              <w:t xml:space="preserve">.87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87% </w:t>
            </w:r>
          </w:p>
          <w:p w:rsidR="0023438A" w:rsidRDefault="00A02C86">
            <w:pPr>
              <w:spacing w:after="0" w:line="259" w:lineRule="auto"/>
              <w:ind w:left="0" w:firstLine="0"/>
              <w:jc w:val="both"/>
            </w:pPr>
            <w:r>
              <w:t>80%</w:t>
            </w:r>
            <w:r>
              <w:t xml:space="preserve"> </w:t>
            </w:r>
          </w:p>
        </w:tc>
      </w:tr>
      <w:tr w:rsidR="0023438A">
        <w:tblPrEx>
          <w:tblCellMar>
            <w:top w:w="0" w:type="dxa"/>
          </w:tblCellMar>
        </w:tblPrEx>
        <w:trPr>
          <w:gridAfter w:val="1"/>
          <w:wAfter w:w="154" w:type="dxa"/>
          <w:trHeight w:val="552"/>
        </w:trPr>
        <w:tc>
          <w:tcPr>
            <w:tcW w:w="4968" w:type="dxa"/>
            <w:tcBorders>
              <w:top w:val="nil"/>
              <w:left w:val="nil"/>
              <w:bottom w:val="nil"/>
              <w:right w:val="nil"/>
            </w:tcBorders>
          </w:tcPr>
          <w:p w:rsidR="0023438A" w:rsidRDefault="00A02C86">
            <w:pPr>
              <w:spacing w:after="0" w:line="259" w:lineRule="auto"/>
              <w:ind w:left="0" w:right="288" w:firstLine="0"/>
              <w:jc w:val="both"/>
            </w:pPr>
            <w:r>
              <w:t xml:space="preserve">Ability to transfer apprenticeship hours/credits to different employers and schools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3.31 </w:t>
            </w:r>
          </w:p>
          <w:p w:rsidR="0023438A" w:rsidRDefault="00A02C86">
            <w:pPr>
              <w:spacing w:after="0" w:line="259" w:lineRule="auto"/>
              <w:ind w:left="0" w:firstLine="0"/>
            </w:pPr>
            <w:r>
              <w:t>3.13</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.71 </w:t>
            </w:r>
          </w:p>
          <w:p w:rsidR="0023438A" w:rsidRDefault="00A02C86">
            <w:pPr>
              <w:spacing w:after="0" w:line="259" w:lineRule="auto"/>
              <w:ind w:left="0" w:firstLine="0"/>
            </w:pPr>
            <w:r>
              <w:t xml:space="preserve">.90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90% </w:t>
            </w:r>
          </w:p>
          <w:p w:rsidR="0023438A" w:rsidRDefault="00A02C86">
            <w:pPr>
              <w:spacing w:after="0" w:line="259" w:lineRule="auto"/>
              <w:ind w:left="0" w:firstLine="0"/>
              <w:jc w:val="both"/>
            </w:pPr>
            <w:r>
              <w:t>77%</w:t>
            </w:r>
            <w:r>
              <w:t xml:space="preserve"> </w:t>
            </w:r>
          </w:p>
        </w:tc>
      </w:tr>
      <w:tr w:rsidR="0023438A">
        <w:tblPrEx>
          <w:tblCellMar>
            <w:top w:w="0" w:type="dxa"/>
          </w:tblCellMar>
        </w:tblPrEx>
        <w:trPr>
          <w:gridAfter w:val="1"/>
          <w:wAfter w:w="154" w:type="dxa"/>
          <w:trHeight w:val="828"/>
        </w:trPr>
        <w:tc>
          <w:tcPr>
            <w:tcW w:w="4968" w:type="dxa"/>
            <w:tcBorders>
              <w:top w:val="nil"/>
              <w:left w:val="nil"/>
              <w:bottom w:val="nil"/>
              <w:right w:val="nil"/>
            </w:tcBorders>
          </w:tcPr>
          <w:p w:rsidR="0023438A" w:rsidRDefault="00A02C86">
            <w:pPr>
              <w:spacing w:after="0" w:line="259" w:lineRule="auto"/>
              <w:ind w:left="0" w:right="152" w:firstLine="0"/>
            </w:pPr>
            <w:r>
              <w:t xml:space="preserve">Have the educational portion of the program occur prior to the on-the-job training (Degree Apprentice).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3.26 </w:t>
            </w:r>
          </w:p>
          <w:p w:rsidR="0023438A" w:rsidRDefault="00A02C86">
            <w:pPr>
              <w:spacing w:after="0" w:line="259" w:lineRule="auto"/>
              <w:ind w:left="0" w:firstLine="0"/>
            </w:pPr>
            <w:r>
              <w:t>2.97</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.80 </w:t>
            </w:r>
          </w:p>
          <w:p w:rsidR="0023438A" w:rsidRDefault="00A02C86">
            <w:pPr>
              <w:spacing w:after="0" w:line="259" w:lineRule="auto"/>
              <w:ind w:left="0" w:firstLine="0"/>
            </w:pPr>
            <w:r>
              <w:t xml:space="preserve">.89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85% </w:t>
            </w:r>
          </w:p>
          <w:p w:rsidR="0023438A" w:rsidRDefault="00A02C86">
            <w:pPr>
              <w:spacing w:after="0" w:line="259" w:lineRule="auto"/>
              <w:ind w:left="0" w:firstLine="0"/>
              <w:jc w:val="both"/>
            </w:pPr>
            <w:r>
              <w:t>75%</w:t>
            </w:r>
            <w:r>
              <w:t xml:space="preserve"> </w:t>
            </w:r>
          </w:p>
        </w:tc>
      </w:tr>
      <w:tr w:rsidR="0023438A">
        <w:tblPrEx>
          <w:tblCellMar>
            <w:top w:w="0" w:type="dxa"/>
          </w:tblCellMar>
        </w:tblPrEx>
        <w:trPr>
          <w:gridAfter w:val="1"/>
          <w:wAfter w:w="154" w:type="dxa"/>
          <w:trHeight w:val="828"/>
        </w:trPr>
        <w:tc>
          <w:tcPr>
            <w:tcW w:w="4968" w:type="dxa"/>
            <w:tcBorders>
              <w:top w:val="nil"/>
              <w:left w:val="nil"/>
              <w:bottom w:val="nil"/>
              <w:right w:val="nil"/>
            </w:tcBorders>
          </w:tcPr>
          <w:p w:rsidR="0023438A" w:rsidRDefault="00A02C86">
            <w:pPr>
              <w:spacing w:after="0" w:line="259" w:lineRule="auto"/>
              <w:ind w:left="0" w:firstLine="0"/>
            </w:pPr>
            <w:r>
              <w:t xml:space="preserve">Use of competency-based apprenticeship frameworks that can potentially shorten apprenticeships to 1-2 years.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3.49 </w:t>
            </w:r>
          </w:p>
          <w:p w:rsidR="0023438A" w:rsidRDefault="00A02C86">
            <w:pPr>
              <w:spacing w:after="0" w:line="259" w:lineRule="auto"/>
              <w:ind w:left="0" w:firstLine="0"/>
            </w:pPr>
            <w:r>
              <w:t>3.12</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.63 </w:t>
            </w:r>
          </w:p>
          <w:p w:rsidR="0023438A" w:rsidRDefault="00A02C86">
            <w:pPr>
              <w:spacing w:after="0" w:line="259" w:lineRule="auto"/>
              <w:ind w:left="0" w:firstLine="0"/>
            </w:pPr>
            <w:r>
              <w:t xml:space="preserve">.88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94% </w:t>
            </w:r>
          </w:p>
          <w:p w:rsidR="0023438A" w:rsidRDefault="00A02C86">
            <w:pPr>
              <w:spacing w:after="0" w:line="259" w:lineRule="auto"/>
              <w:ind w:left="0" w:firstLine="0"/>
              <w:jc w:val="both"/>
            </w:pPr>
            <w:r>
              <w:t>82%</w:t>
            </w:r>
            <w:r>
              <w:t xml:space="preserve"> </w:t>
            </w:r>
          </w:p>
        </w:tc>
      </w:tr>
      <w:tr w:rsidR="0023438A">
        <w:tblPrEx>
          <w:tblCellMar>
            <w:top w:w="0" w:type="dxa"/>
          </w:tblCellMar>
        </w:tblPrEx>
        <w:trPr>
          <w:gridAfter w:val="1"/>
          <w:wAfter w:w="154" w:type="dxa"/>
          <w:trHeight w:val="552"/>
        </w:trPr>
        <w:tc>
          <w:tcPr>
            <w:tcW w:w="4968" w:type="dxa"/>
            <w:tcBorders>
              <w:top w:val="nil"/>
              <w:left w:val="nil"/>
              <w:bottom w:val="nil"/>
              <w:right w:val="nil"/>
            </w:tcBorders>
          </w:tcPr>
          <w:p w:rsidR="0023438A" w:rsidRDefault="00A02C86">
            <w:pPr>
              <w:spacing w:after="0" w:line="259" w:lineRule="auto"/>
              <w:ind w:left="0" w:right="36" w:firstLine="0"/>
            </w:pPr>
            <w:r>
              <w:t xml:space="preserve">Access to a larger candidate pool for apprenticeship programs.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90 </w:t>
            </w:r>
          </w:p>
          <w:p w:rsidR="0023438A" w:rsidRDefault="00A02C86">
            <w:pPr>
              <w:spacing w:after="0" w:line="259" w:lineRule="auto"/>
              <w:ind w:left="0" w:firstLine="0"/>
            </w:pPr>
            <w:r>
              <w:t>131</w:t>
            </w:r>
            <w: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Educator Employer</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3.27 </w:t>
            </w:r>
          </w:p>
          <w:p w:rsidR="0023438A" w:rsidRDefault="00A02C86">
            <w:pPr>
              <w:spacing w:after="0" w:line="259" w:lineRule="auto"/>
              <w:ind w:left="0" w:firstLine="0"/>
            </w:pPr>
            <w:r>
              <w:t>3.28</w:t>
            </w:r>
            <w:r>
              <w:t xml:space="preserve"> </w:t>
            </w:r>
          </w:p>
        </w:tc>
        <w:tc>
          <w:tcPr>
            <w:tcW w:w="818" w:type="dxa"/>
            <w:gridSpan w:val="2"/>
            <w:tcBorders>
              <w:top w:val="nil"/>
              <w:left w:val="nil"/>
              <w:bottom w:val="nil"/>
              <w:right w:val="nil"/>
            </w:tcBorders>
          </w:tcPr>
          <w:p w:rsidR="0023438A" w:rsidRDefault="00A02C86">
            <w:pPr>
              <w:spacing w:after="0" w:line="259" w:lineRule="auto"/>
              <w:ind w:left="0" w:firstLine="0"/>
            </w:pPr>
            <w:r>
              <w:t xml:space="preserve">.81 </w:t>
            </w:r>
          </w:p>
          <w:p w:rsidR="0023438A" w:rsidRDefault="00A02C86">
            <w:pPr>
              <w:spacing w:after="0" w:line="259" w:lineRule="auto"/>
              <w:ind w:left="0" w:firstLine="0"/>
            </w:pPr>
            <w:r>
              <w:t xml:space="preserve">.83 </w:t>
            </w:r>
          </w:p>
        </w:tc>
        <w:tc>
          <w:tcPr>
            <w:tcW w:w="499" w:type="dxa"/>
            <w:gridSpan w:val="2"/>
            <w:tcBorders>
              <w:top w:val="nil"/>
              <w:left w:val="nil"/>
              <w:bottom w:val="nil"/>
              <w:right w:val="nil"/>
            </w:tcBorders>
          </w:tcPr>
          <w:p w:rsidR="0023438A" w:rsidRDefault="00A02C86">
            <w:pPr>
              <w:spacing w:after="0" w:line="259" w:lineRule="auto"/>
              <w:ind w:left="0" w:firstLine="0"/>
              <w:jc w:val="both"/>
            </w:pPr>
            <w:r>
              <w:t xml:space="preserve">84% </w:t>
            </w:r>
          </w:p>
          <w:p w:rsidR="0023438A" w:rsidRDefault="00A02C86">
            <w:pPr>
              <w:spacing w:after="0" w:line="259" w:lineRule="auto"/>
              <w:ind w:left="0" w:firstLine="0"/>
              <w:jc w:val="both"/>
            </w:pPr>
            <w:r>
              <w:t>85%</w:t>
            </w:r>
            <w:r>
              <w:t xml:space="preserve"> </w:t>
            </w:r>
          </w:p>
        </w:tc>
      </w:tr>
      <w:tr w:rsidR="0023438A">
        <w:tblPrEx>
          <w:tblCellMar>
            <w:top w:w="0" w:type="dxa"/>
          </w:tblCellMar>
        </w:tblPrEx>
        <w:trPr>
          <w:gridAfter w:val="1"/>
          <w:wAfter w:w="154" w:type="dxa"/>
          <w:trHeight w:val="547"/>
        </w:trPr>
        <w:tc>
          <w:tcPr>
            <w:tcW w:w="4968" w:type="dxa"/>
            <w:tcBorders>
              <w:top w:val="nil"/>
              <w:left w:val="nil"/>
              <w:bottom w:val="nil"/>
              <w:right w:val="nil"/>
            </w:tcBorders>
          </w:tcPr>
          <w:p w:rsidR="0023438A" w:rsidRDefault="00A02C86">
            <w:pPr>
              <w:spacing w:after="0" w:line="259" w:lineRule="auto"/>
              <w:ind w:left="0" w:right="133" w:firstLine="0"/>
            </w:pPr>
            <w:r>
              <w:t xml:space="preserve">Complete educational requirements through </w:t>
            </w:r>
            <w:r>
              <w:rPr>
                <w:u w:val="single" w:color="000000"/>
              </w:rPr>
              <w:t xml:space="preserve">online courses  </w:t>
            </w:r>
          </w:p>
        </w:tc>
        <w:tc>
          <w:tcPr>
            <w:tcW w:w="758" w:type="dxa"/>
            <w:gridSpan w:val="2"/>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rPr>
                <w:u w:val="single" w:color="000000"/>
              </w:rPr>
              <w:t>131</w:t>
            </w:r>
            <w:r>
              <w:rPr>
                <w:u w:val="single" w:color="000000"/>
              </w:rPr>
              <w:t xml:space="preserve"> </w:t>
            </w:r>
          </w:p>
        </w:tc>
        <w:tc>
          <w:tcPr>
            <w:tcW w:w="1344" w:type="dxa"/>
            <w:gridSpan w:val="2"/>
            <w:tcBorders>
              <w:top w:val="nil"/>
              <w:left w:val="nil"/>
              <w:bottom w:val="nil"/>
              <w:right w:val="nil"/>
            </w:tcBorders>
          </w:tcPr>
          <w:p w:rsidR="0023438A" w:rsidRDefault="00A02C86">
            <w:pPr>
              <w:spacing w:after="0" w:line="259" w:lineRule="auto"/>
              <w:ind w:left="0" w:firstLine="0"/>
            </w:pPr>
            <w:r>
              <w:t xml:space="preserve">Educator </w:t>
            </w:r>
            <w:r>
              <w:rPr>
                <w:u w:val="single" w:color="000000"/>
              </w:rPr>
              <w:t>Employer</w:t>
            </w:r>
            <w:r>
              <w:rPr>
                <w:u w:val="single" w:color="000000"/>
              </w:rPr>
              <w:t xml:space="preserve"> </w:t>
            </w:r>
          </w:p>
        </w:tc>
        <w:tc>
          <w:tcPr>
            <w:tcW w:w="818" w:type="dxa"/>
            <w:gridSpan w:val="2"/>
            <w:vMerge w:val="restart"/>
            <w:tcBorders>
              <w:top w:val="nil"/>
              <w:left w:val="nil"/>
              <w:bottom w:val="nil"/>
              <w:right w:val="nil"/>
            </w:tcBorders>
          </w:tcPr>
          <w:p w:rsidR="0023438A" w:rsidRDefault="00A02C86">
            <w:pPr>
              <w:spacing w:after="0" w:line="259" w:lineRule="auto"/>
              <w:ind w:left="0" w:firstLine="0"/>
            </w:pPr>
            <w:r>
              <w:t xml:space="preserve">2.90 </w:t>
            </w:r>
          </w:p>
          <w:p w:rsidR="0023438A" w:rsidRDefault="00A02C86">
            <w:pPr>
              <w:spacing w:after="0" w:line="259" w:lineRule="auto"/>
              <w:ind w:left="0" w:firstLine="0"/>
            </w:pPr>
            <w:r>
              <w:rPr>
                <w:u w:val="single" w:color="000000"/>
              </w:rPr>
              <w:t>2.89</w:t>
            </w:r>
            <w:r>
              <w:rPr>
                <w:u w:val="single" w:color="000000"/>
              </w:rPr>
              <w:t xml:space="preserve"> </w:t>
            </w:r>
          </w:p>
        </w:tc>
        <w:tc>
          <w:tcPr>
            <w:tcW w:w="818" w:type="dxa"/>
            <w:gridSpan w:val="2"/>
            <w:vMerge w:val="restart"/>
            <w:tcBorders>
              <w:top w:val="nil"/>
              <w:left w:val="nil"/>
              <w:bottom w:val="nil"/>
              <w:right w:val="nil"/>
            </w:tcBorders>
          </w:tcPr>
          <w:p w:rsidR="0023438A" w:rsidRDefault="00A02C86">
            <w:pPr>
              <w:spacing w:after="0" w:line="259" w:lineRule="auto"/>
              <w:ind w:left="0" w:firstLine="0"/>
            </w:pPr>
            <w:r>
              <w:t xml:space="preserve">.91 </w:t>
            </w:r>
          </w:p>
          <w:p w:rsidR="0023438A" w:rsidRDefault="00A02C86">
            <w:pPr>
              <w:spacing w:after="0" w:line="259" w:lineRule="auto"/>
              <w:ind w:left="0" w:firstLine="0"/>
            </w:pPr>
            <w:r>
              <w:rPr>
                <w:u w:val="single" w:color="000000"/>
              </w:rPr>
              <w:t xml:space="preserve">.93 </w:t>
            </w:r>
          </w:p>
        </w:tc>
        <w:tc>
          <w:tcPr>
            <w:tcW w:w="499" w:type="dxa"/>
            <w:gridSpan w:val="2"/>
            <w:vMerge w:val="restart"/>
            <w:tcBorders>
              <w:top w:val="nil"/>
              <w:left w:val="nil"/>
              <w:bottom w:val="nil"/>
              <w:right w:val="nil"/>
            </w:tcBorders>
          </w:tcPr>
          <w:p w:rsidR="0023438A" w:rsidRDefault="00A02C86">
            <w:pPr>
              <w:spacing w:after="0" w:line="259" w:lineRule="auto"/>
              <w:ind w:left="0" w:firstLine="0"/>
              <w:jc w:val="both"/>
            </w:pPr>
            <w:r>
              <w:t xml:space="preserve">74% </w:t>
            </w:r>
          </w:p>
          <w:p w:rsidR="0023438A" w:rsidRDefault="00A02C86">
            <w:pPr>
              <w:spacing w:after="0" w:line="259" w:lineRule="auto"/>
              <w:ind w:left="0" w:firstLine="0"/>
              <w:jc w:val="both"/>
            </w:pPr>
            <w:r>
              <w:rPr>
                <w:u w:val="single" w:color="000000"/>
              </w:rPr>
              <w:t>71%</w:t>
            </w:r>
            <w:r>
              <w:rPr>
                <w:u w:val="single" w:color="000000"/>
              </w:rPr>
              <w:t xml:space="preserve"> </w:t>
            </w:r>
          </w:p>
        </w:tc>
      </w:tr>
      <w:tr w:rsidR="0023438A">
        <w:tblPrEx>
          <w:tblCellMar>
            <w:top w:w="0" w:type="dxa"/>
          </w:tblCellMar>
        </w:tblPrEx>
        <w:trPr>
          <w:gridAfter w:val="1"/>
          <w:wAfter w:w="154" w:type="dxa"/>
          <w:trHeight w:val="286"/>
        </w:trPr>
        <w:tc>
          <w:tcPr>
            <w:tcW w:w="7070" w:type="dxa"/>
            <w:gridSpan w:val="5"/>
            <w:tcBorders>
              <w:top w:val="nil"/>
              <w:left w:val="nil"/>
              <w:bottom w:val="nil"/>
              <w:right w:val="nil"/>
            </w:tcBorders>
          </w:tcPr>
          <w:p w:rsidR="0023438A" w:rsidRDefault="00A02C86">
            <w:pPr>
              <w:spacing w:after="0" w:line="259" w:lineRule="auto"/>
              <w:ind w:left="72" w:firstLine="0"/>
            </w:pPr>
            <w:r>
              <w:t xml:space="preserve">* Percent of respondents who </w:t>
            </w:r>
            <w:r>
              <w:rPr>
                <w:i/>
              </w:rPr>
              <w:t xml:space="preserve">agreed </w:t>
            </w:r>
            <w:r>
              <w:t xml:space="preserve">or </w:t>
            </w:r>
            <w:r>
              <w:rPr>
                <w:i/>
              </w:rPr>
              <w:t xml:space="preserve">strongly agreed </w:t>
            </w:r>
            <w:r>
              <w:t xml:space="preserve">with the item </w:t>
            </w:r>
          </w:p>
        </w:tc>
        <w:tc>
          <w:tcPr>
            <w:tcW w:w="0" w:type="auto"/>
            <w:gridSpan w:val="2"/>
            <w:vMerge/>
            <w:tcBorders>
              <w:top w:val="nil"/>
              <w:left w:val="nil"/>
              <w:bottom w:val="nil"/>
              <w:right w:val="nil"/>
            </w:tcBorders>
          </w:tcPr>
          <w:p w:rsidR="0023438A" w:rsidRDefault="0023438A">
            <w:pPr>
              <w:spacing w:after="160" w:line="259" w:lineRule="auto"/>
              <w:ind w:left="0" w:firstLine="0"/>
            </w:pPr>
          </w:p>
        </w:tc>
        <w:tc>
          <w:tcPr>
            <w:tcW w:w="0" w:type="auto"/>
            <w:gridSpan w:val="2"/>
            <w:vMerge/>
            <w:tcBorders>
              <w:top w:val="nil"/>
              <w:left w:val="nil"/>
              <w:bottom w:val="nil"/>
              <w:right w:val="nil"/>
            </w:tcBorders>
          </w:tcPr>
          <w:p w:rsidR="0023438A" w:rsidRDefault="0023438A">
            <w:pPr>
              <w:spacing w:after="160" w:line="259" w:lineRule="auto"/>
              <w:ind w:left="0" w:firstLine="0"/>
            </w:pPr>
          </w:p>
        </w:tc>
        <w:tc>
          <w:tcPr>
            <w:tcW w:w="0" w:type="auto"/>
            <w:gridSpan w:val="2"/>
            <w:vMerge/>
            <w:tcBorders>
              <w:top w:val="nil"/>
              <w:left w:val="nil"/>
              <w:bottom w:val="nil"/>
              <w:right w:val="nil"/>
            </w:tcBorders>
          </w:tcPr>
          <w:p w:rsidR="0023438A" w:rsidRDefault="0023438A">
            <w:pPr>
              <w:spacing w:after="160" w:line="259" w:lineRule="auto"/>
              <w:ind w:left="0" w:firstLine="0"/>
            </w:pPr>
          </w:p>
        </w:tc>
      </w:tr>
    </w:tbl>
    <w:p w:rsidR="0023438A" w:rsidRDefault="00A02C86">
      <w:pPr>
        <w:ind w:left="425" w:right="777" w:firstLine="540"/>
      </w:pPr>
      <w:r>
        <w:rPr>
          <w:b/>
        </w:rPr>
        <w:lastRenderedPageBreak/>
        <w:t>Perceptions of educators and employers.</w:t>
      </w:r>
      <w:r>
        <w:t xml:space="preserve"> Both groups were nearly unanimous (89% educator; 98% employer) in their agreement that more WBL experiences are needed. </w:t>
      </w:r>
    </w:p>
    <w:p w:rsidR="0023438A" w:rsidRDefault="00A02C86">
      <w:pPr>
        <w:spacing w:after="117"/>
        <w:ind w:left="435" w:right="777"/>
      </w:pPr>
      <w:r>
        <w:t>Additionally, educators overwhelmingly (94%) reported competency-based frameworks that can shor</w:t>
      </w:r>
      <w:r>
        <w:t>ten apprenticeships to one to two years as a medium to high priority when working with the employer community, the majority of whom strongly agreed (82%) that competency-based apprenticeships are a priority. However, both parties had a lower level of aware</w:t>
      </w:r>
      <w:r>
        <w:t>ness (58% and 36%, respectively) that this program design option is now available. Furthermore, 84% of employers and 85% of educators reported that they prioritized gaining access to a larger candidate pool to a medium or high degree and that expanding app</w:t>
      </w:r>
      <w:r>
        <w:t>renticeships beyond the skilled trades (80% and 72%, respectively) is a priority for apprenticeship programming. Lastly, both groups reported that the ability to transfer the apprenticeship to other schools and employers as a medium or high priority in the</w:t>
      </w:r>
      <w:r>
        <w:t xml:space="preserve"> design (90% and 77%, respectively). Overall, two-thirds or more of educators and employers agreed or strongly agreed with items related to the importance of WBL and the need to expand its offerings. Slightly more, over three-fourths of each group, priorit</w:t>
      </w:r>
      <w:r>
        <w:t>ized the use of competency-based apprenticeships and the need to earn a college-level degree. The apprenticeship components that showed the least awareness are that apprenticeship programs are available for over 1000 occupations, time-based apprenticeships</w:t>
      </w:r>
      <w:r>
        <w:t xml:space="preserve"> take three to five years to complete, and competency-based apprenticeships are now an option.  For these items, </w:t>
      </w:r>
      <w:proofErr w:type="gramStart"/>
      <w:r>
        <w:t>fewer</w:t>
      </w:r>
      <w:proofErr w:type="gramEnd"/>
      <w:r>
        <w:t xml:space="preserve"> than two-thirds of respondents from each group agreed at some level with these statements, suggesting additional education about apprenti</w:t>
      </w:r>
      <w:r>
        <w:t xml:space="preserve">ceships is needed. </w:t>
      </w:r>
    </w:p>
    <w:p w:rsidR="0023438A" w:rsidRDefault="00A02C86">
      <w:pPr>
        <w:spacing w:after="249"/>
        <w:ind w:left="425" w:right="777" w:firstLine="540"/>
      </w:pPr>
      <w:r>
        <w:rPr>
          <w:b/>
        </w:rPr>
        <w:t>Additional questionnaire items related to RQ1.</w:t>
      </w:r>
      <w:r>
        <w:t xml:space="preserve"> Furthermore, the researcher included the following items on the questionnaires to assist in answering Research Question 1. These items were unique to each group and asked differently to pro</w:t>
      </w:r>
      <w:r>
        <w:t xml:space="preserve">vide relevance to the respective group’s role in the apprenticeship process. Table 6 displays a subset of relevant statistics for the items. </w:t>
      </w:r>
    </w:p>
    <w:p w:rsidR="0023438A" w:rsidRDefault="00A02C86">
      <w:pPr>
        <w:spacing w:after="372" w:line="259" w:lineRule="auto"/>
        <w:ind w:left="435" w:right="777"/>
      </w:pPr>
      <w:r>
        <w:t xml:space="preserve">Appendix E shows all items with extensive summary data for each response category. </w:t>
      </w:r>
    </w:p>
    <w:p w:rsidR="0023438A" w:rsidRDefault="00A02C86">
      <w:pPr>
        <w:spacing w:after="252" w:line="259" w:lineRule="auto"/>
        <w:ind w:left="435" w:right="777"/>
      </w:pPr>
      <w:r>
        <w:lastRenderedPageBreak/>
        <w:t xml:space="preserve">Table 6 </w:t>
      </w:r>
    </w:p>
    <w:p w:rsidR="0023438A" w:rsidRDefault="00A02C86">
      <w:pPr>
        <w:spacing w:after="96" w:line="267" w:lineRule="auto"/>
        <w:ind w:left="435" w:right="715"/>
      </w:pPr>
      <w:r>
        <w:rPr>
          <w:i/>
        </w:rPr>
        <w:t>Descriptive Statistic</w:t>
      </w:r>
      <w:r>
        <w:rPr>
          <w:i/>
        </w:rPr>
        <w:t xml:space="preserve">s of Employer Only RQ1 Questionnaire Items </w:t>
      </w:r>
      <w:r>
        <w:t xml:space="preserve"> </w:t>
      </w:r>
    </w:p>
    <w:tbl>
      <w:tblPr>
        <w:tblStyle w:val="TableGrid"/>
        <w:tblW w:w="9374" w:type="dxa"/>
        <w:tblInd w:w="426" w:type="dxa"/>
        <w:tblCellMar>
          <w:top w:w="7" w:type="dxa"/>
          <w:left w:w="0" w:type="dxa"/>
          <w:bottom w:w="0" w:type="dxa"/>
          <w:right w:w="103" w:type="dxa"/>
        </w:tblCellMar>
        <w:tblLook w:val="04A0" w:firstRow="1" w:lastRow="0" w:firstColumn="1" w:lastColumn="0" w:noHBand="0" w:noVBand="1"/>
      </w:tblPr>
      <w:tblGrid>
        <w:gridCol w:w="7135"/>
        <w:gridCol w:w="818"/>
        <w:gridCol w:w="821"/>
        <w:gridCol w:w="600"/>
      </w:tblGrid>
      <w:tr w:rsidR="0023438A">
        <w:trPr>
          <w:trHeight w:val="406"/>
        </w:trPr>
        <w:tc>
          <w:tcPr>
            <w:tcW w:w="7135" w:type="dxa"/>
            <w:tcBorders>
              <w:top w:val="single" w:sz="4" w:space="0" w:color="000000"/>
              <w:left w:val="nil"/>
              <w:bottom w:val="single" w:sz="4" w:space="0" w:color="000000"/>
              <w:right w:val="nil"/>
            </w:tcBorders>
          </w:tcPr>
          <w:p w:rsidR="0023438A" w:rsidRDefault="00A02C86">
            <w:pPr>
              <w:tabs>
                <w:tab w:val="center" w:pos="310"/>
                <w:tab w:val="center" w:pos="4737"/>
                <w:tab w:val="center" w:pos="5743"/>
              </w:tabs>
              <w:spacing w:after="0" w:line="259" w:lineRule="auto"/>
              <w:ind w:left="0" w:firstLine="0"/>
            </w:pPr>
            <w:r>
              <w:rPr>
                <w:rFonts w:ascii="Calibri" w:eastAsia="Calibri" w:hAnsi="Calibri" w:cs="Calibri"/>
                <w:sz w:val="22"/>
              </w:rPr>
              <w:tab/>
            </w:r>
            <w:r>
              <w:t xml:space="preserve"> </w:t>
            </w:r>
            <w:r>
              <w:tab/>
            </w:r>
            <w:r>
              <w:rPr>
                <w:i/>
              </w:rPr>
              <w:t xml:space="preserve">n </w:t>
            </w:r>
            <w:r>
              <w:rPr>
                <w:i/>
              </w:rPr>
              <w:tab/>
            </w:r>
            <w:r>
              <w:t xml:space="preserve">Group </w:t>
            </w:r>
          </w:p>
        </w:tc>
        <w:tc>
          <w:tcPr>
            <w:tcW w:w="818"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M</w:t>
            </w:r>
            <w:r>
              <w:t xml:space="preserve"> </w:t>
            </w:r>
          </w:p>
        </w:tc>
        <w:tc>
          <w:tcPr>
            <w:tcW w:w="821"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SD</w:t>
            </w:r>
            <w:r>
              <w:t xml:space="preserve"> </w:t>
            </w:r>
          </w:p>
        </w:tc>
        <w:tc>
          <w:tcPr>
            <w:tcW w:w="600"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 </w:t>
            </w:r>
          </w:p>
        </w:tc>
      </w:tr>
      <w:tr w:rsidR="0023438A">
        <w:trPr>
          <w:trHeight w:val="406"/>
        </w:trPr>
        <w:tc>
          <w:tcPr>
            <w:tcW w:w="7135" w:type="dxa"/>
            <w:tcBorders>
              <w:top w:val="single" w:sz="4" w:space="0" w:color="000000"/>
              <w:left w:val="nil"/>
              <w:bottom w:val="single" w:sz="4" w:space="0" w:color="000000"/>
              <w:right w:val="nil"/>
            </w:tcBorders>
          </w:tcPr>
          <w:p w:rsidR="0023438A" w:rsidRDefault="00A02C86">
            <w:pPr>
              <w:spacing w:after="0" w:line="259" w:lineRule="auto"/>
              <w:ind w:left="2547" w:firstLine="0"/>
              <w:jc w:val="center"/>
            </w:pPr>
            <w:r>
              <w:t xml:space="preserve">Knowledge Scale </w:t>
            </w:r>
          </w:p>
        </w:tc>
        <w:tc>
          <w:tcPr>
            <w:tcW w:w="818"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c>
          <w:tcPr>
            <w:tcW w:w="821"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c>
          <w:tcPr>
            <w:tcW w:w="600"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r>
      <w:tr w:rsidR="0023438A">
        <w:trPr>
          <w:trHeight w:val="1166"/>
        </w:trPr>
        <w:tc>
          <w:tcPr>
            <w:tcW w:w="7135" w:type="dxa"/>
            <w:tcBorders>
              <w:top w:val="single" w:sz="4" w:space="0" w:color="000000"/>
              <w:left w:val="nil"/>
              <w:bottom w:val="nil"/>
              <w:right w:val="nil"/>
            </w:tcBorders>
          </w:tcPr>
          <w:p w:rsidR="0023438A" w:rsidRDefault="00A02C86">
            <w:pPr>
              <w:spacing w:after="0" w:line="259" w:lineRule="auto"/>
              <w:ind w:left="310" w:right="657" w:firstLine="0"/>
            </w:pPr>
            <w:r>
              <w:t xml:space="preserve">It is currently challenging for my </w:t>
            </w:r>
            <w:r>
              <w:tab/>
              <w:t>131</w:t>
            </w:r>
            <w:r>
              <w:t xml:space="preserve"> </w:t>
            </w:r>
            <w:r>
              <w:tab/>
            </w:r>
            <w:r>
              <w:t xml:space="preserve">Employer company to recruit and hire trained, qualified employees from traditional hiring methods. </w:t>
            </w:r>
          </w:p>
        </w:tc>
        <w:tc>
          <w:tcPr>
            <w:tcW w:w="818" w:type="dxa"/>
            <w:tcBorders>
              <w:top w:val="single" w:sz="4" w:space="0" w:color="000000"/>
              <w:left w:val="nil"/>
              <w:bottom w:val="nil"/>
              <w:right w:val="nil"/>
            </w:tcBorders>
          </w:tcPr>
          <w:p w:rsidR="0023438A" w:rsidRDefault="00A02C86">
            <w:pPr>
              <w:spacing w:after="0" w:line="259" w:lineRule="auto"/>
              <w:ind w:left="0" w:firstLine="0"/>
            </w:pPr>
            <w:r>
              <w:t>3.27</w:t>
            </w:r>
            <w:r>
              <w:t xml:space="preserve"> </w:t>
            </w:r>
          </w:p>
        </w:tc>
        <w:tc>
          <w:tcPr>
            <w:tcW w:w="821" w:type="dxa"/>
            <w:tcBorders>
              <w:top w:val="single" w:sz="4" w:space="0" w:color="000000"/>
              <w:left w:val="nil"/>
              <w:bottom w:val="nil"/>
              <w:right w:val="nil"/>
            </w:tcBorders>
          </w:tcPr>
          <w:p w:rsidR="0023438A" w:rsidRDefault="00A02C86">
            <w:pPr>
              <w:spacing w:after="0" w:line="259" w:lineRule="auto"/>
              <w:ind w:left="0" w:firstLine="0"/>
            </w:pPr>
            <w:r>
              <w:t xml:space="preserve">.77 </w:t>
            </w:r>
          </w:p>
        </w:tc>
        <w:tc>
          <w:tcPr>
            <w:tcW w:w="600" w:type="dxa"/>
            <w:tcBorders>
              <w:top w:val="single" w:sz="4" w:space="0" w:color="000000"/>
              <w:left w:val="nil"/>
              <w:bottom w:val="nil"/>
              <w:right w:val="nil"/>
            </w:tcBorders>
          </w:tcPr>
          <w:p w:rsidR="0023438A" w:rsidRDefault="00A02C86">
            <w:pPr>
              <w:spacing w:after="0" w:line="259" w:lineRule="auto"/>
              <w:ind w:left="0" w:firstLine="0"/>
              <w:jc w:val="both"/>
            </w:pPr>
            <w:r>
              <w:t xml:space="preserve">83% </w:t>
            </w:r>
          </w:p>
        </w:tc>
      </w:tr>
      <w:tr w:rsidR="0023438A">
        <w:trPr>
          <w:trHeight w:val="740"/>
        </w:trPr>
        <w:tc>
          <w:tcPr>
            <w:tcW w:w="7135" w:type="dxa"/>
            <w:tcBorders>
              <w:top w:val="nil"/>
              <w:left w:val="nil"/>
              <w:bottom w:val="single" w:sz="4" w:space="0" w:color="000000"/>
              <w:right w:val="nil"/>
            </w:tcBorders>
          </w:tcPr>
          <w:p w:rsidR="0023438A" w:rsidRDefault="00A02C86">
            <w:pPr>
              <w:spacing w:after="0" w:line="259" w:lineRule="auto"/>
              <w:ind w:left="310" w:right="395" w:firstLine="0"/>
              <w:jc w:val="both"/>
            </w:pPr>
            <w:r>
              <w:t>My company needs more effective ways 130</w:t>
            </w:r>
            <w:r>
              <w:t xml:space="preserve"> </w:t>
            </w:r>
            <w:r>
              <w:t xml:space="preserve">Employer of recruiting employees. </w:t>
            </w:r>
          </w:p>
        </w:tc>
        <w:tc>
          <w:tcPr>
            <w:tcW w:w="818" w:type="dxa"/>
            <w:tcBorders>
              <w:top w:val="nil"/>
              <w:left w:val="nil"/>
              <w:bottom w:val="single" w:sz="4" w:space="0" w:color="000000"/>
              <w:right w:val="nil"/>
            </w:tcBorders>
          </w:tcPr>
          <w:p w:rsidR="0023438A" w:rsidRDefault="00A02C86">
            <w:pPr>
              <w:spacing w:after="0" w:line="259" w:lineRule="auto"/>
              <w:ind w:left="0" w:firstLine="0"/>
            </w:pPr>
            <w:r>
              <w:t>3.35</w:t>
            </w:r>
            <w:r>
              <w:t xml:space="preserve"> </w:t>
            </w:r>
          </w:p>
        </w:tc>
        <w:tc>
          <w:tcPr>
            <w:tcW w:w="821" w:type="dxa"/>
            <w:tcBorders>
              <w:top w:val="nil"/>
              <w:left w:val="nil"/>
              <w:bottom w:val="single" w:sz="4" w:space="0" w:color="000000"/>
              <w:right w:val="nil"/>
            </w:tcBorders>
          </w:tcPr>
          <w:p w:rsidR="0023438A" w:rsidRDefault="00A02C86">
            <w:pPr>
              <w:spacing w:after="0" w:line="259" w:lineRule="auto"/>
              <w:ind w:left="0" w:firstLine="0"/>
            </w:pPr>
            <w:r>
              <w:t xml:space="preserve">.73 </w:t>
            </w:r>
          </w:p>
        </w:tc>
        <w:tc>
          <w:tcPr>
            <w:tcW w:w="600" w:type="dxa"/>
            <w:tcBorders>
              <w:top w:val="nil"/>
              <w:left w:val="nil"/>
              <w:bottom w:val="single" w:sz="4" w:space="0" w:color="000000"/>
              <w:right w:val="nil"/>
            </w:tcBorders>
          </w:tcPr>
          <w:p w:rsidR="0023438A" w:rsidRDefault="00A02C86">
            <w:pPr>
              <w:spacing w:after="0" w:line="259" w:lineRule="auto"/>
              <w:ind w:left="0" w:firstLine="0"/>
              <w:jc w:val="both"/>
            </w:pPr>
            <w:r>
              <w:t xml:space="preserve">89% </w:t>
            </w:r>
          </w:p>
        </w:tc>
      </w:tr>
      <w:tr w:rsidR="0023438A">
        <w:trPr>
          <w:trHeight w:val="408"/>
        </w:trPr>
        <w:tc>
          <w:tcPr>
            <w:tcW w:w="7135" w:type="dxa"/>
            <w:tcBorders>
              <w:top w:val="single" w:sz="4" w:space="0" w:color="000000"/>
              <w:left w:val="nil"/>
              <w:bottom w:val="single" w:sz="4" w:space="0" w:color="000000"/>
              <w:right w:val="nil"/>
            </w:tcBorders>
          </w:tcPr>
          <w:p w:rsidR="0023438A" w:rsidRDefault="00A02C86">
            <w:pPr>
              <w:spacing w:after="0" w:line="259" w:lineRule="auto"/>
              <w:ind w:left="2547" w:firstLine="0"/>
              <w:jc w:val="center"/>
            </w:pPr>
            <w:r>
              <w:t xml:space="preserve">Awareness Scale </w:t>
            </w:r>
          </w:p>
        </w:tc>
        <w:tc>
          <w:tcPr>
            <w:tcW w:w="818"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c>
          <w:tcPr>
            <w:tcW w:w="821"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c>
          <w:tcPr>
            <w:tcW w:w="600"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r>
      <w:tr w:rsidR="0023438A">
        <w:trPr>
          <w:trHeight w:val="682"/>
        </w:trPr>
        <w:tc>
          <w:tcPr>
            <w:tcW w:w="7135" w:type="dxa"/>
            <w:tcBorders>
              <w:top w:val="single" w:sz="4" w:space="0" w:color="000000"/>
              <w:left w:val="nil"/>
              <w:bottom w:val="single" w:sz="4" w:space="0" w:color="000000"/>
              <w:right w:val="nil"/>
            </w:tcBorders>
          </w:tcPr>
          <w:p w:rsidR="0023438A" w:rsidRDefault="00A02C86">
            <w:pPr>
              <w:spacing w:after="0" w:line="259" w:lineRule="auto"/>
              <w:ind w:left="310" w:right="93" w:firstLine="0"/>
              <w:jc w:val="both"/>
            </w:pPr>
            <w:r>
              <w:t>Apprentices are employees and earn a 131</w:t>
            </w:r>
            <w:r>
              <w:t xml:space="preserve"> </w:t>
            </w:r>
            <w:r>
              <w:t xml:space="preserve">Employer wage while they learn on-the job </w:t>
            </w:r>
          </w:p>
        </w:tc>
        <w:tc>
          <w:tcPr>
            <w:tcW w:w="818" w:type="dxa"/>
            <w:tcBorders>
              <w:top w:val="single" w:sz="4" w:space="0" w:color="000000"/>
              <w:left w:val="nil"/>
              <w:bottom w:val="single" w:sz="4" w:space="0" w:color="000000"/>
              <w:right w:val="nil"/>
            </w:tcBorders>
          </w:tcPr>
          <w:p w:rsidR="0023438A" w:rsidRDefault="00A02C86">
            <w:pPr>
              <w:spacing w:after="0" w:line="259" w:lineRule="auto"/>
              <w:ind w:left="0" w:firstLine="0"/>
            </w:pPr>
            <w:r>
              <w:t>2.79</w:t>
            </w:r>
            <w:r>
              <w:t xml:space="preserve"> </w:t>
            </w:r>
          </w:p>
        </w:tc>
        <w:tc>
          <w:tcPr>
            <w:tcW w:w="821" w:type="dxa"/>
            <w:tcBorders>
              <w:top w:val="single" w:sz="4" w:space="0" w:color="000000"/>
              <w:left w:val="nil"/>
              <w:bottom w:val="single" w:sz="4" w:space="0" w:color="000000"/>
              <w:right w:val="nil"/>
            </w:tcBorders>
          </w:tcPr>
          <w:p w:rsidR="0023438A" w:rsidRDefault="00A02C86">
            <w:pPr>
              <w:spacing w:after="0" w:line="259" w:lineRule="auto"/>
              <w:ind w:left="0" w:firstLine="0"/>
            </w:pPr>
            <w:r>
              <w:t>1.07</w:t>
            </w:r>
            <w:r>
              <w:t xml:space="preserve"> </w:t>
            </w:r>
          </w:p>
        </w:tc>
        <w:tc>
          <w:tcPr>
            <w:tcW w:w="600" w:type="dxa"/>
            <w:tcBorders>
              <w:top w:val="single" w:sz="4" w:space="0" w:color="000000"/>
              <w:left w:val="nil"/>
              <w:bottom w:val="single" w:sz="4" w:space="0" w:color="000000"/>
              <w:right w:val="nil"/>
            </w:tcBorders>
          </w:tcPr>
          <w:p w:rsidR="0023438A" w:rsidRDefault="00A02C86">
            <w:pPr>
              <w:spacing w:after="0" w:line="259" w:lineRule="auto"/>
              <w:ind w:left="0" w:firstLine="0"/>
              <w:jc w:val="both"/>
            </w:pPr>
            <w:r>
              <w:t xml:space="preserve">64% </w:t>
            </w:r>
          </w:p>
        </w:tc>
      </w:tr>
    </w:tbl>
    <w:p w:rsidR="0023438A" w:rsidRDefault="00A02C86">
      <w:pPr>
        <w:numPr>
          <w:ilvl w:val="0"/>
          <w:numId w:val="7"/>
        </w:numPr>
        <w:spacing w:after="372" w:line="259" w:lineRule="auto"/>
        <w:ind w:right="777" w:hanging="178"/>
      </w:pPr>
      <w:r>
        <w:t xml:space="preserve">Percent of respondents who </w:t>
      </w:r>
      <w:r>
        <w:rPr>
          <w:i/>
        </w:rPr>
        <w:t xml:space="preserve">agreed </w:t>
      </w:r>
      <w:r>
        <w:t xml:space="preserve">or </w:t>
      </w:r>
      <w:r>
        <w:rPr>
          <w:i/>
        </w:rPr>
        <w:t xml:space="preserve">strongly agreed </w:t>
      </w:r>
      <w:r>
        <w:t xml:space="preserve">with the item </w:t>
      </w:r>
    </w:p>
    <w:p w:rsidR="0023438A" w:rsidRDefault="00A02C86">
      <w:pPr>
        <w:spacing w:after="117"/>
        <w:ind w:left="425" w:right="777" w:firstLine="540"/>
      </w:pPr>
      <w:r>
        <w:t>Not surprisingly, given the skills gap noted in the literature, a large percentage of employers (n = 109, 83.2%) agreed or strongly agreed that recruiting employees has become challenging for their business. Similarly, 89% ag</w:t>
      </w:r>
      <w:r>
        <w:t xml:space="preserve">reed that their company needed more effective ways of recruiting new employees </w:t>
      </w:r>
    </w:p>
    <w:p w:rsidR="0023438A" w:rsidRDefault="00A02C86">
      <w:pPr>
        <w:spacing w:after="252" w:line="259" w:lineRule="auto"/>
        <w:ind w:left="590" w:right="900"/>
        <w:jc w:val="center"/>
      </w:pPr>
      <w:r>
        <w:t xml:space="preserve">Table 7 displays a subset of relevant statistics for the items asked only to the educators. </w:t>
      </w:r>
    </w:p>
    <w:p w:rsidR="0023438A" w:rsidRDefault="00A02C86">
      <w:pPr>
        <w:spacing w:after="374" w:line="259" w:lineRule="auto"/>
        <w:ind w:left="435" w:right="777"/>
      </w:pPr>
      <w:r>
        <w:t xml:space="preserve">Appendix E shows all items with extensive summary data for each response category. </w:t>
      </w:r>
    </w:p>
    <w:p w:rsidR="0023438A" w:rsidRDefault="00A02C86">
      <w:pPr>
        <w:spacing w:after="0" w:line="259" w:lineRule="auto"/>
        <w:ind w:left="440" w:firstLine="0"/>
      </w:pPr>
      <w:r>
        <w:t xml:space="preserve"> </w:t>
      </w:r>
      <w:r>
        <w:tab/>
        <w:t xml:space="preserve"> </w:t>
      </w:r>
    </w:p>
    <w:p w:rsidR="0023438A" w:rsidRDefault="00A02C86">
      <w:pPr>
        <w:spacing w:after="252" w:line="259" w:lineRule="auto"/>
        <w:ind w:left="435" w:right="777"/>
      </w:pPr>
      <w:r>
        <w:t xml:space="preserve">Table 7 </w:t>
      </w:r>
    </w:p>
    <w:p w:rsidR="0023438A" w:rsidRDefault="00A02C86">
      <w:pPr>
        <w:spacing w:after="96" w:line="267" w:lineRule="auto"/>
        <w:ind w:left="435" w:right="715"/>
      </w:pPr>
      <w:r>
        <w:rPr>
          <w:i/>
        </w:rPr>
        <w:t xml:space="preserve">Descriptive Statistics of Educator Only RQ1 Questionnaire Items </w:t>
      </w:r>
      <w:r>
        <w:t xml:space="preserve"> </w:t>
      </w:r>
    </w:p>
    <w:tbl>
      <w:tblPr>
        <w:tblStyle w:val="TableGrid"/>
        <w:tblW w:w="9374" w:type="dxa"/>
        <w:tblInd w:w="426" w:type="dxa"/>
        <w:tblCellMar>
          <w:top w:w="7" w:type="dxa"/>
          <w:left w:w="0" w:type="dxa"/>
          <w:bottom w:w="0" w:type="dxa"/>
          <w:right w:w="48" w:type="dxa"/>
        </w:tblCellMar>
        <w:tblLook w:val="04A0" w:firstRow="1" w:lastRow="0" w:firstColumn="1" w:lastColumn="0" w:noHBand="0" w:noVBand="1"/>
      </w:tblPr>
      <w:tblGrid>
        <w:gridCol w:w="6048"/>
        <w:gridCol w:w="1262"/>
        <w:gridCol w:w="818"/>
        <w:gridCol w:w="701"/>
        <w:gridCol w:w="545"/>
      </w:tblGrid>
      <w:tr w:rsidR="0023438A">
        <w:trPr>
          <w:trHeight w:val="406"/>
        </w:trPr>
        <w:tc>
          <w:tcPr>
            <w:tcW w:w="6048" w:type="dxa"/>
            <w:tcBorders>
              <w:top w:val="single" w:sz="4" w:space="0" w:color="000000"/>
              <w:left w:val="nil"/>
              <w:bottom w:val="single" w:sz="4" w:space="0" w:color="000000"/>
              <w:right w:val="nil"/>
            </w:tcBorders>
          </w:tcPr>
          <w:p w:rsidR="0023438A" w:rsidRDefault="00A02C86">
            <w:pPr>
              <w:tabs>
                <w:tab w:val="center" w:pos="310"/>
                <w:tab w:val="center" w:pos="5467"/>
              </w:tabs>
              <w:spacing w:after="0" w:line="259" w:lineRule="auto"/>
              <w:ind w:left="0" w:firstLine="0"/>
            </w:pPr>
            <w:r>
              <w:rPr>
                <w:rFonts w:ascii="Calibri" w:eastAsia="Calibri" w:hAnsi="Calibri" w:cs="Calibri"/>
                <w:sz w:val="22"/>
              </w:rPr>
              <w:tab/>
            </w:r>
            <w:r>
              <w:t xml:space="preserve"> </w:t>
            </w:r>
            <w:r>
              <w:tab/>
            </w:r>
            <w:r>
              <w:rPr>
                <w:i/>
              </w:rPr>
              <w:t xml:space="preserve">n </w:t>
            </w:r>
          </w:p>
        </w:tc>
        <w:tc>
          <w:tcPr>
            <w:tcW w:w="1262"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Group </w:t>
            </w:r>
          </w:p>
        </w:tc>
        <w:tc>
          <w:tcPr>
            <w:tcW w:w="818"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M</w:t>
            </w:r>
            <w:r>
              <w:t xml:space="preserve"> </w:t>
            </w:r>
          </w:p>
        </w:tc>
        <w:tc>
          <w:tcPr>
            <w:tcW w:w="701"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SD</w:t>
            </w:r>
            <w:r>
              <w:t xml:space="preserve"> </w:t>
            </w:r>
          </w:p>
        </w:tc>
        <w:tc>
          <w:tcPr>
            <w:tcW w:w="545"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 </w:t>
            </w:r>
          </w:p>
        </w:tc>
      </w:tr>
      <w:tr w:rsidR="0023438A">
        <w:trPr>
          <w:trHeight w:val="406"/>
        </w:trPr>
        <w:tc>
          <w:tcPr>
            <w:tcW w:w="6048" w:type="dxa"/>
            <w:tcBorders>
              <w:top w:val="single" w:sz="4" w:space="0" w:color="000000"/>
              <w:left w:val="nil"/>
              <w:bottom w:val="single" w:sz="4" w:space="0" w:color="000000"/>
              <w:right w:val="nil"/>
            </w:tcBorders>
          </w:tcPr>
          <w:p w:rsidR="0023438A" w:rsidRDefault="00A02C86">
            <w:pPr>
              <w:spacing w:after="0" w:line="259" w:lineRule="auto"/>
              <w:ind w:left="0" w:right="373" w:firstLine="0"/>
              <w:jc w:val="right"/>
            </w:pPr>
            <w:r>
              <w:t xml:space="preserve">Knowledge Scale </w:t>
            </w:r>
          </w:p>
        </w:tc>
        <w:tc>
          <w:tcPr>
            <w:tcW w:w="1262"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8"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701"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614"/>
        </w:trPr>
        <w:tc>
          <w:tcPr>
            <w:tcW w:w="6048" w:type="dxa"/>
            <w:tcBorders>
              <w:top w:val="single" w:sz="4" w:space="0" w:color="000000"/>
              <w:left w:val="nil"/>
              <w:bottom w:val="nil"/>
              <w:right w:val="nil"/>
            </w:tcBorders>
          </w:tcPr>
          <w:p w:rsidR="0023438A" w:rsidRDefault="00A02C86">
            <w:pPr>
              <w:spacing w:after="0" w:line="259" w:lineRule="auto"/>
              <w:ind w:left="310" w:firstLine="0"/>
              <w:jc w:val="both"/>
            </w:pPr>
            <w:r>
              <w:t>Underemployment of graduates is currently 90</w:t>
            </w:r>
            <w:r>
              <w:t xml:space="preserve"> </w:t>
            </w:r>
            <w:r>
              <w:t xml:space="preserve">challenging for my institution. </w:t>
            </w:r>
          </w:p>
        </w:tc>
        <w:tc>
          <w:tcPr>
            <w:tcW w:w="1262" w:type="dxa"/>
            <w:tcBorders>
              <w:top w:val="single" w:sz="4" w:space="0" w:color="000000"/>
              <w:left w:val="nil"/>
              <w:bottom w:val="nil"/>
              <w:right w:val="nil"/>
            </w:tcBorders>
          </w:tcPr>
          <w:p w:rsidR="0023438A" w:rsidRDefault="00A02C86">
            <w:pPr>
              <w:spacing w:after="0" w:line="259" w:lineRule="auto"/>
              <w:ind w:left="0" w:firstLine="0"/>
            </w:pPr>
            <w:r>
              <w:t>Educator</w:t>
            </w:r>
            <w:r>
              <w:t xml:space="preserve"> </w:t>
            </w:r>
          </w:p>
        </w:tc>
        <w:tc>
          <w:tcPr>
            <w:tcW w:w="818" w:type="dxa"/>
            <w:tcBorders>
              <w:top w:val="single" w:sz="4" w:space="0" w:color="000000"/>
              <w:left w:val="nil"/>
              <w:bottom w:val="nil"/>
              <w:right w:val="nil"/>
            </w:tcBorders>
          </w:tcPr>
          <w:p w:rsidR="0023438A" w:rsidRDefault="00A02C86">
            <w:pPr>
              <w:spacing w:after="0" w:line="259" w:lineRule="auto"/>
              <w:ind w:left="0" w:firstLine="0"/>
            </w:pPr>
            <w:r>
              <w:t>2.24</w:t>
            </w:r>
            <w:r>
              <w:t xml:space="preserve"> </w:t>
            </w:r>
          </w:p>
        </w:tc>
        <w:tc>
          <w:tcPr>
            <w:tcW w:w="701" w:type="dxa"/>
            <w:tcBorders>
              <w:top w:val="single" w:sz="4" w:space="0" w:color="000000"/>
              <w:left w:val="nil"/>
              <w:bottom w:val="nil"/>
              <w:right w:val="nil"/>
            </w:tcBorders>
          </w:tcPr>
          <w:p w:rsidR="0023438A" w:rsidRDefault="00A02C86">
            <w:pPr>
              <w:spacing w:after="0" w:line="259" w:lineRule="auto"/>
              <w:ind w:left="0" w:firstLine="0"/>
            </w:pPr>
            <w:r>
              <w:t>.69</w:t>
            </w:r>
            <w:r>
              <w:t xml:space="preserve"> </w:t>
            </w:r>
          </w:p>
        </w:tc>
        <w:tc>
          <w:tcPr>
            <w:tcW w:w="545" w:type="dxa"/>
            <w:tcBorders>
              <w:top w:val="single" w:sz="4" w:space="0" w:color="000000"/>
              <w:left w:val="nil"/>
              <w:bottom w:val="nil"/>
              <w:right w:val="nil"/>
            </w:tcBorders>
          </w:tcPr>
          <w:p w:rsidR="0023438A" w:rsidRDefault="00A02C86">
            <w:pPr>
              <w:spacing w:after="0" w:line="259" w:lineRule="auto"/>
              <w:ind w:left="0" w:firstLine="0"/>
              <w:jc w:val="both"/>
            </w:pPr>
            <w:r>
              <w:t>68%</w:t>
            </w:r>
            <w:r>
              <w:t xml:space="preserve"> </w:t>
            </w:r>
          </w:p>
        </w:tc>
      </w:tr>
      <w:tr w:rsidR="0023438A">
        <w:trPr>
          <w:trHeight w:val="742"/>
        </w:trPr>
        <w:tc>
          <w:tcPr>
            <w:tcW w:w="6048" w:type="dxa"/>
            <w:tcBorders>
              <w:top w:val="nil"/>
              <w:left w:val="nil"/>
              <w:bottom w:val="single" w:sz="4" w:space="0" w:color="000000"/>
              <w:right w:val="nil"/>
            </w:tcBorders>
          </w:tcPr>
          <w:p w:rsidR="0023438A" w:rsidRDefault="00A02C86">
            <w:pPr>
              <w:spacing w:after="0" w:line="259" w:lineRule="auto"/>
              <w:ind w:left="310" w:firstLine="0"/>
            </w:pPr>
            <w:r>
              <w:t xml:space="preserve">Advertise apprentice partnerships as a way to </w:t>
            </w:r>
            <w:r>
              <w:tab/>
              <w:t>91</w:t>
            </w:r>
            <w:r>
              <w:t xml:space="preserve"> </w:t>
            </w:r>
            <w:r>
              <w:t xml:space="preserve">grow a school’s enrollment. </w:t>
            </w:r>
          </w:p>
        </w:tc>
        <w:tc>
          <w:tcPr>
            <w:tcW w:w="1262" w:type="dxa"/>
            <w:tcBorders>
              <w:top w:val="nil"/>
              <w:left w:val="nil"/>
              <w:bottom w:val="single" w:sz="4" w:space="0" w:color="000000"/>
              <w:right w:val="nil"/>
            </w:tcBorders>
          </w:tcPr>
          <w:p w:rsidR="0023438A" w:rsidRDefault="00A02C86">
            <w:pPr>
              <w:spacing w:after="0" w:line="259" w:lineRule="auto"/>
              <w:ind w:left="0" w:firstLine="0"/>
            </w:pPr>
            <w:r>
              <w:t>Educator</w:t>
            </w:r>
            <w:r>
              <w:t xml:space="preserve"> </w:t>
            </w:r>
          </w:p>
        </w:tc>
        <w:tc>
          <w:tcPr>
            <w:tcW w:w="818" w:type="dxa"/>
            <w:tcBorders>
              <w:top w:val="nil"/>
              <w:left w:val="nil"/>
              <w:bottom w:val="single" w:sz="4" w:space="0" w:color="000000"/>
              <w:right w:val="nil"/>
            </w:tcBorders>
          </w:tcPr>
          <w:p w:rsidR="0023438A" w:rsidRDefault="00A02C86">
            <w:pPr>
              <w:spacing w:after="0" w:line="259" w:lineRule="auto"/>
              <w:ind w:left="0" w:firstLine="0"/>
            </w:pPr>
            <w:r>
              <w:t>3.56</w:t>
            </w:r>
            <w:r>
              <w:t xml:space="preserve"> </w:t>
            </w:r>
          </w:p>
        </w:tc>
        <w:tc>
          <w:tcPr>
            <w:tcW w:w="701" w:type="dxa"/>
            <w:tcBorders>
              <w:top w:val="nil"/>
              <w:left w:val="nil"/>
              <w:bottom w:val="single" w:sz="4" w:space="0" w:color="000000"/>
              <w:right w:val="nil"/>
            </w:tcBorders>
          </w:tcPr>
          <w:p w:rsidR="0023438A" w:rsidRDefault="00A02C86">
            <w:pPr>
              <w:spacing w:after="0" w:line="259" w:lineRule="auto"/>
              <w:ind w:left="0" w:firstLine="0"/>
            </w:pPr>
            <w:r>
              <w:t>.63</w:t>
            </w:r>
            <w:r>
              <w:t xml:space="preserve"> </w:t>
            </w:r>
          </w:p>
        </w:tc>
        <w:tc>
          <w:tcPr>
            <w:tcW w:w="545" w:type="dxa"/>
            <w:tcBorders>
              <w:top w:val="nil"/>
              <w:left w:val="nil"/>
              <w:bottom w:val="single" w:sz="4" w:space="0" w:color="000000"/>
              <w:right w:val="nil"/>
            </w:tcBorders>
          </w:tcPr>
          <w:p w:rsidR="0023438A" w:rsidRDefault="00A02C86">
            <w:pPr>
              <w:spacing w:after="0" w:line="259" w:lineRule="auto"/>
              <w:ind w:left="0" w:firstLine="0"/>
              <w:jc w:val="both"/>
            </w:pPr>
            <w:r>
              <w:t>92%</w:t>
            </w:r>
            <w:r>
              <w:t xml:space="preserve"> </w:t>
            </w:r>
          </w:p>
        </w:tc>
      </w:tr>
    </w:tbl>
    <w:p w:rsidR="0023438A" w:rsidRDefault="00A02C86">
      <w:pPr>
        <w:numPr>
          <w:ilvl w:val="0"/>
          <w:numId w:val="7"/>
        </w:numPr>
        <w:spacing w:after="372" w:line="259" w:lineRule="auto"/>
        <w:ind w:right="777" w:hanging="178"/>
      </w:pPr>
      <w:r>
        <w:t xml:space="preserve">Percent of respondents who </w:t>
      </w:r>
      <w:r>
        <w:rPr>
          <w:i/>
        </w:rPr>
        <w:t xml:space="preserve">agreed </w:t>
      </w:r>
      <w:r>
        <w:t xml:space="preserve">or </w:t>
      </w:r>
      <w:r>
        <w:rPr>
          <w:i/>
        </w:rPr>
        <w:t xml:space="preserve">strongly agreed </w:t>
      </w:r>
      <w:r>
        <w:t xml:space="preserve">with the item </w:t>
      </w:r>
    </w:p>
    <w:p w:rsidR="0023438A" w:rsidRDefault="00A02C86">
      <w:pPr>
        <w:spacing w:after="117"/>
        <w:ind w:left="435" w:right="777"/>
      </w:pPr>
      <w:r>
        <w:t xml:space="preserve"> </w:t>
      </w:r>
      <w:r>
        <w:tab/>
        <w:t xml:space="preserve">Just over two-thirds of the educator group agreed or strongly agreed that underemployment is not an issue for their graduates, meaning that they find employment at or above the expected </w:t>
      </w:r>
      <w:r>
        <w:lastRenderedPageBreak/>
        <w:t>achievement level of their respective degree or diploma program. Sch</w:t>
      </w:r>
      <w:r>
        <w:t xml:space="preserve">ool officials responded that they see the potential apprenticeship has to positively influence their enrollment prospects (n = 83, 92%), which conveys the strong agreement this group has toward the concept as a whole.   </w:t>
      </w:r>
    </w:p>
    <w:p w:rsidR="0023438A" w:rsidRDefault="00A02C86">
      <w:pPr>
        <w:spacing w:after="117"/>
        <w:ind w:left="435" w:right="777"/>
      </w:pPr>
      <w:r>
        <w:t xml:space="preserve"> </w:t>
      </w:r>
      <w:r>
        <w:tab/>
        <w:t>To gauge impressions of the field</w:t>
      </w:r>
      <w:r>
        <w:t>s in excess demand in their areas, educators were asked to prioritize the top three areas from an extensive list of 16 options. The employers were asked an open-ended question regarding demand, and the researcher determined the data were not effectively co</w:t>
      </w:r>
      <w:r>
        <w:t xml:space="preserve">llected to determine a result. The educator respondents were in alignment with their perception that apprenticeship mostly applied to the skilled trades/manufacturing and healthcare sectors.  Figure 2 displays those responses ranked by category. </w:t>
      </w:r>
    </w:p>
    <w:p w:rsidR="0023438A" w:rsidRDefault="00A02C86">
      <w:pPr>
        <w:spacing w:after="372" w:line="259" w:lineRule="auto"/>
        <w:ind w:left="440" w:firstLine="0"/>
      </w:pPr>
      <w:r>
        <w:t xml:space="preserve"> </w:t>
      </w:r>
    </w:p>
    <w:p w:rsidR="0023438A" w:rsidRDefault="00A02C86">
      <w:pPr>
        <w:spacing w:after="372" w:line="259" w:lineRule="auto"/>
        <w:ind w:left="440" w:firstLine="0"/>
      </w:pPr>
      <w:r>
        <w:t xml:space="preserve"> </w:t>
      </w:r>
    </w:p>
    <w:p w:rsidR="0023438A" w:rsidRDefault="00A02C86">
      <w:pPr>
        <w:spacing w:after="0" w:line="259" w:lineRule="auto"/>
        <w:ind w:left="440" w:firstLine="0"/>
      </w:pPr>
      <w:r>
        <w:t xml:space="preserve"> </w:t>
      </w:r>
    </w:p>
    <w:p w:rsidR="0023438A" w:rsidRDefault="00A02C86">
      <w:pPr>
        <w:spacing w:after="0" w:line="259" w:lineRule="auto"/>
        <w:ind w:left="590" w:right="733"/>
        <w:jc w:val="center"/>
      </w:pPr>
      <w:r>
        <w:t xml:space="preserve">Occupational Impressions </w:t>
      </w:r>
    </w:p>
    <w:p w:rsidR="0023438A" w:rsidRDefault="00A02C86">
      <w:pPr>
        <w:spacing w:after="0" w:line="259" w:lineRule="auto"/>
        <w:ind w:left="433" w:firstLine="0"/>
      </w:pPr>
      <w:r>
        <w:rPr>
          <w:rFonts w:ascii="Calibri" w:eastAsia="Calibri" w:hAnsi="Calibri" w:cs="Calibri"/>
          <w:noProof/>
          <w:sz w:val="22"/>
        </w:rPr>
        <mc:AlternateContent>
          <mc:Choice Requires="wpg">
            <w:drawing>
              <wp:inline distT="0" distB="0" distL="0" distR="0">
                <wp:extent cx="6233103" cy="4166050"/>
                <wp:effectExtent l="0" t="0" r="0" b="0"/>
                <wp:docPr id="96417" name="Group 96417"/>
                <wp:cNvGraphicFramePr/>
                <a:graphic xmlns:a="http://schemas.openxmlformats.org/drawingml/2006/main">
                  <a:graphicData uri="http://schemas.microsoft.com/office/word/2010/wordprocessingGroup">
                    <wpg:wgp>
                      <wpg:cNvGrpSpPr/>
                      <wpg:grpSpPr>
                        <a:xfrm>
                          <a:off x="0" y="0"/>
                          <a:ext cx="6233103" cy="4166050"/>
                          <a:chOff x="0" y="0"/>
                          <a:chExt cx="6233103" cy="4166050"/>
                        </a:xfrm>
                      </wpg:grpSpPr>
                      <wps:wsp>
                        <wps:cNvPr id="4055" name="Rectangle 4055"/>
                        <wps:cNvSpPr/>
                        <wps:spPr>
                          <a:xfrm>
                            <a:off x="6156976" y="3997279"/>
                            <a:ext cx="101249" cy="224466"/>
                          </a:xfrm>
                          <a:prstGeom prst="rect">
                            <a:avLst/>
                          </a:prstGeom>
                          <a:ln>
                            <a:noFill/>
                          </a:ln>
                        </wps:spPr>
                        <wps:txbx>
                          <w:txbxContent>
                            <w:p w:rsidR="0023438A" w:rsidRDefault="00A02C86">
                              <w:pPr>
                                <w:spacing w:after="160" w:line="259" w:lineRule="auto"/>
                                <w:ind w:left="0" w:firstLine="0"/>
                              </w:pPr>
                              <w:r>
                                <w:t xml:space="preserve">  </w:t>
                              </w:r>
                            </w:p>
                          </w:txbxContent>
                        </wps:txbx>
                        <wps:bodyPr horzOverflow="overflow" vert="horz" lIns="0" tIns="0" rIns="0" bIns="0" rtlCol="0">
                          <a:noAutofit/>
                        </wps:bodyPr>
                      </wps:wsp>
                      <wps:wsp>
                        <wps:cNvPr id="143377" name="Shape 143377"/>
                        <wps:cNvSpPr/>
                        <wps:spPr>
                          <a:xfrm>
                            <a:off x="390144" y="1847088"/>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78" name="Shape 143378"/>
                        <wps:cNvSpPr/>
                        <wps:spPr>
                          <a:xfrm>
                            <a:off x="390144" y="1603249"/>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79" name="Shape 143379"/>
                        <wps:cNvSpPr/>
                        <wps:spPr>
                          <a:xfrm>
                            <a:off x="390144" y="1357885"/>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0" name="Shape 143380"/>
                        <wps:cNvSpPr/>
                        <wps:spPr>
                          <a:xfrm>
                            <a:off x="390144" y="1114044"/>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1" name="Shape 143381"/>
                        <wps:cNvSpPr/>
                        <wps:spPr>
                          <a:xfrm>
                            <a:off x="390144" y="868680"/>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2" name="Shape 143382"/>
                        <wps:cNvSpPr/>
                        <wps:spPr>
                          <a:xfrm>
                            <a:off x="390144" y="624840"/>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3" name="Shape 143383"/>
                        <wps:cNvSpPr/>
                        <wps:spPr>
                          <a:xfrm>
                            <a:off x="390144" y="379476"/>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4" name="Shape 143384"/>
                        <wps:cNvSpPr/>
                        <wps:spPr>
                          <a:xfrm>
                            <a:off x="390144" y="135637"/>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385" name="Shape 143385"/>
                        <wps:cNvSpPr/>
                        <wps:spPr>
                          <a:xfrm>
                            <a:off x="2973324" y="1981200"/>
                            <a:ext cx="109728" cy="115824"/>
                          </a:xfrm>
                          <a:custGeom>
                            <a:avLst/>
                            <a:gdLst/>
                            <a:ahLst/>
                            <a:cxnLst/>
                            <a:rect l="0" t="0" r="0" b="0"/>
                            <a:pathLst>
                              <a:path w="109728" h="115824">
                                <a:moveTo>
                                  <a:pt x="0" y="0"/>
                                </a:moveTo>
                                <a:lnTo>
                                  <a:pt x="109728" y="0"/>
                                </a:lnTo>
                                <a:lnTo>
                                  <a:pt x="109728" y="115824"/>
                                </a:lnTo>
                                <a:lnTo>
                                  <a:pt x="0" y="1158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86" name="Shape 143386"/>
                        <wps:cNvSpPr/>
                        <wps:spPr>
                          <a:xfrm>
                            <a:off x="4379976" y="1952244"/>
                            <a:ext cx="111252" cy="144780"/>
                          </a:xfrm>
                          <a:custGeom>
                            <a:avLst/>
                            <a:gdLst/>
                            <a:ahLst/>
                            <a:cxnLst/>
                            <a:rect l="0" t="0" r="0" b="0"/>
                            <a:pathLst>
                              <a:path w="111252" h="144780">
                                <a:moveTo>
                                  <a:pt x="0" y="0"/>
                                </a:moveTo>
                                <a:lnTo>
                                  <a:pt x="111252" y="0"/>
                                </a:lnTo>
                                <a:lnTo>
                                  <a:pt x="111252" y="144780"/>
                                </a:lnTo>
                                <a:lnTo>
                                  <a:pt x="0" y="144780"/>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87" name="Shape 143387"/>
                        <wps:cNvSpPr/>
                        <wps:spPr>
                          <a:xfrm>
                            <a:off x="1214628" y="1952244"/>
                            <a:ext cx="109728" cy="144780"/>
                          </a:xfrm>
                          <a:custGeom>
                            <a:avLst/>
                            <a:gdLst/>
                            <a:ahLst/>
                            <a:cxnLst/>
                            <a:rect l="0" t="0" r="0" b="0"/>
                            <a:pathLst>
                              <a:path w="109728" h="144780">
                                <a:moveTo>
                                  <a:pt x="0" y="0"/>
                                </a:moveTo>
                                <a:lnTo>
                                  <a:pt x="109728" y="0"/>
                                </a:lnTo>
                                <a:lnTo>
                                  <a:pt x="109728" y="144780"/>
                                </a:lnTo>
                                <a:lnTo>
                                  <a:pt x="0" y="144780"/>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88" name="Shape 143388"/>
                        <wps:cNvSpPr/>
                        <wps:spPr>
                          <a:xfrm>
                            <a:off x="1918716" y="1921764"/>
                            <a:ext cx="109728" cy="175260"/>
                          </a:xfrm>
                          <a:custGeom>
                            <a:avLst/>
                            <a:gdLst/>
                            <a:ahLst/>
                            <a:cxnLst/>
                            <a:rect l="0" t="0" r="0" b="0"/>
                            <a:pathLst>
                              <a:path w="109728" h="175260">
                                <a:moveTo>
                                  <a:pt x="0" y="0"/>
                                </a:moveTo>
                                <a:lnTo>
                                  <a:pt x="109728" y="0"/>
                                </a:lnTo>
                                <a:lnTo>
                                  <a:pt x="109728" y="175260"/>
                                </a:lnTo>
                                <a:lnTo>
                                  <a:pt x="0" y="175260"/>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89" name="Shape 143389"/>
                        <wps:cNvSpPr/>
                        <wps:spPr>
                          <a:xfrm>
                            <a:off x="1566672" y="1921764"/>
                            <a:ext cx="109728" cy="175260"/>
                          </a:xfrm>
                          <a:custGeom>
                            <a:avLst/>
                            <a:gdLst/>
                            <a:ahLst/>
                            <a:cxnLst/>
                            <a:rect l="0" t="0" r="0" b="0"/>
                            <a:pathLst>
                              <a:path w="109728" h="175260">
                                <a:moveTo>
                                  <a:pt x="0" y="0"/>
                                </a:moveTo>
                                <a:lnTo>
                                  <a:pt x="109728" y="0"/>
                                </a:lnTo>
                                <a:lnTo>
                                  <a:pt x="109728" y="175260"/>
                                </a:lnTo>
                                <a:lnTo>
                                  <a:pt x="0" y="175260"/>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0" name="Shape 143390"/>
                        <wps:cNvSpPr/>
                        <wps:spPr>
                          <a:xfrm>
                            <a:off x="3677412" y="1805940"/>
                            <a:ext cx="109728" cy="291084"/>
                          </a:xfrm>
                          <a:custGeom>
                            <a:avLst/>
                            <a:gdLst/>
                            <a:ahLst/>
                            <a:cxnLst/>
                            <a:rect l="0" t="0" r="0" b="0"/>
                            <a:pathLst>
                              <a:path w="109728" h="291084">
                                <a:moveTo>
                                  <a:pt x="0" y="0"/>
                                </a:moveTo>
                                <a:lnTo>
                                  <a:pt x="109728" y="0"/>
                                </a:lnTo>
                                <a:lnTo>
                                  <a:pt x="109728" y="291084"/>
                                </a:lnTo>
                                <a:lnTo>
                                  <a:pt x="0" y="29108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1" name="Shape 143391"/>
                        <wps:cNvSpPr/>
                        <wps:spPr>
                          <a:xfrm>
                            <a:off x="5084064" y="1776985"/>
                            <a:ext cx="109728" cy="320039"/>
                          </a:xfrm>
                          <a:custGeom>
                            <a:avLst/>
                            <a:gdLst/>
                            <a:ahLst/>
                            <a:cxnLst/>
                            <a:rect l="0" t="0" r="0" b="0"/>
                            <a:pathLst>
                              <a:path w="109728" h="320039">
                                <a:moveTo>
                                  <a:pt x="0" y="0"/>
                                </a:moveTo>
                                <a:lnTo>
                                  <a:pt x="109728" y="0"/>
                                </a:lnTo>
                                <a:lnTo>
                                  <a:pt x="109728" y="320039"/>
                                </a:lnTo>
                                <a:lnTo>
                                  <a:pt x="0" y="320039"/>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2" name="Shape 143392"/>
                        <wps:cNvSpPr/>
                        <wps:spPr>
                          <a:xfrm>
                            <a:off x="5786628" y="1719073"/>
                            <a:ext cx="111252" cy="377951"/>
                          </a:xfrm>
                          <a:custGeom>
                            <a:avLst/>
                            <a:gdLst/>
                            <a:ahLst/>
                            <a:cxnLst/>
                            <a:rect l="0" t="0" r="0" b="0"/>
                            <a:pathLst>
                              <a:path w="111252" h="377951">
                                <a:moveTo>
                                  <a:pt x="0" y="0"/>
                                </a:moveTo>
                                <a:lnTo>
                                  <a:pt x="111252" y="0"/>
                                </a:lnTo>
                                <a:lnTo>
                                  <a:pt x="111252" y="377951"/>
                                </a:lnTo>
                                <a:lnTo>
                                  <a:pt x="0" y="377951"/>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3" name="Shape 143393"/>
                        <wps:cNvSpPr/>
                        <wps:spPr>
                          <a:xfrm>
                            <a:off x="862584" y="1688592"/>
                            <a:ext cx="111252" cy="408432"/>
                          </a:xfrm>
                          <a:custGeom>
                            <a:avLst/>
                            <a:gdLst/>
                            <a:ahLst/>
                            <a:cxnLst/>
                            <a:rect l="0" t="0" r="0" b="0"/>
                            <a:pathLst>
                              <a:path w="111252" h="408432">
                                <a:moveTo>
                                  <a:pt x="0" y="0"/>
                                </a:moveTo>
                                <a:lnTo>
                                  <a:pt x="111252" y="0"/>
                                </a:lnTo>
                                <a:lnTo>
                                  <a:pt x="111252" y="408432"/>
                                </a:lnTo>
                                <a:lnTo>
                                  <a:pt x="0" y="408432"/>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4" name="Shape 143394"/>
                        <wps:cNvSpPr/>
                        <wps:spPr>
                          <a:xfrm>
                            <a:off x="2269236" y="1543812"/>
                            <a:ext cx="111252" cy="553212"/>
                          </a:xfrm>
                          <a:custGeom>
                            <a:avLst/>
                            <a:gdLst/>
                            <a:ahLst/>
                            <a:cxnLst/>
                            <a:rect l="0" t="0" r="0" b="0"/>
                            <a:pathLst>
                              <a:path w="111252" h="553212">
                                <a:moveTo>
                                  <a:pt x="0" y="0"/>
                                </a:moveTo>
                                <a:lnTo>
                                  <a:pt x="111252" y="0"/>
                                </a:lnTo>
                                <a:lnTo>
                                  <a:pt x="111252" y="553212"/>
                                </a:lnTo>
                                <a:lnTo>
                                  <a:pt x="0" y="553212"/>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5" name="Shape 143395"/>
                        <wps:cNvSpPr/>
                        <wps:spPr>
                          <a:xfrm>
                            <a:off x="4027932" y="1368552"/>
                            <a:ext cx="111252" cy="728472"/>
                          </a:xfrm>
                          <a:custGeom>
                            <a:avLst/>
                            <a:gdLst/>
                            <a:ahLst/>
                            <a:cxnLst/>
                            <a:rect l="0" t="0" r="0" b="0"/>
                            <a:pathLst>
                              <a:path w="111252" h="728472">
                                <a:moveTo>
                                  <a:pt x="0" y="0"/>
                                </a:moveTo>
                                <a:lnTo>
                                  <a:pt x="111252" y="0"/>
                                </a:lnTo>
                                <a:lnTo>
                                  <a:pt x="111252" y="728472"/>
                                </a:lnTo>
                                <a:lnTo>
                                  <a:pt x="0" y="728472"/>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6" name="Shape 143396"/>
                        <wps:cNvSpPr/>
                        <wps:spPr>
                          <a:xfrm>
                            <a:off x="4732020" y="1194816"/>
                            <a:ext cx="109728" cy="902208"/>
                          </a:xfrm>
                          <a:custGeom>
                            <a:avLst/>
                            <a:gdLst/>
                            <a:ahLst/>
                            <a:cxnLst/>
                            <a:rect l="0" t="0" r="0" b="0"/>
                            <a:pathLst>
                              <a:path w="109728" h="902208">
                                <a:moveTo>
                                  <a:pt x="0" y="0"/>
                                </a:moveTo>
                                <a:lnTo>
                                  <a:pt x="109728" y="0"/>
                                </a:lnTo>
                                <a:lnTo>
                                  <a:pt x="109728" y="902208"/>
                                </a:lnTo>
                                <a:lnTo>
                                  <a:pt x="0" y="902208"/>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7" name="Shape 143397"/>
                        <wps:cNvSpPr/>
                        <wps:spPr>
                          <a:xfrm>
                            <a:off x="3325368" y="699516"/>
                            <a:ext cx="109728" cy="1397508"/>
                          </a:xfrm>
                          <a:custGeom>
                            <a:avLst/>
                            <a:gdLst/>
                            <a:ahLst/>
                            <a:cxnLst/>
                            <a:rect l="0" t="0" r="0" b="0"/>
                            <a:pathLst>
                              <a:path w="109728" h="1397508">
                                <a:moveTo>
                                  <a:pt x="0" y="0"/>
                                </a:moveTo>
                                <a:lnTo>
                                  <a:pt x="109728" y="0"/>
                                </a:lnTo>
                                <a:lnTo>
                                  <a:pt x="109728" y="1397508"/>
                                </a:lnTo>
                                <a:lnTo>
                                  <a:pt x="0" y="1397508"/>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8" name="Shape 143398"/>
                        <wps:cNvSpPr/>
                        <wps:spPr>
                          <a:xfrm>
                            <a:off x="5434584" y="262128"/>
                            <a:ext cx="111252" cy="1834896"/>
                          </a:xfrm>
                          <a:custGeom>
                            <a:avLst/>
                            <a:gdLst/>
                            <a:ahLst/>
                            <a:cxnLst/>
                            <a:rect l="0" t="0" r="0" b="0"/>
                            <a:pathLst>
                              <a:path w="111252" h="1834896">
                                <a:moveTo>
                                  <a:pt x="0" y="0"/>
                                </a:moveTo>
                                <a:lnTo>
                                  <a:pt x="111252" y="0"/>
                                </a:lnTo>
                                <a:lnTo>
                                  <a:pt x="111252" y="1834896"/>
                                </a:lnTo>
                                <a:lnTo>
                                  <a:pt x="0" y="1834896"/>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43399" name="Shape 143399"/>
                        <wps:cNvSpPr/>
                        <wps:spPr>
                          <a:xfrm>
                            <a:off x="390144" y="2092452"/>
                            <a:ext cx="5628132" cy="9144"/>
                          </a:xfrm>
                          <a:custGeom>
                            <a:avLst/>
                            <a:gdLst/>
                            <a:ahLst/>
                            <a:cxnLst/>
                            <a:rect l="0" t="0" r="0" b="0"/>
                            <a:pathLst>
                              <a:path w="5628132" h="9144">
                                <a:moveTo>
                                  <a:pt x="0" y="0"/>
                                </a:moveTo>
                                <a:lnTo>
                                  <a:pt x="5628132" y="0"/>
                                </a:lnTo>
                                <a:lnTo>
                                  <a:pt x="5628132"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092" name="Rectangle 4092"/>
                        <wps:cNvSpPr/>
                        <wps:spPr>
                          <a:xfrm rot="5399999">
                            <a:off x="233472" y="2399235"/>
                            <a:ext cx="610146"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Agriculture</w:t>
                              </w:r>
                            </w:p>
                          </w:txbxContent>
                        </wps:txbx>
                        <wps:bodyPr horzOverflow="overflow" vert="horz" lIns="0" tIns="0" rIns="0" bIns="0" rtlCol="0">
                          <a:noAutofit/>
                        </wps:bodyPr>
                      </wps:wsp>
                      <wps:wsp>
                        <wps:cNvPr id="4093" name="Rectangle 4093"/>
                        <wps:cNvSpPr/>
                        <wps:spPr>
                          <a:xfrm rot="5399999">
                            <a:off x="60119" y="2923108"/>
                            <a:ext cx="165789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Architecture &amp; Construction</w:t>
                              </w:r>
                            </w:p>
                          </w:txbxContent>
                        </wps:txbx>
                        <wps:bodyPr horzOverflow="overflow" vert="horz" lIns="0" tIns="0" rIns="0" bIns="0" rtlCol="0">
                          <a:noAutofit/>
                        </wps:bodyPr>
                      </wps:wsp>
                      <wps:wsp>
                        <wps:cNvPr id="4094" name="Rectangle 4094"/>
                        <wps:cNvSpPr/>
                        <wps:spPr>
                          <a:xfrm rot="5399999">
                            <a:off x="352647" y="3052728"/>
                            <a:ext cx="1917131"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Arts, Audio/Video Technology, &amp;</w:t>
                              </w:r>
                            </w:p>
                          </w:txbxContent>
                        </wps:txbx>
                        <wps:bodyPr horzOverflow="overflow" vert="horz" lIns="0" tIns="0" rIns="0" bIns="0" rtlCol="0">
                          <a:noAutofit/>
                        </wps:bodyPr>
                      </wps:wsp>
                      <wps:wsp>
                        <wps:cNvPr id="4095" name="Rectangle 4095"/>
                        <wps:cNvSpPr/>
                        <wps:spPr>
                          <a:xfrm rot="5399999">
                            <a:off x="680682" y="2953294"/>
                            <a:ext cx="980647"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Communications</w:t>
                              </w:r>
                            </w:p>
                          </w:txbxContent>
                        </wps:txbx>
                        <wps:bodyPr horzOverflow="overflow" vert="horz" lIns="0" tIns="0" rIns="0" bIns="0" rtlCol="0">
                          <a:noAutofit/>
                        </wps:bodyPr>
                      </wps:wsp>
                      <wps:wsp>
                        <wps:cNvPr id="4096" name="Rectangle 4096"/>
                        <wps:cNvSpPr/>
                        <wps:spPr>
                          <a:xfrm rot="5399999">
                            <a:off x="388344" y="3298972"/>
                            <a:ext cx="240962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Business Management &amp; Administration</w:t>
                              </w:r>
                            </w:p>
                          </w:txbxContent>
                        </wps:txbx>
                        <wps:bodyPr horzOverflow="overflow" vert="horz" lIns="0" tIns="0" rIns="0" bIns="0" rtlCol="0">
                          <a:noAutofit/>
                        </wps:bodyPr>
                      </wps:wsp>
                      <wps:wsp>
                        <wps:cNvPr id="4097" name="Rectangle 4097"/>
                        <wps:cNvSpPr/>
                        <wps:spPr>
                          <a:xfrm rot="5399999">
                            <a:off x="1336396" y="2702964"/>
                            <a:ext cx="121760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Education &amp; Training</w:t>
                              </w:r>
                            </w:p>
                          </w:txbxContent>
                        </wps:txbx>
                        <wps:bodyPr horzOverflow="overflow" vert="horz" lIns="0" tIns="0" rIns="0" bIns="0" rtlCol="0">
                          <a:noAutofit/>
                        </wps:bodyPr>
                      </wps:wsp>
                      <wps:wsp>
                        <wps:cNvPr id="4098" name="Rectangle 4098"/>
                        <wps:cNvSpPr/>
                        <wps:spPr>
                          <a:xfrm rot="5399999">
                            <a:off x="1845723" y="2544158"/>
                            <a:ext cx="89999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Energy Industry</w:t>
                              </w:r>
                            </w:p>
                          </w:txbxContent>
                        </wps:txbx>
                        <wps:bodyPr horzOverflow="overflow" vert="horz" lIns="0" tIns="0" rIns="0" bIns="0" rtlCol="0">
                          <a:noAutofit/>
                        </wps:bodyPr>
                      </wps:wsp>
                      <wps:wsp>
                        <wps:cNvPr id="4099" name="Rectangle 4099"/>
                        <wps:cNvSpPr/>
                        <wps:spPr>
                          <a:xfrm rot="5399999">
                            <a:off x="2447186" y="2294740"/>
                            <a:ext cx="40115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Finance</w:t>
                              </w:r>
                            </w:p>
                          </w:txbxContent>
                        </wps:txbx>
                        <wps:bodyPr horzOverflow="overflow" vert="horz" lIns="0" tIns="0" rIns="0" bIns="0" rtlCol="0">
                          <a:noAutofit/>
                        </wps:bodyPr>
                      </wps:wsp>
                      <wps:wsp>
                        <wps:cNvPr id="4100" name="Rectangle 4100"/>
                        <wps:cNvSpPr/>
                        <wps:spPr>
                          <a:xfrm rot="5399999">
                            <a:off x="1969480" y="3194593"/>
                            <a:ext cx="220086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Government &amp; Public Administration</w:t>
                              </w:r>
                            </w:p>
                          </w:txbxContent>
                        </wps:txbx>
                        <wps:bodyPr horzOverflow="overflow" vert="horz" lIns="0" tIns="0" rIns="0" bIns="0" rtlCol="0">
                          <a:noAutofit/>
                        </wps:bodyPr>
                      </wps:wsp>
                      <wps:wsp>
                        <wps:cNvPr id="96356" name="Rectangle 96356"/>
                        <wps:cNvSpPr/>
                        <wps:spPr>
                          <a:xfrm rot="5399999">
                            <a:off x="2719701" y="2999108"/>
                            <a:ext cx="38499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ROTC</w:t>
                              </w:r>
                            </w:p>
                          </w:txbxContent>
                        </wps:txbx>
                        <wps:bodyPr horzOverflow="overflow" vert="horz" lIns="0" tIns="0" rIns="0" bIns="0" rtlCol="0">
                          <a:noAutofit/>
                        </wps:bodyPr>
                      </wps:wsp>
                      <wps:wsp>
                        <wps:cNvPr id="96355" name="Rectangle 96355"/>
                        <wps:cNvSpPr/>
                        <wps:spPr>
                          <a:xfrm rot="5399999">
                            <a:off x="2575156" y="3143652"/>
                            <a:ext cx="38499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54" name="Rectangle 96354"/>
                        <wps:cNvSpPr/>
                        <wps:spPr>
                          <a:xfrm rot="5399999">
                            <a:off x="2864624" y="2854185"/>
                            <a:ext cx="38499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4102" name="Rectangle 4102"/>
                        <wps:cNvSpPr/>
                        <wps:spPr>
                          <a:xfrm rot="5399999">
                            <a:off x="3026524" y="2419489"/>
                            <a:ext cx="650653"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Health Care</w:t>
                              </w:r>
                            </w:p>
                          </w:txbxContent>
                        </wps:txbx>
                        <wps:bodyPr horzOverflow="overflow" vert="horz" lIns="0" tIns="0" rIns="0" bIns="0" rtlCol="0">
                          <a:noAutofit/>
                        </wps:bodyPr>
                      </wps:wsp>
                      <wps:wsp>
                        <wps:cNvPr id="4103" name="Rectangle 4103"/>
                        <wps:cNvSpPr/>
                        <wps:spPr>
                          <a:xfrm rot="5399999">
                            <a:off x="2666396" y="3131661"/>
                            <a:ext cx="2074997"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Hospitality, Food Service &amp; Tourism</w:t>
                              </w:r>
                            </w:p>
                          </w:txbxContent>
                        </wps:txbx>
                        <wps:bodyPr horzOverflow="overflow" vert="horz" lIns="0" tIns="0" rIns="0" bIns="0" rtlCol="0">
                          <a:noAutofit/>
                        </wps:bodyPr>
                      </wps:wsp>
                      <wps:wsp>
                        <wps:cNvPr id="4104" name="Rectangle 4104"/>
                        <wps:cNvSpPr/>
                        <wps:spPr>
                          <a:xfrm rot="5399999">
                            <a:off x="3348231" y="2800345"/>
                            <a:ext cx="1412368"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Information Technology</w:t>
                              </w:r>
                            </w:p>
                          </w:txbxContent>
                        </wps:txbx>
                        <wps:bodyPr horzOverflow="overflow" vert="horz" lIns="0" tIns="0" rIns="0" bIns="0" rtlCol="0">
                          <a:noAutofit/>
                        </wps:bodyPr>
                      </wps:wsp>
                      <wps:wsp>
                        <wps:cNvPr id="4105" name="Rectangle 4105"/>
                        <wps:cNvSpPr/>
                        <wps:spPr>
                          <a:xfrm rot="5399999">
                            <a:off x="3493555" y="3077170"/>
                            <a:ext cx="1966016"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Law, Public Safety, Corrections, &amp;</w:t>
                              </w:r>
                            </w:p>
                          </w:txbxContent>
                        </wps:txbx>
                        <wps:bodyPr horzOverflow="overflow" vert="horz" lIns="0" tIns="0" rIns="0" bIns="0" rtlCol="0">
                          <a:noAutofit/>
                        </wps:bodyPr>
                      </wps:wsp>
                      <wps:wsp>
                        <wps:cNvPr id="4106" name="Rectangle 4106"/>
                        <wps:cNvSpPr/>
                        <wps:spPr>
                          <a:xfrm rot="5399999">
                            <a:off x="4122515" y="2899315"/>
                            <a:ext cx="427681"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Security</w:t>
                              </w:r>
                            </w:p>
                          </w:txbxContent>
                        </wps:txbx>
                        <wps:bodyPr horzOverflow="overflow" vert="horz" lIns="0" tIns="0" rIns="0" bIns="0" rtlCol="0">
                          <a:noAutofit/>
                        </wps:bodyPr>
                      </wps:wsp>
                      <wps:wsp>
                        <wps:cNvPr id="4107" name="Rectangle 4107"/>
                        <wps:cNvSpPr/>
                        <wps:spPr>
                          <a:xfrm rot="5399999">
                            <a:off x="4335995" y="2516672"/>
                            <a:ext cx="845019"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Manufacturing</w:t>
                              </w:r>
                            </w:p>
                          </w:txbxContent>
                        </wps:txbx>
                        <wps:bodyPr horzOverflow="overflow" vert="horz" lIns="0" tIns="0" rIns="0" bIns="0" rtlCol="0">
                          <a:noAutofit/>
                        </wps:bodyPr>
                      </wps:wsp>
                      <wps:wsp>
                        <wps:cNvPr id="4108" name="Rectangle 4108"/>
                        <wps:cNvSpPr/>
                        <wps:spPr>
                          <a:xfrm rot="5399999">
                            <a:off x="4118076" y="3155214"/>
                            <a:ext cx="2122105"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Science, Technology, Engineering, &amp;</w:t>
                              </w:r>
                            </w:p>
                          </w:txbxContent>
                        </wps:txbx>
                        <wps:bodyPr horzOverflow="overflow" vert="horz" lIns="0" tIns="0" rIns="0" bIns="0" rtlCol="0">
                          <a:noAutofit/>
                        </wps:bodyPr>
                      </wps:wsp>
                      <wps:wsp>
                        <wps:cNvPr id="4109" name="Rectangle 4109"/>
                        <wps:cNvSpPr/>
                        <wps:spPr>
                          <a:xfrm rot="5399999">
                            <a:off x="4663439" y="3001519"/>
                            <a:ext cx="75401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Mathematics</w:t>
                              </w:r>
                            </w:p>
                          </w:txbxContent>
                        </wps:txbx>
                        <wps:bodyPr horzOverflow="overflow" vert="horz" lIns="0" tIns="0" rIns="0" bIns="0" rtlCol="0">
                          <a:noAutofit/>
                        </wps:bodyPr>
                      </wps:wsp>
                      <wps:wsp>
                        <wps:cNvPr id="4110" name="Rectangle 4110"/>
                        <wps:cNvSpPr/>
                        <wps:spPr>
                          <a:xfrm rot="5399999">
                            <a:off x="5066942" y="2488288"/>
                            <a:ext cx="788251"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Skilled Trades</w:t>
                              </w:r>
                            </w:p>
                          </w:txbxContent>
                        </wps:txbx>
                        <wps:bodyPr horzOverflow="overflow" vert="horz" lIns="0" tIns="0" rIns="0" bIns="0" rtlCol="0">
                          <a:noAutofit/>
                        </wps:bodyPr>
                      </wps:wsp>
                      <wps:wsp>
                        <wps:cNvPr id="4111" name="Rectangle 4111"/>
                        <wps:cNvSpPr/>
                        <wps:spPr>
                          <a:xfrm rot="5399999">
                            <a:off x="4614614" y="3292660"/>
                            <a:ext cx="2396996"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Transportation, Distribution, &amp;</w:t>
                              </w:r>
                              <w:r>
                                <w:rPr>
                                  <w:rFonts w:ascii="Calibri" w:eastAsia="Calibri" w:hAnsi="Calibri" w:cs="Calibri"/>
                                  <w:color w:val="595959"/>
                                  <w:sz w:val="18"/>
                                </w:rPr>
                                <w:t xml:space="preserve"> Logistics</w:t>
                              </w:r>
                            </w:p>
                          </w:txbxContent>
                        </wps:txbx>
                        <wps:bodyPr horzOverflow="overflow" vert="horz" lIns="0" tIns="0" rIns="0" bIns="0" rtlCol="0">
                          <a:noAutofit/>
                        </wps:bodyPr>
                      </wps:wsp>
                      <wps:wsp>
                        <wps:cNvPr id="96352" name="Rectangle 96352"/>
                        <wps:cNvSpPr/>
                        <wps:spPr>
                          <a:xfrm>
                            <a:off x="144781" y="2043299"/>
                            <a:ext cx="7707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0</w:t>
                              </w:r>
                            </w:p>
                          </w:txbxContent>
                        </wps:txbx>
                        <wps:bodyPr horzOverflow="overflow" vert="horz" lIns="0" tIns="0" rIns="0" bIns="0" rtlCol="0">
                          <a:noAutofit/>
                        </wps:bodyPr>
                      </wps:wsp>
                      <wps:wsp>
                        <wps:cNvPr id="96353" name="Rectangle 96353"/>
                        <wps:cNvSpPr/>
                        <wps:spPr>
                          <a:xfrm>
                            <a:off x="202712" y="2043299"/>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50" name="Rectangle 96350"/>
                        <wps:cNvSpPr/>
                        <wps:spPr>
                          <a:xfrm>
                            <a:off x="86869" y="1799458"/>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10</w:t>
                              </w:r>
                            </w:p>
                          </w:txbxContent>
                        </wps:txbx>
                        <wps:bodyPr horzOverflow="overflow" vert="horz" lIns="0" tIns="0" rIns="0" bIns="0" rtlCol="0">
                          <a:noAutofit/>
                        </wps:bodyPr>
                      </wps:wsp>
                      <wps:wsp>
                        <wps:cNvPr id="96351" name="Rectangle 96351"/>
                        <wps:cNvSpPr/>
                        <wps:spPr>
                          <a:xfrm>
                            <a:off x="202730" y="1799458"/>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48" name="Rectangle 96348"/>
                        <wps:cNvSpPr/>
                        <wps:spPr>
                          <a:xfrm>
                            <a:off x="86869" y="1554094"/>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20</w:t>
                              </w:r>
                            </w:p>
                          </w:txbxContent>
                        </wps:txbx>
                        <wps:bodyPr horzOverflow="overflow" vert="horz" lIns="0" tIns="0" rIns="0" bIns="0" rtlCol="0">
                          <a:noAutofit/>
                        </wps:bodyPr>
                      </wps:wsp>
                      <wps:wsp>
                        <wps:cNvPr id="96349" name="Rectangle 96349"/>
                        <wps:cNvSpPr/>
                        <wps:spPr>
                          <a:xfrm>
                            <a:off x="202730" y="1554094"/>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45" name="Rectangle 96345"/>
                        <wps:cNvSpPr/>
                        <wps:spPr>
                          <a:xfrm>
                            <a:off x="86869" y="1310253"/>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30</w:t>
                              </w:r>
                            </w:p>
                          </w:txbxContent>
                        </wps:txbx>
                        <wps:bodyPr horzOverflow="overflow" vert="horz" lIns="0" tIns="0" rIns="0" bIns="0" rtlCol="0">
                          <a:noAutofit/>
                        </wps:bodyPr>
                      </wps:wsp>
                      <wps:wsp>
                        <wps:cNvPr id="96346" name="Rectangle 96346"/>
                        <wps:cNvSpPr/>
                        <wps:spPr>
                          <a:xfrm>
                            <a:off x="202730" y="1310253"/>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43" name="Rectangle 96343"/>
                        <wps:cNvSpPr/>
                        <wps:spPr>
                          <a:xfrm>
                            <a:off x="86869" y="1064889"/>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40</w:t>
                              </w:r>
                            </w:p>
                          </w:txbxContent>
                        </wps:txbx>
                        <wps:bodyPr horzOverflow="overflow" vert="horz" lIns="0" tIns="0" rIns="0" bIns="0" rtlCol="0">
                          <a:noAutofit/>
                        </wps:bodyPr>
                      </wps:wsp>
                      <wps:wsp>
                        <wps:cNvPr id="96344" name="Rectangle 96344"/>
                        <wps:cNvSpPr/>
                        <wps:spPr>
                          <a:xfrm>
                            <a:off x="202730" y="1064889"/>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41" name="Rectangle 96341"/>
                        <wps:cNvSpPr/>
                        <wps:spPr>
                          <a:xfrm>
                            <a:off x="86869" y="819525"/>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50</w:t>
                              </w:r>
                            </w:p>
                          </w:txbxContent>
                        </wps:txbx>
                        <wps:bodyPr horzOverflow="overflow" vert="horz" lIns="0" tIns="0" rIns="0" bIns="0" rtlCol="0">
                          <a:noAutofit/>
                        </wps:bodyPr>
                      </wps:wsp>
                      <wps:wsp>
                        <wps:cNvPr id="96342" name="Rectangle 96342"/>
                        <wps:cNvSpPr/>
                        <wps:spPr>
                          <a:xfrm>
                            <a:off x="202730" y="819525"/>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39" name="Rectangle 96339"/>
                        <wps:cNvSpPr/>
                        <wps:spPr>
                          <a:xfrm>
                            <a:off x="86869" y="575684"/>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60</w:t>
                              </w:r>
                            </w:p>
                          </w:txbxContent>
                        </wps:txbx>
                        <wps:bodyPr horzOverflow="overflow" vert="horz" lIns="0" tIns="0" rIns="0" bIns="0" rtlCol="0">
                          <a:noAutofit/>
                        </wps:bodyPr>
                      </wps:wsp>
                      <wps:wsp>
                        <wps:cNvPr id="96340" name="Rectangle 96340"/>
                        <wps:cNvSpPr/>
                        <wps:spPr>
                          <a:xfrm>
                            <a:off x="202730" y="575684"/>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38" name="Rectangle 96338"/>
                        <wps:cNvSpPr/>
                        <wps:spPr>
                          <a:xfrm>
                            <a:off x="202730" y="330320"/>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96337" name="Rectangle 96337"/>
                        <wps:cNvSpPr/>
                        <wps:spPr>
                          <a:xfrm>
                            <a:off x="86869" y="330320"/>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70</w:t>
                              </w:r>
                            </w:p>
                          </w:txbxContent>
                        </wps:txbx>
                        <wps:bodyPr horzOverflow="overflow" vert="horz" lIns="0" tIns="0" rIns="0" bIns="0" rtlCol="0">
                          <a:noAutofit/>
                        </wps:bodyPr>
                      </wps:wsp>
                      <wps:wsp>
                        <wps:cNvPr id="96334" name="Rectangle 96334"/>
                        <wps:cNvSpPr/>
                        <wps:spPr>
                          <a:xfrm>
                            <a:off x="86869" y="86480"/>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80</w:t>
                              </w:r>
                            </w:p>
                          </w:txbxContent>
                        </wps:txbx>
                        <wps:bodyPr horzOverflow="overflow" vert="horz" lIns="0" tIns="0" rIns="0" bIns="0" rtlCol="0">
                          <a:noAutofit/>
                        </wps:bodyPr>
                      </wps:wsp>
                      <wps:wsp>
                        <wps:cNvPr id="96335" name="Rectangle 96335"/>
                        <wps:cNvSpPr/>
                        <wps:spPr>
                          <a:xfrm>
                            <a:off x="202730" y="86480"/>
                            <a:ext cx="10869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w:t>
                              </w:r>
                            </w:p>
                          </w:txbxContent>
                        </wps:txbx>
                        <wps:bodyPr horzOverflow="overflow" vert="horz" lIns="0" tIns="0" rIns="0" bIns="0" rtlCol="0">
                          <a:noAutofit/>
                        </wps:bodyPr>
                      </wps:wsp>
                      <wps:wsp>
                        <wps:cNvPr id="4121" name="Shape 4121"/>
                        <wps:cNvSpPr/>
                        <wps:spPr>
                          <a:xfrm>
                            <a:off x="0" y="0"/>
                            <a:ext cx="3082290" cy="4130041"/>
                          </a:xfrm>
                          <a:custGeom>
                            <a:avLst/>
                            <a:gdLst/>
                            <a:ahLst/>
                            <a:cxnLst/>
                            <a:rect l="0" t="0" r="0" b="0"/>
                            <a:pathLst>
                              <a:path w="3082290" h="4130041">
                                <a:moveTo>
                                  <a:pt x="1" y="0"/>
                                </a:moveTo>
                                <a:lnTo>
                                  <a:pt x="3082290" y="0"/>
                                </a:lnTo>
                                <a:lnTo>
                                  <a:pt x="3082290" y="6097"/>
                                </a:lnTo>
                                <a:lnTo>
                                  <a:pt x="10668" y="6097"/>
                                </a:lnTo>
                                <a:lnTo>
                                  <a:pt x="10668" y="4120897"/>
                                </a:lnTo>
                                <a:lnTo>
                                  <a:pt x="3082290" y="4120897"/>
                                </a:lnTo>
                                <a:lnTo>
                                  <a:pt x="3082290" y="4130041"/>
                                </a:lnTo>
                                <a:lnTo>
                                  <a:pt x="4572" y="4130041"/>
                                </a:lnTo>
                                <a:cubicBezTo>
                                  <a:pt x="3048" y="4130041"/>
                                  <a:pt x="0" y="4126993"/>
                                  <a:pt x="0" y="4125469"/>
                                </a:cubicBezTo>
                                <a:lnTo>
                                  <a:pt x="0" y="1"/>
                                </a:lnTo>
                                <a:lnTo>
                                  <a:pt x="1"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122" name="Shape 4122"/>
                        <wps:cNvSpPr/>
                        <wps:spPr>
                          <a:xfrm>
                            <a:off x="3082290" y="0"/>
                            <a:ext cx="3080766" cy="4130041"/>
                          </a:xfrm>
                          <a:custGeom>
                            <a:avLst/>
                            <a:gdLst/>
                            <a:ahLst/>
                            <a:cxnLst/>
                            <a:rect l="0" t="0" r="0" b="0"/>
                            <a:pathLst>
                              <a:path w="3080766" h="4130041">
                                <a:moveTo>
                                  <a:pt x="0" y="0"/>
                                </a:moveTo>
                                <a:lnTo>
                                  <a:pt x="3080766" y="0"/>
                                </a:lnTo>
                                <a:lnTo>
                                  <a:pt x="3080766" y="1"/>
                                </a:lnTo>
                                <a:lnTo>
                                  <a:pt x="3080766" y="4125469"/>
                                </a:lnTo>
                                <a:cubicBezTo>
                                  <a:pt x="3080766" y="4126993"/>
                                  <a:pt x="3079241" y="4130041"/>
                                  <a:pt x="3076194" y="4130041"/>
                                </a:cubicBezTo>
                                <a:lnTo>
                                  <a:pt x="0" y="4130041"/>
                                </a:lnTo>
                                <a:lnTo>
                                  <a:pt x="0" y="4120897"/>
                                </a:lnTo>
                                <a:lnTo>
                                  <a:pt x="3071622" y="4120897"/>
                                </a:lnTo>
                                <a:lnTo>
                                  <a:pt x="3071622" y="6097"/>
                                </a:lnTo>
                                <a:lnTo>
                                  <a:pt x="0" y="6097"/>
                                </a:lnTo>
                                <a:lnTo>
                                  <a:pt x="0"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w:pict>
              <v:group id="Group 96417" o:spid="_x0000_s1026" style="width:490.8pt;height:328.05pt;mso-position-horizontal-relative:char;mso-position-vertical-relative:line" coordsize="62331,41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UTfcg4AAAqtAAAOAAAAZHJzL2Uyb0RvYy54bWzsXe2O2zYW/b/AvoPh/9sRSX0OMil2m22x&#10;wKIt2uwDKB55bMC2DNnJTPr0ey6/RMn0jOwpRkWoBIgUiqZIHh7ey3svqXffP203sy9Vc1jXu7s5&#10;+y6az6rdor5f7x7u5v/7+OM/8vnscCx39+Wm3lV386/VYf79+7//7d3j/rbi9are3FfNDIXsDreP&#10;+7v56njc397cHBaralsevqv31Q4Pl3WzLY/4b/Nwc9+Ujyh9u7nhUZTePNbN/b6pF9XhgNQP6uH8&#10;vSx/uawWx1+Wy0N1nG3u5qjbUf7byH8/0b8379+Vtw9NuV+tF7oa5RW12JbrHV5qi/pQHsvZ52Z9&#10;UtR2vWjqQ708freotzf1crleVLINaA2Leq35qak/72VbHm4fH/a2m9C1vX66utjFz19+bWbr+7t5&#10;kcYsm8925RYwyTfPVBK66HH/cIucPzX73/e/NjrhQf2PWv20bLZ0RXtmT7Jzv9rOrZ6OswUSUy4E&#10;i8R8tsCzmKVplOjuX6yA0cnvFqt/v/DLG/PiG6qfrc7jHkPp0PbW4XW99fuq3FcShAP1ge6tOEoS&#10;01m/YZSVu4dNNZOpsntkXttZh9sD+s3TUylL0iJL5zP0iSiKjGeFGpKm11jEeFyoTuM8jtOUntuW&#10;l7f75nD8qaq3M7q5mzeoixyI5Zf/Ho4qq8lC79/s6N9d/eN6s1FPKQUdaKpId8enT0+6FZ/q+69o&#10;8qpu/vgFNF9u6se7ea3v5sR8vJSezmeb/+zQ1UQyc9OYm0/mpjlufqglFVU1/vn5WC/Xsp70YvU2&#10;XR9gSCPvDcBksRCZHfsS8JlO090A4F8GUxQRi2OJJcvjLMrzLpZJynMmuAKzoKwKAcOexWcFJXWN&#10;gQ8zyr0CEmkrc7d42plbAvzZyW1fHul3VCjdzoCfrcgKtKd60MMtUP1Yy2zHHhkx3Nqnm52byxZl&#10;CI+8Joe57mV5bk6n8SaTuarMGEUocGA2OY3Y9+KG2ilJYtuORLd3NzvqBrxkUULmLDel4sx2fYQw&#10;2qy3kGQ8i6K24BOKHI5fNxV11mb3W7XEBCqnPUo4NA+fftg0sy8ljXP5RxFys1+VOlUDr7PKqspy&#10;6PdLMNMWyeRPO0V+KOivLkFnpt9VUtrZX0bqlwtdGyXyIDjQaCP40Cn2R/LN9e5of7+DuJYvkVOD&#10;am1LURq4mppvyVEoE0o+ORyVJKO6XMzRNBI0t6It6Agta+woJSnljL+Jo+ikiaOgx8RR6Nl+pUjK&#10;TCgrJxyVJLuKoyLJ8jyZOEqjbpKj1AvlJEeHrR7PczSHEtDnKNIgCK/iKGNxpJTZSY5OHJ04eoGF&#10;5xmOMg9H2bUczVP81eaWSdWl5a1V9Lt6vlFxzXVajk7LUZ/9j1TdHKacEzHKr6VoyuM8nijqWKAm&#10;ik4Wo0F+kmekKPwNJxQV11JUZEUMY/1kMJoWo7ANT4run6PowmNyQlHpGrlqMSqSVGQTRSd7Eblv&#10;Jor+ORS1rm4paaVvVBllB1OUF5mAt0U5R4ucIXajS1IWwfsN/w75XRhLcuSFnIWL6s09L6YmcI7q&#10;itAwah2g7pJQNgKVbJ92F46mLDTKZDUZzFUV52TstN7kMlf35YMzdl+N6n7TDtIfM8StmDCJsByk&#10;OSJJTmSp7IrBRI2h5JqIFFYkFHPSIypjPNFBDIgdyJRZaRSi6poQUVVFXkFUXdbLRG0zdlpvCGqu&#10;HaK63WQymKubcSIqIWiDEjphFd9UJEPuiTZC2iUeGMZZjIAiLVF9RHUlqjsCR5WoryaqbtXLRG0z&#10;TkS12sdVIUchS1RPyJGK6xssUVnB8oypGE9WcJalfYnqEjVLeGrEwKhEVRV5hURt+WfaY0SeuZ6q&#10;vm7rTS5zdQUlG5qx++pJ9XUDFb8tieqJO8oviztCLHaaZlBtaQk6ERWaWJd67hp1KP8momIsnQbx&#10;BixRC0/wEdIuUX1FmmUx00TNo6To+03NSCVjEi9YlP8VjEm6Im8rUTutN3Q2V1eiDs44SdRA1qiF&#10;JwIJaZcQNQHzIqi7UqJmWVr0Q3ldogrYhIXZ2DCm6qsr8rZE7bTeENRcXaIOzjgRNRSieuKQisvi&#10;kBBln1pjUsaKKJNBEm08L3OsvtgrVyRyIhjZ6qsr8gqitsbcLltOVN82Y6f1hqDm2iGq200mg7m6&#10;Gbuvntao3+watfBEIyHtEomapzyBNisFaoqdMYrnfp7GkL7YboriR+aprsjb8rTTekM7c3XpNzjj&#10;xNNQBKonJKmQS8jBRl/O04ILbfRNYoGIByKin6hJIrh6PjJRdUXelqid1huCmqtL1MEZJ6KGQlRP&#10;YFIhd4sOJmoc4cwNOpSBjL4izRPENpwlKiKUYhiIx5eouiJvS9RO6w1BzdUl6uCME1FDIaonMKm4&#10;MDApg+WDw3hMRGVFnMOl2iWq40YtIs4jeTLEKBJV1wSBSboiryDqFW7UTusNQc3VJergjBNRQyGq&#10;JzCpuCwwCXG+CQSpJGpawFL0DE+ZKDIYiUeTqC1RTU3elqnmrUqjMBQ1V5eqw3NOXA2Fq57YpOKy&#10;45CwMo2NPYmnWITKn/tXqSwXca6E9ihCVZtgKdpX1+QVXG3tuV26PGP4NW8dwNVOTxk2m6vL6u7L&#10;0a1TZD7tlCBgD99UeFLhCU9CGsbS4JWqc7wgjwoe9xeqdrv0dHQZAn61SmFIZ64u+Zzj3cxjc3Wz&#10;hcXRQI8XjMEos3fGPc91iB911tQ4BDXB+a34I+cufQ4uTrwlcxGtWDmectE7yCzF6a7YqaT2vCU4&#10;ALgf/WBObv2zD3eVB/7aUI4gzngFwNb71gF4gP/tLMBpBEuEwhfoIs6sZ5FI4VencSU3Nb45wNJQ&#10;SeIlFICt26YD8ADHzVmABaLxYyyJwWARJRyGzR7CBcuYQKDUOAjbsRsKwtbe30F4gMX/LMI4Fiul&#10;g3xoji7gh1N+vnYFVOA5jYBxALZjNxSArZ24A/AAS/FZgEWO1ZiKmAC6OXaZdynMIRlSsiuPg7Ad&#10;u6EgbA2MHYQHmBjPIsyESAUME5LDWcSx/bsLMbZKZmmEMTAOxHb0hgKxtUt1IB5gmToPcR4nGYcC&#10;R9N0Esc4IKILcU6692ialh29oSBsrRkdhAfYM84ijHMGMkbnFxDCkMJZf09HDF07GY3DdvCGgTDD&#10;8Sz6JAkHYUp90WJ1FmFWpPDaKgeugAM3UaGPraoFl22E+Maxpmk7eoOAuEhxUtYpxir5epA5gsez&#10;CAsiqU8XtPeqO1GLPB5xomZ2AAcDsmfJRCBbvfP8ZzPOMpknWYLNshJkgZNQ074pemSQw7JsEZoe&#10;y4dKfgWTc5yipE/s4nkSs/7erZFBDsy6xSIIRnW2U0ci2264gsci4qCuWhvzmGKqpAxsJXKaRGkC&#10;rXucdRMLzLwlv47ngdh2wxUQcxxpYNbGApbKNJWTYwsxjzII5NEMXCwwCxcjM4QHY9sNV2AML1MO&#10;74PSuXJsoo17fiaGzfIyImskHltdIwilK2aRR+eSqddLYxEX0NlQLvRqEWUZy6Qm2/IYqyt4o6CT&#10;jYRxYEYuFnkWT8DYdsMVPAZLOfRqzeOiELjHiGkxjnmW5qM5m/B1WD1+Q6Gxz1TNItsN10AsRIKQ&#10;WAUxImPpuKEOxLBzUhjAWCwOzszlM1Vrm8XzgVlnF8cxY3lkPunLsJ1IqTgtixFlyaWIGGmmDsvO&#10;hTnZZ6ym1OulMT7DLGKcVaKkccQSFbnTYpwlMFeP5lOENzOsmZq6+lSpbo19V8zUWPnCXK0DA+I8&#10;5/2vOeO7lJDWY83UPCwbFyZVdLUHYtsNV0Acp4i+w+wsWcwLLJV7OjWC9rCBZTSdmlvbThAKFxks&#10;PTYulfziXE16sg67lMf96uVwhBMwVJy1MzlnsHmMRlxrzQkGVE/cJYFqO+I8dR1Qsfcz00f+cR+o&#10;UNowX4+GqrXfBIOqR+QSqlb1GIQqfZdSqVEMnx3AVqTuaggOfyjLo4Ealt2K0PMIWZV8yfxLVBXK&#10;z+9HdVyqWhNNKFSNPYtcoIrkS1B1qJpgddOPkx2ZqtYoEwyonlUtgTpgWduTqoaqXlTHpaodocGg&#10;6vEcEKpWEl0qVbEpBbvx/1JS1Y7QYED1uAoIVCuIBoHqSlUvqqNSFZNISCYngs+/rEHylVIV+0zy&#10;fgDGuFIVPuXQQPV45wlru7y7mKpeVMelanBmpdi/rEHydVTN6cN4Pd/syEy1s04wQtVvKoTF/hJM&#10;HaHqBXVcotpZJxRQyaXWN/Jj+lVfBXjeH+ssatqVKuKUU/Xtj9b6OzJRrSYfCqbYx+PDVG3vGYyp&#10;Q1QvqOMS1WryoYAq/CYlJF85+woR4XhH+rXD1HFBDc6kJDzxTjT72o4YpPy2s68X01Et+u34DIao&#10;/gWNsKrFhZhiU4j64LND03EhDc6chFOEfAJVHS50jUD1YTrq1NvqBkHQFD5Ou0D9fVXuq5lMuUSS&#10;Km9bT36KKMdOajyiQMOYiShSK94xTm+0dcHxjaYqJOu39ZfqY0136sg1FbYhG4Jqtk+7B7PZ0tAw&#10;k9fkMFdVnpszxWmvpGGgYJPJXPXLEfMFxQaFXpAVWEU4VeTZgt1aXJ7fBc5U2FxVxelwBFlv07Xd&#10;Vi4+f1ov/lX94Xa0iMgt2B0YBgQ1mlBRRD9p34F6j32QxHDbq5d0C+/WS+WXZpbznS5r0UdxsakP&#10;lXrBN30kZqjH7cmwDrXUt1PeZaYbl1OnEx8isHXcXpcSb/5dQVRT1eWFiU9RxdDgmYlPlTZk4rM5&#10;nyegraGcDHC6iqW2IXOX4nZiteV7ZgrsUcIRpWo2dxAwMwwep9hv2p+AMEl032Vq0J1+Xp4Q7UQ1&#10;YGrGt9kpxki1/qL8L0oJVY2B2Qz2ps3TFLisFsffqiVOq3x601OBbx73D7ePD3upKjw05X61Xnwo&#10;j6X7f9w/7m8rXq/qzX3VvP8/AAAA//8DAFBLAwQUAAYACAAAACEA0oUdvt0AAAAFAQAADwAAAGRy&#10;cy9kb3ducmV2LnhtbEyPQUvDQBCF74L/YRnBm92s0tDGbEop6qkItoL0Ns1Ok9DsbMhuk/Tfu3rR&#10;y8DjPd77Jl9NthUD9b5xrEHNEhDEpTMNVxo+968PCxA+IBtsHZOGK3lYFbc3OWbGjfxBwy5UIpaw&#10;z1BDHUKXSenLmiz6meuIo3dyvcUQZV9J0+MYy20rH5MklRYbjgs1drSpqTzvLlbD24jj+km9DNvz&#10;aXM97OfvX1tFWt/fTetnEIGm8BeGH/yIDkVkOroLGy9aDfGR8Hujt1yoFMRRQzpPFcgil//pi28A&#10;AAD//wMAUEsBAi0AFAAGAAgAAAAhALaDOJL+AAAA4QEAABMAAAAAAAAAAAAAAAAAAAAAAFtDb250&#10;ZW50X1R5cGVzXS54bWxQSwECLQAUAAYACAAAACEAOP0h/9YAAACUAQAACwAAAAAAAAAAAAAAAAAv&#10;AQAAX3JlbHMvLnJlbHNQSwECLQAUAAYACAAAACEAYdVE33IOAAAKrQAADgAAAAAAAAAAAAAAAAAu&#10;AgAAZHJzL2Uyb0RvYy54bWxQSwECLQAUAAYACAAAACEA0oUdvt0AAAAFAQAADwAAAAAAAAAAAAAA&#10;AADMEAAAZHJzL2Rvd25yZXYueG1sUEsFBgAAAAAEAAQA8wAAANYRAAAAAA==&#10;">
                <v:rect id="Rectangle 4055" o:spid="_x0000_s1027" style="position:absolute;left:61569;top:39972;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GhP8cA&#10;AADdAAAADwAAAGRycy9kb3ducmV2LnhtbESPQWvCQBSE74L/YXmF3nTTohJTVxGr6LE1BdvbI/ua&#10;hO6+Ddmtif56tyD0OMzMN8xi1VsjztT62rGCp3ECgrhwuuZSwUe+G6UgfEDWaByTggt5WC2HgwVm&#10;2nX8TudjKEWEsM9QQRVCk0npi4os+rFriKP37VqLIcq2lLrFLsKtkc9JMpMWa44LFTa0qaj4Of5a&#10;Bfu0WX8e3LUrzfZrf3o7zV/zeVDq8aFfv4AI1If/8L190AomyX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RoT/HAAAA3QAAAA8AAAAAAAAAAAAAAAAAmAIAAGRy&#10;cy9kb3ducmV2LnhtbFBLBQYAAAAABAAEAPUAAACMAwAAAAA=&#10;" filled="f" stroked="f">
                  <v:textbox inset="0,0,0,0">
                    <w:txbxContent>
                      <w:p w:rsidR="0023438A" w:rsidRDefault="00A02C86">
                        <w:pPr>
                          <w:spacing w:after="160" w:line="259" w:lineRule="auto"/>
                          <w:ind w:left="0" w:firstLine="0"/>
                        </w:pPr>
                        <w:r>
                          <w:t xml:space="preserve">  </w:t>
                        </w:r>
                      </w:p>
                    </w:txbxContent>
                  </v:textbox>
                </v:rect>
                <v:shape id="Shape 143377" o:spid="_x0000_s1028" style="position:absolute;left:3901;top:18470;width:56281;height:92;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Eg48MA&#10;AADfAAAADwAAAGRycy9kb3ducmV2LnhtbERPz2vCMBS+D/wfwhO8lJlq3RydUWTg9Lquh+32aJ5t&#10;WfMSmsx2/70RhB0/vt+b3Wg6caHet5YVLOYpCOLK6pZrBeXn4fEFhA/IGjvLpOCPPOy2k4cN5toO&#10;/EGXItQihrDPUUETgsul9FVDBv3cOuLInW1vMETY11L3OMRw08llmj5Lgy3HhgYdvTVU/RS/RsGT&#10;/xrK4/n9kJX8nQRXJA6zRKnZdNy/ggg0hn/x3X3Scf4qy9ZruP2JAOT2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Eg48MAAADfAAAADwAAAAAAAAAAAAAAAACYAgAAZHJzL2Rv&#10;d25yZXYueG1sUEsFBgAAAAAEAAQA9QAAAIgDAAAAAA==&#10;" path="m,l5628132,r,9144l,9144,,e" fillcolor="#d9d9d9" stroked="f" strokeweight="0">
                  <v:stroke miterlimit="83231f" joinstyle="miter"/>
                  <v:path arrowok="t" textboxrect="0,0,5628132,9144"/>
                </v:shape>
                <v:shape id="Shape 143378" o:spid="_x0000_s1029" style="position:absolute;left:3901;top:16032;width:56281;height:91;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60kcMA&#10;AADfAAAADwAAAGRycy9kb3ducmV2LnhtbERPTUvDQBC9C/6HZQQvod1otJa02yJC1atpDvU2ZKdJ&#10;MDu7ZNcm/nvnIHh8vO/tfnaDutAYe88G7pY5KOLG255bA/XxsFiDignZ4uCZDPxQhP3u+mqLpfUT&#10;f9ClSq2SEI4lGuhSCqXWsenIYVz6QCzc2Y8Ok8Cx1XbEScLdoO/zfKUd9iwNHQZ66aj5qr6dgcd4&#10;muq38+uhqPkzS6HKAhaZMbc38/MGVKI5/Yv/3O9W5j8UxZMMlj8CQO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860kcMAAADfAAAADwAAAAAAAAAAAAAAAACYAgAAZHJzL2Rv&#10;d25yZXYueG1sUEsFBgAAAAAEAAQA9QAAAIgDAAAAAA==&#10;" path="m,l5628132,r,9144l,9144,,e" fillcolor="#d9d9d9" stroked="f" strokeweight="0">
                  <v:stroke miterlimit="83231f" joinstyle="miter"/>
                  <v:path arrowok="t" textboxrect="0,0,5628132,9144"/>
                </v:shape>
                <v:shape id="Shape 143379" o:spid="_x0000_s1030" style="position:absolute;left:3901;top:13578;width:56281;height:92;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IRCsQA&#10;AADfAAAADwAAAGRycy9kb3ducmV2LnhtbERPz0/CMBS+m/A/NM/EywIdTEAnhRAT0KtjB7y9rI9t&#10;cX1t1srmf09NTDx++X5vdqPpxJV631pWMJ+lIIgrq1uuFZSnw/QJhA/IGjvLpOCHPOy2k7sN5toO&#10;/EHXItQihrDPUUETgsul9FVDBv3MOuLIXWxvMETY11L3OMRw08lFmq6kwZZjQ4OOXhuqvopvo2Dp&#10;z0P5djkespI/k+CKxGGWKPVwP+5fQAQaw7/4z/2u4/zHLFs/w++fCEB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CEQrEAAAA3wAAAA8AAAAAAAAAAAAAAAAAmAIAAGRycy9k&#10;b3ducmV2LnhtbFBLBQYAAAAABAAEAPUAAACJAwAAAAA=&#10;" path="m,l5628132,r,9144l,9144,,e" fillcolor="#d9d9d9" stroked="f" strokeweight="0">
                  <v:stroke miterlimit="83231f" joinstyle="miter"/>
                  <v:path arrowok="t" textboxrect="0,0,5628132,9144"/>
                </v:shape>
                <v:shape id="Shape 143380" o:spid="_x0000_s1031" style="position:absolute;left:3901;top:11140;width:56281;height:91;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3IsMMA&#10;AADfAAAADwAAAGRycy9kb3ducmV2LnhtbERPTUvDQBC9C/0PyxS8hHZTo1Jit6UIVa/GHOxtyE6T&#10;YHZ2ya5N/PfOQfD4eN+7w+wGdaUx9p4NbNY5KOLG255bA/XHabUFFROyxcEzGfihCIf94maHpfUT&#10;v9O1Sq2SEI4lGuhSCqXWsenIYVz7QCzcxY8Ok8Cx1XbEScLdoO/y/FE77FkaOgz03FHzVX07Aw/x&#10;c6pfLy+nouZzlkKVBSwyY26X8/EJVKI5/Yv/3G9W5t8XxVYeyB8BoP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3IsMMAAADfAAAADwAAAAAAAAAAAAAAAACYAgAAZHJzL2Rv&#10;d25yZXYueG1sUEsFBgAAAAAEAAQA9QAAAIgDAAAAAA==&#10;" path="m,l5628132,r,9144l,9144,,e" fillcolor="#d9d9d9" stroked="f" strokeweight="0">
                  <v:stroke miterlimit="83231f" joinstyle="miter"/>
                  <v:path arrowok="t" textboxrect="0,0,5628132,9144"/>
                </v:shape>
                <v:shape id="Shape 143381" o:spid="_x0000_s1032" style="position:absolute;left:3901;top:8686;width:56281;height:92;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FtK8MA&#10;AADfAAAADwAAAGRycy9kb3ducmV2LnhtbERPz2vCMBS+C/4P4Qm7lJlq3ZDOKCI4va7rYbs9mmdb&#10;1ryEJtruv18EYceP7/dmN5pO3Kj3rWUFi3kKgriyuuVaQfl5fF6D8AFZY2eZFPySh912Otlgru3A&#10;H3QrQi1iCPscFTQhuFxKXzVk0M+tI47cxfYGQ4R9LXWPQww3nVym6as02HJsaNDRoaHqp7gaBS/+&#10;ayhPl/djVvJ3ElyROMwSpZ5m4/4NRKAx/Isf7rOO81dZtl7A/U8E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FtK8MAAADfAAAADwAAAAAAAAAAAAAAAACYAgAAZHJzL2Rv&#10;d25yZXYueG1sUEsFBgAAAAAEAAQA9QAAAIgDAAAAAA==&#10;" path="m,l5628132,r,9144l,9144,,e" fillcolor="#d9d9d9" stroked="f" strokeweight="0">
                  <v:stroke miterlimit="83231f" joinstyle="miter"/>
                  <v:path arrowok="t" textboxrect="0,0,5628132,9144"/>
                </v:shape>
                <v:shape id="Shape 143382" o:spid="_x0000_s1033" style="position:absolute;left:3901;top:6248;width:56281;height:91;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zXMMA&#10;AADfAAAADwAAAGRycy9kb3ducmV2LnhtbERPz2vCMBS+D/wfwhO8FE1ntyHVKEPQ7bquh3l7NM+2&#10;2LyEJtr635vBYMeP7/dmN5pO3Kj3rWUFz4sUBHFldcu1gvL7MF+B8AFZY2eZFNzJw247edpgru3A&#10;X3QrQi1iCPscFTQhuFxKXzVk0C+sI47c2fYGQ4R9LXWPQww3nVym6Zs02HJsaNDRvqHqUlyNglf/&#10;M5Qf5+MhK/mUBFckDrNEqdl0fF+DCDSGf/Gf+1PH+S9ZtlrC758IQG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zXMMAAADfAAAADwAAAAAAAAAAAAAAAACYAgAAZHJzL2Rv&#10;d25yZXYueG1sUEsFBgAAAAAEAAQA9QAAAIgDAAAAAA==&#10;" path="m,l5628132,r,9144l,9144,,e" fillcolor="#d9d9d9" stroked="f" strokeweight="0">
                  <v:stroke miterlimit="83231f" joinstyle="miter"/>
                  <v:path arrowok="t" textboxrect="0,0,5628132,9144"/>
                </v:shape>
                <v:shape id="Shape 143383" o:spid="_x0000_s1034" style="position:absolute;left:3901;top:3794;width:56281;height:92;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9Wx8MA&#10;AADfAAAADwAAAGRycy9kb3ducmV2LnhtbERPz0vDMBS+C/4P4QleypbOuDHqsiGD6a52Pczbo3lr&#10;i81LaOJa/3sjDDx+fL83u8n24kpD6BxrWMxzEMS1Mx03GqrTYbYGESKywd4xafihALvt/d0GC+NG&#10;/qBrGRuRQjgUqKGN0RdShroli2HuPHHiLm6wGBMcGmkGHFO47eVTnq+kxY5TQ4ue9i3VX+W31bAM&#10;57F6v7wdVMWfWfRl5lFlWj8+TK8vICJN8V98cx9Nmv+s1FrB358E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9Wx8MAAADfAAAADwAAAAAAAAAAAAAAAACYAgAAZHJzL2Rv&#10;d25yZXYueG1sUEsFBgAAAAAEAAQA9QAAAIgDAAAAAA==&#10;" path="m,l5628132,r,9144l,9144,,e" fillcolor="#d9d9d9" stroked="f" strokeweight="0">
                  <v:stroke miterlimit="83231f" joinstyle="miter"/>
                  <v:path arrowok="t" textboxrect="0,0,5628132,9144"/>
                </v:shape>
                <v:shape id="Shape 143384" o:spid="_x0000_s1035" style="position:absolute;left:3901;top:1356;width:56281;height:91;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bOs8MA&#10;AADfAAAADwAAAGRycy9kb3ducmV2LnhtbERPz2vCMBS+D/wfwhO8lJlqVaQzigzcvK724G6P5tmW&#10;NS+hyWz33y/CYMeP7/fuMJpO3Kn3rWUFi3kKgriyuuVaQXk5PW9B+ICssbNMCn7Iw2E/edphru3A&#10;H3QvQi1iCPscFTQhuFxKXzVk0M+tI47czfYGQ4R9LXWPQww3nVym6UYabDk2NOjotaHqq/g2Ctb+&#10;OpTvt7dTVvJnElyROMwSpWbT8fgCItAY/sV/7rOO81dZtl3B408EIP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bOs8MAAADfAAAADwAAAAAAAAAAAAAAAACYAgAAZHJzL2Rv&#10;d25yZXYueG1sUEsFBgAAAAAEAAQA9QAAAIgDAAAAAA==&#10;" path="m,l5628132,r,9144l,9144,,e" fillcolor="#d9d9d9" stroked="f" strokeweight="0">
                  <v:stroke miterlimit="83231f" joinstyle="miter"/>
                  <v:path arrowok="t" textboxrect="0,0,5628132,9144"/>
                </v:shape>
                <v:shape id="Shape 143385" o:spid="_x0000_s1036" style="position:absolute;left:29733;top:19812;width:1097;height:1158;visibility:visible;mso-wrap-style:square;v-text-anchor:top" coordsize="109728,115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sgmsMA&#10;AADfAAAADwAAAGRycy9kb3ducmV2LnhtbERPTWvCQBC9C/6HZYReRDfWqiG6SikI4q1R0OOYHZNo&#10;djbNbjX++25B8Ph434tVaypxo8aVlhWMhhEI4szqknMF+916EINwHlljZZkUPMjBatntLDDR9s7f&#10;dEt9LkIIuwQVFN7XiZQuK8igG9qaOHBn2xj0ATa51A3eQ7ip5HsUTaXBkkNDgTV9FZRd01+joM/b&#10;/onao9nsfXVJD+60/YlnSr312s85CE+tf4mf7o0O8z/G43gC/38C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sgmsMAAADfAAAADwAAAAAAAAAAAAAAAACYAgAAZHJzL2Rv&#10;d25yZXYueG1sUEsFBgAAAAAEAAQA9QAAAIgDAAAAAA==&#10;" path="m,l109728,r,115824l,115824,,e" fillcolor="#f79646" stroked="f" strokeweight="0">
                  <v:stroke miterlimit="83231f" joinstyle="miter"/>
                  <v:path arrowok="t" textboxrect="0,0,109728,115824"/>
                </v:shape>
                <v:shape id="Shape 143386" o:spid="_x0000_s1037" style="position:absolute;left:43799;top:19522;width:1113;height:1448;visibility:visible;mso-wrap-style:square;v-text-anchor:top" coordsize="111252,144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xZwsUA&#10;AADfAAAADwAAAGRycy9kb3ducmV2LnhtbERPW2vCMBR+F/wP4Qh7EU29IFqNMh3DISJTt/dDc2zL&#10;mpPSpFr36xdB2OPHd1+sGlOIK1Uut6xg0I9AECdW55wq+Dq/96YgnEfWWFgmBXdysFq2WwuMtb3x&#10;ka4nn4oQwi5GBZn3ZSylSzIy6Pq2JA7cxVYGfYBVKnWFtxBuCjmMook0mHNoyLCkTUbJz6k2Crpv&#10;37vx52y2NbXdS30/Htb4e1DqpdO8zkF4avy/+On+0GH+eDSaTuDxJwC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nCxQAAAN8AAAAPAAAAAAAAAAAAAAAAAJgCAABkcnMv&#10;ZG93bnJldi54bWxQSwUGAAAAAAQABAD1AAAAigMAAAAA&#10;" path="m,l111252,r,144780l,144780,,e" fillcolor="#f79646" stroked="f" strokeweight="0">
                  <v:stroke miterlimit="83231f" joinstyle="miter"/>
                  <v:path arrowok="t" textboxrect="0,0,111252,144780"/>
                </v:shape>
                <v:shape id="Shape 143387" o:spid="_x0000_s1038" style="position:absolute;left:12146;top:19522;width:1097;height:1448;visibility:visible;mso-wrap-style:square;v-text-anchor:top" coordsize="109728,144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HMccA&#10;AADfAAAADwAAAGRycy9kb3ducmV2LnhtbERPy2oCMRTdF/yHcIVuSs201gdTo4hoaRdqq6Lby+R2&#10;MnVyM0yijn/fFIQuD+c9mjS2FGeqfeFYwVMnAUGcOV1wrmC3XTwOQfiArLF0TAqu5GEybt2NMNXu&#10;wl903oRcxBD2KSowIVSplD4zZNF3XEUcuW9XWwwR1rnUNV5iuC3lc5L0pcWCY4PBimaGsuPmZBXM&#10;H96O+X51WK4/eqfebLX++TT9rVL37Wb6CiJQE/7FN/e7jvNfut3hAP7+RABy/A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8wBzHHAAAA3wAAAA8AAAAAAAAAAAAAAAAAmAIAAGRy&#10;cy9kb3ducmV2LnhtbFBLBQYAAAAABAAEAPUAAACMAwAAAAA=&#10;" path="m,l109728,r,144780l,144780,,e" fillcolor="#f79646" stroked="f" strokeweight="0">
                  <v:stroke miterlimit="83231f" joinstyle="miter"/>
                  <v:path arrowok="t" textboxrect="0,0,109728,144780"/>
                </v:shape>
                <v:shape id="Shape 143388" o:spid="_x0000_s1039" style="position:absolute;left:19187;top:19217;width:1097;height:1753;visibility:visible;mso-wrap-style:square;v-text-anchor:top" coordsize="109728,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gMPcQA&#10;AADfAAAADwAAAGRycy9kb3ducmV2LnhtbERPTUvDQBC9C/6HZQRvdlMrUtNsioiiIlJMe+hxyE6z&#10;odnZsLu28d87B8Hj431X68kP6kQx9YENzGcFKOI22J47A7vty80SVMrIFofAZOCHEqzry4sKSxvO&#10;/EWnJndKQjiVaMDlPJZap9aRxzQLI7FwhxA9ZoGx0zbiWcL9oG+L4l577FkaHI705Kg9Nt/eQOMe&#10;dvPn18bmz7jd7D/6jeZ3bcz11fS4ApVpyv/iP/eblfl3i8VSBssfAa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4DD3EAAAA3wAAAA8AAAAAAAAAAAAAAAAAmAIAAGRycy9k&#10;b3ducmV2LnhtbFBLBQYAAAAABAAEAPUAAACJAwAAAAA=&#10;" path="m,l109728,r,175260l,175260,,e" fillcolor="#f79646" stroked="f" strokeweight="0">
                  <v:stroke miterlimit="83231f" joinstyle="miter"/>
                  <v:path arrowok="t" textboxrect="0,0,109728,175260"/>
                </v:shape>
                <v:shape id="Shape 143389" o:spid="_x0000_s1040" style="position:absolute;left:15666;top:19217;width:1098;height:1753;visibility:visible;mso-wrap-style:square;v-text-anchor:top" coordsize="109728,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SppsQA&#10;AADfAAAADwAAAGRycy9kb3ducmV2LnhtbERPy2oCMRTdF/yHcAvd1YwPio5GEWlRKSIdXXR5mVwn&#10;Qyc3Q5Lq+PemUHB5OO/5srONuJAPtWMFg34Ggrh0uuZKwen48ToBESKyxsYxKbhRgOWi9zTHXLsr&#10;f9GliJVIIRxyVGBibHMpQ2nIYui7ljhxZ+ctxgR9JbXHawq3jRxm2Zu0WHNqMNjS2lD5U/xaBYWZ&#10;ngbvm0LHvT8evj/rg+SdVOrluVvNQETq4kP8797qNH88Gk2m8PcnA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0qabEAAAA3wAAAA8AAAAAAAAAAAAAAAAAmAIAAGRycy9k&#10;b3ducmV2LnhtbFBLBQYAAAAABAAEAPUAAACJAwAAAAA=&#10;" path="m,l109728,r,175260l,175260,,e" fillcolor="#f79646" stroked="f" strokeweight="0">
                  <v:stroke miterlimit="83231f" joinstyle="miter"/>
                  <v:path arrowok="t" textboxrect="0,0,109728,175260"/>
                </v:shape>
                <v:shape id="Shape 143390" o:spid="_x0000_s1041" style="position:absolute;left:36774;top:18059;width:1097;height:2911;visibility:visible;mso-wrap-style:square;v-text-anchor:top" coordsize="109728,29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ZxxcQA&#10;AADfAAAADwAAAGRycy9kb3ducmV2LnhtbERPTU/CQBC9m/gfNmPCTbYWQ7SyEANBSeRCNeE6dodu&#10;tTvbdBeo/545mHB8ed+zxeBbdaI+NoENPIwzUMRVsA3XBr4+1/dPoGJCttgGJgN/FGExv72ZYWHD&#10;mXd0KlOtJIRjgQZcSl2hdawceYzj0BELdwi9xySwr7Xt8SzhvtV5lk21x4alwWFHS0fVb3n0Buj7&#10;+JH9TLd5/l5uV4e3hl3c740Z3Q2vL6ASDekq/ndvrMx/nEye5YH8EQB6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2ccXEAAAA3wAAAA8AAAAAAAAAAAAAAAAAmAIAAGRycy9k&#10;b3ducmV2LnhtbFBLBQYAAAAABAAEAPUAAACJAwAAAAA=&#10;" path="m,l109728,r,291084l,291084,,e" fillcolor="#f79646" stroked="f" strokeweight="0">
                  <v:stroke miterlimit="83231f" joinstyle="miter"/>
                  <v:path arrowok="t" textboxrect="0,0,109728,291084"/>
                </v:shape>
                <v:shape id="Shape 143391" o:spid="_x0000_s1042" style="position:absolute;left:50840;top:17769;width:1097;height:3201;visibility:visible;mso-wrap-style:square;v-text-anchor:top" coordsize="109728,32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KQ18UA&#10;AADfAAAADwAAAGRycy9kb3ducmV2LnhtbERPy2rCQBTdF/yH4Qrd1YkPNI2OIkUboYviY9HlJXNN&#10;gpk7Q2bU9O8dodDl4bwXq8404katry0rGA4SEMSF1TWXCk7H7VsKwgdkjY1lUvBLHlbL3ssCM23v&#10;vKfbIZQihrDPUEEVgsuk9EVFBv3AOuLInW1rMETYllK3eI/hppGjJJlKgzXHhgodfVRUXA5Xo8B9&#10;/YzyzXQzyT/d9ynfY7qb6VSp1363noMI1IV/8Z97p+P8yXj8PoTnnwh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cpDXxQAAAN8AAAAPAAAAAAAAAAAAAAAAAJgCAABkcnMv&#10;ZG93bnJldi54bWxQSwUGAAAAAAQABAD1AAAAigMAAAAA&#10;" path="m,l109728,r,320039l,320039,,e" fillcolor="#f79646" stroked="f" strokeweight="0">
                  <v:stroke miterlimit="83231f" joinstyle="miter"/>
                  <v:path arrowok="t" textboxrect="0,0,109728,320039"/>
                </v:shape>
                <v:shape id="Shape 143392" o:spid="_x0000_s1043" style="position:absolute;left:57866;top:17190;width:1112;height:3780;visibility:visible;mso-wrap-style:square;v-text-anchor:top" coordsize="111252,377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WUMEA&#10;AADfAAAADwAAAGRycy9kb3ducmV2LnhtbERPXWvCMBR9H/gfwhV8m6l1iFajiEzwabIq+Hpprm2x&#10;uSlJ1tZ/bwaDPR7O92Y3mEZ05HxtWcFsmoAgLqyuuVRwvRzflyB8QNbYWCYFT/Kw247eNphp2/M3&#10;dXkoRQxhn6GCKoQ2k9IXFRn0U9sSR+5uncEQoSuldtjHcNPINEkW0mDNsaHClg4VFY/8xygwt/6T&#10;sB66Yv/lcpsuzhc+nZWajIf9GkSgIfyL/9wnHed/zOerFH7/RABy+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0yFlDBAAAA3wAAAA8AAAAAAAAAAAAAAAAAmAIAAGRycy9kb3du&#10;cmV2LnhtbFBLBQYAAAAABAAEAPUAAACGAwAAAAA=&#10;" path="m,l111252,r,377951l,377951,,e" fillcolor="#f79646" stroked="f" strokeweight="0">
                  <v:stroke miterlimit="83231f" joinstyle="miter"/>
                  <v:path arrowok="t" textboxrect="0,0,111252,377951"/>
                </v:shape>
                <v:shape id="Shape 143393" o:spid="_x0000_s1044" style="position:absolute;left:8625;top:16885;width:1113;height:4085;visibility:visible;mso-wrap-style:square;v-text-anchor:top" coordsize="111252,408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r1n8UA&#10;AADfAAAADwAAAGRycy9kb3ducmV2LnhtbERPy2rCQBTdF/oPwy24q5M20sboKCVFKd35QLfXzDUJ&#10;Zu7EzBiTv+8UCl0eznu+7E0tOmpdZVnByzgCQZxbXXGhYL9bPScgnEfWWFsmBQM5WC4eH+aYanvn&#10;DXVbX4gQwi5FBaX3TSqly0sy6Ma2IQ7c2bYGfYBtIXWL9xBuavkaRW/SYMWhocSGspLyy/ZmFCSH&#10;7P36fV1/JqvzEB+GbpodT16p0VP/MQPhqff/4j/3lw7zJ3E8jeH3TwA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qvWfxQAAAN8AAAAPAAAAAAAAAAAAAAAAAJgCAABkcnMv&#10;ZG93bnJldi54bWxQSwUGAAAAAAQABAD1AAAAigMAAAAA&#10;" path="m,l111252,r,408432l,408432,,e" fillcolor="#f79646" stroked="f" strokeweight="0">
                  <v:stroke miterlimit="83231f" joinstyle="miter"/>
                  <v:path arrowok="t" textboxrect="0,0,111252,408432"/>
                </v:shape>
                <v:shape id="Shape 143394" o:spid="_x0000_s1045" style="position:absolute;left:22692;top:15438;width:1112;height:5532;visibility:visible;mso-wrap-style:square;v-text-anchor:top" coordsize="111252,553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4YvMMA&#10;AADfAAAADwAAAGRycy9kb3ducmV2LnhtbERPW2vCMBR+F/YfwhH2pqkXZKtGGYONgROvP+DQHJti&#10;c1KSrO3+/TIQfPz47qtNb2vRkg+VYwWTcQaCuHC64lLB5fwxegERIrLG2jEp+KUAm/XTYIW5dh0f&#10;qT3FUqQQDjkqMDE2uZShMGQxjF1DnLir8xZjgr6U2mOXwm0tp1m2kBYrTg0GG3o3VNxOP1bBbrFr&#10;cfrZbrvD+VDuvzuzPfpeqedh/7YEEamPD/Hd/aXT/Pls9jqH/z8J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4YvMMAAADfAAAADwAAAAAAAAAAAAAAAACYAgAAZHJzL2Rv&#10;d25yZXYueG1sUEsFBgAAAAAEAAQA9QAAAIgDAAAAAA==&#10;" path="m,l111252,r,553212l,553212,,e" fillcolor="#f79646" stroked="f" strokeweight="0">
                  <v:stroke miterlimit="83231f" joinstyle="miter"/>
                  <v:path arrowok="t" textboxrect="0,0,111252,553212"/>
                </v:shape>
                <v:shape id="Shape 143395" o:spid="_x0000_s1046" style="position:absolute;left:40279;top:13685;width:1112;height:7285;visibility:visible;mso-wrap-style:square;v-text-anchor:top" coordsize="111252,728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HVMYA&#10;AADfAAAADwAAAGRycy9kb3ducmV2LnhtbESPTYvCMBCG78L+hzALXmRNq1a0GmUpCF4W/FjvQzO2&#10;1WZSmqzWf28WBI8P77zPzCzXnanFjVpXWVYQDyMQxLnVFRcKfo+brxkI55E11pZJwYMcrFcfvSWm&#10;2t55T7eDL0SQsEtRQel9k0rp8pIMuqFtiEN2tq1BH7AtpG7xHuSmlqMomkqDFYcNJTaUlZRfD38m&#10;WLKLjXFyvNqp07tkkJ1+sn2sVP+z+16A8NT59/CrvdXh/Ml4PE/g/58AIF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HVMYAAADfAAAADwAAAAAAAAAAAAAAAACYAgAAZHJz&#10;L2Rvd25yZXYueG1sUEsFBgAAAAAEAAQA9QAAAIsDAAAAAA==&#10;" path="m,l111252,r,728472l,728472,,e" fillcolor="#f79646" stroked="f" strokeweight="0">
                  <v:stroke miterlimit="83231f" joinstyle="miter"/>
                  <v:path arrowok="t" textboxrect="0,0,111252,728472"/>
                </v:shape>
                <v:shape id="Shape 143396" o:spid="_x0000_s1047" style="position:absolute;left:47320;top:11948;width:1097;height:9022;visibility:visible;mso-wrap-style:square;v-text-anchor:top" coordsize="109728,902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WCs8MA&#10;AADfAAAADwAAAGRycy9kb3ducmV2LnhtbERPTYvCMBC9L/gfwgh7W1OrFK1GEWFBYS+rIngbkrEt&#10;NpPSRFv//UYQ9vh438t1b2vxoNZXjhWMRwkIYu1MxYWC0/H7awbCB2SDtWNS8CQP69XgY4m5cR3/&#10;0uMQChFD2OeooAyhyaX0uiSLfuQa4shdXWsxRNgW0rTYxXBbyzRJMmmx4thQYkPbkvTtcLcKOt1d&#10;7pf0J7Obs06mYXdK99ebUp/DfrMAEagP/+K3e2fi/OlkMs/g9ScC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5WCs8MAAADfAAAADwAAAAAAAAAAAAAAAACYAgAAZHJzL2Rv&#10;d25yZXYueG1sUEsFBgAAAAAEAAQA9QAAAIgDAAAAAA==&#10;" path="m,l109728,r,902208l,902208,,e" fillcolor="#f79646" stroked="f" strokeweight="0">
                  <v:stroke miterlimit="83231f" joinstyle="miter"/>
                  <v:path arrowok="t" textboxrect="0,0,109728,902208"/>
                </v:shape>
                <v:shape id="Shape 143397" o:spid="_x0000_s1048" style="position:absolute;left:33253;top:6995;width:1097;height:13975;visibility:visible;mso-wrap-style:square;v-text-anchor:top" coordsize="109728,1397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ypJcMA&#10;AADfAAAADwAAAGRycy9kb3ducmV2LnhtbERPy2rCQBTdF/oPwy24kTqptlbTjOIDwS61xfU1c/Og&#10;mTtpZjTRr3cKQpeH807mnanEmRpXWlbwMohAEKdWl5wr+P7aPE9AOI+ssbJMCi7kYD57fEgw1rbl&#10;HZ33PhchhF2MCgrv61hKlxZk0A1sTRy4zDYGfYBNLnWDbQg3lRxG0VgaLDk0FFjTqqD0Z38yCpbr&#10;9ogHbn95m23ePvt4ZaquSvWeusUHCE+d/xff3Vsd5r+ORtN3+PsTAM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ypJcMAAADfAAAADwAAAAAAAAAAAAAAAACYAgAAZHJzL2Rv&#10;d25yZXYueG1sUEsFBgAAAAAEAAQA9QAAAIgDAAAAAA==&#10;" path="m,l109728,r,1397508l,1397508,,e" fillcolor="#f79646" stroked="f" strokeweight="0">
                  <v:stroke miterlimit="83231f" joinstyle="miter"/>
                  <v:path arrowok="t" textboxrect="0,0,109728,1397508"/>
                </v:shape>
                <v:shape id="Shape 143398" o:spid="_x0000_s1049" style="position:absolute;left:54345;top:2621;width:1113;height:18349;visibility:visible;mso-wrap-style:square;v-text-anchor:top" coordsize="111252,1834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e98MA&#10;AADfAAAADwAAAGRycy9kb3ducmV2LnhtbERPTUsDMRC9C/0PYQrebFYrotumpRQUUTx0q4fehmRM&#10;lm4myyZt13/vHASPj/e9XI+xU2cacpvYwO2sAkVsk2vZG/jcP988gsoF2WGXmAz8UIb1anK1xNql&#10;C+/o3BSvJIRzjQZCKX2tdbaBIuZZ6omF+05DxCJw8NoNeJHw2Om7qnrQEVuWhoA9bQPZY3OKBr7G&#10;3eGtwRd7ov27zcfeNx/BG3M9HTcLUIXG8i/+c786mX8/nz/JYPkjAP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Te98MAAADfAAAADwAAAAAAAAAAAAAAAACYAgAAZHJzL2Rv&#10;d25yZXYueG1sUEsFBgAAAAAEAAQA9QAAAIgDAAAAAA==&#10;" path="m,l111252,r,1834896l,1834896,,e" fillcolor="#f79646" stroked="f" strokeweight="0">
                  <v:stroke miterlimit="83231f" joinstyle="miter"/>
                  <v:path arrowok="t" textboxrect="0,0,111252,1834896"/>
                </v:shape>
                <v:shape id="Shape 143399" o:spid="_x0000_s1050" style="position:absolute;left:3901;top:20924;width:56281;height:91;visibility:visible;mso-wrap-style:square;v-text-anchor:top" coordsize="56281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38MMA&#10;AADfAAAADwAAAGRycy9kb3ducmV2LnhtbERPz2vCMBS+D/wfwhO8lJlq3ZidUWTg9Lquh+32aJ5t&#10;WfMSmsx2/70RhB0/vt+b3Wg6caHet5YVLOYpCOLK6pZrBeXn4fEFhA/IGjvLpOCPPOy2k4cN5toO&#10;/EGXItQihrDPUUETgsul9FVDBv3cOuLInW1vMETY11L3OMRw08llmj5Lgy3HhgYdvTVU/RS/RsGT&#10;/xrK4/n9kJX8nQRXJA6zRKnZdNy/ggg0hn/x3X3Scf4qy9ZruP2JAOT2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738MMAAADfAAAADwAAAAAAAAAAAAAAAACYAgAAZHJzL2Rv&#10;d25yZXYueG1sUEsFBgAAAAAEAAQA9QAAAIgDAAAAAA==&#10;" path="m,l5628132,r,9144l,9144,,e" fillcolor="#d9d9d9" stroked="f" strokeweight="0">
                  <v:stroke miterlimit="83231f" joinstyle="miter"/>
                  <v:path arrowok="t" textboxrect="0,0,5628132,9144"/>
                </v:shape>
                <v:rect id="Rectangle 4092" o:spid="_x0000_s1051" style="position:absolute;left:2334;top:23992;width:6102;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wYqsMA&#10;AADdAAAADwAAAGRycy9kb3ducmV2LnhtbESP3YrCMBSE74V9h3AW9k5TZRG3axRZKQhe1L8HODTH&#10;ptqclCZb69sbQfBymJlvmPmyt7XoqPWVYwXjUQKCuHC64lLB6ZgNZyB8QNZYOyYFd/KwXHwM5phq&#10;d+M9dYdQighhn6ICE0KTSukLQxb9yDXE0Tu71mKIsi2lbvEW4baWkySZSosVxwWDDf0ZKq6Hf6sg&#10;v+Zm3VXZqbxsvaZd7tZZ2Cj19dmvfkEE6sM7/GpvtILv5GcCzzfxCc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wYqs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Agriculture</w:t>
                        </w:r>
                      </w:p>
                    </w:txbxContent>
                  </v:textbox>
                </v:rect>
                <v:rect id="Rectangle 4093" o:spid="_x0000_s1052" style="position:absolute;left:600;top:29231;width:16579;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C9McQA&#10;AADdAAAADwAAAGRycy9kb3ducmV2LnhtbESP0WrCQBRE34X+w3ILfdNNrUiNrlKUgNCHaOoHXLLX&#10;bDR7N2S3Mf37riD4OMzMGWa1GWwjeup87VjB+yQBQVw6XXOl4PSTjT9B+ICssXFMCv7Iw2b9Mlph&#10;qt2Nj9QXoRIRwj5FBSaENpXSl4Ys+olriaN3dp3FEGVXSd3hLcJtI6dJMpcWa44LBlvaGiqvxa9V&#10;kF9zs+vr7FRdvr2mQ+52Wdgr9fY6fC1BBBrCM/xo77WCWbL4gPub+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QvTH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Architecture &amp; Construction</w:t>
                        </w:r>
                      </w:p>
                    </w:txbxContent>
                  </v:textbox>
                </v:rect>
                <v:rect id="Rectangle 4094" o:spid="_x0000_s1053" style="position:absolute;left:3526;top:30527;width:19172;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lRcMA&#10;AADdAAAADwAAAGRycy9kb3ducmV2LnhtbESP3YrCMBSE74V9h3AWvNPURcTtGkVWCsJe1L8HODTH&#10;ptqclCbW7tsbQfBymJlvmMWqt7XoqPWVYwWTcQKCuHC64lLB6ZiN5iB8QNZYOyYF/+RhtfwYLDDV&#10;7s576g6hFBHCPkUFJoQmldIXhiz6sWuIo3d2rcUQZVtK3eI9wm0tv5JkJi1WHBcMNvRrqLgeblZB&#10;fs3NpquyU3n585p2udtkYavU8LNf/4AI1Id3+NXeagXT5HsK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klRc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Arts, Audio/Video Technology, &amp;</w:t>
                        </w:r>
                      </w:p>
                    </w:txbxContent>
                  </v:textbox>
                </v:rect>
                <v:rect id="Rectangle 4095" o:spid="_x0000_s1054" style="position:absolute;left:6806;top:29532;width:9807;height:152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WA3sQA&#10;AADdAAAADwAAAGRycy9kb3ducmV2LnhtbESP0WrCQBRE34X+w3ILfdNNpUqNrlKUgNCHaOoHXLLX&#10;bDR7N2S3Mf37riD4OMzMGWa1GWwjeup87VjB+yQBQVw6XXOl4PSTjT9B+ICssXFMCv7Iw2b9Mlph&#10;qt2Nj9QXoRIRwj5FBSaENpXSl4Ys+olriaN3dp3FEGVXSd3hLcJtI6dJMpcWa44LBlvaGiqvxa9V&#10;kF9zs+vr7FRdvr2mQ+52Wdgr9fY6fC1BBBrCM/xo77WCj2Qxg/ub+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1gN7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Communications</w:t>
                        </w:r>
                      </w:p>
                    </w:txbxContent>
                  </v:textbox>
                </v:rect>
                <v:rect id="Rectangle 4096" o:spid="_x0000_s1055" style="position:absolute;left:3883;top:32989;width:24096;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ceqcMA&#10;AADdAAAADwAAAGRycy9kb3ducmV2LnhtbESP0YrCMBRE3xf8h3AF39Z0RWStRlmUguBDXfUDLs3d&#10;pmtzU5pY698bQfBxmJkzzHLd21p01PrKsYKvcQKCuHC64lLB+ZR9foPwAVlj7ZgU3MnDejX4WGKq&#10;3Y1/qTuGUkQI+xQVmBCaVEpfGLLox64hjt6fay2GKNtS6hZvEW5rOUmSmbRYcVww2NDGUHE5Xq2C&#10;/JKbbVdl5/J/7zUdcrfNwk6p0bD/WYAI1Id3+NXeaQXTZD6D55v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ceqc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Business Management &amp; Administration</w:t>
                        </w:r>
                      </w:p>
                    </w:txbxContent>
                  </v:textbox>
                </v:rect>
                <v:rect id="Rectangle 4097" o:spid="_x0000_s1056" style="position:absolute;left:13364;top:27028;width:12176;height:152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u7MsQA&#10;AADdAAAADwAAAGRycy9kb3ducmV2LnhtbESP0WrCQBRE34X+w3ILfdNNpWiNrlKUgNCHaOoHXLLX&#10;bDR7N2S3Mf37riD4OMzMGWa1GWwjeup87VjB+yQBQVw6XXOl4PSTjT9B+ICssXFMCv7Iw2b9Mlph&#10;qt2Nj9QXoRIRwj5FBSaENpXSl4Ys+olriaN3dp3FEGVXSd3hLcJtI6dJMpMWa44LBlvaGiqvxa9V&#10;kF9zs+vr7FRdvr2mQ+52Wdgr9fY6fC1BBBrCM/xo77WCj2Qxh/ub+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ruzL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Education &amp; Training</w:t>
                        </w:r>
                      </w:p>
                    </w:txbxContent>
                  </v:textbox>
                </v:rect>
                <v:rect id="Rectangle 4098" o:spid="_x0000_s1057" style="position:absolute;left:18457;top:25441;width:900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vQMEA&#10;AADdAAAADwAAAGRycy9kb3ducmV2LnhtbERPzYrCMBC+C75DGGFvmrqIuF2jyEpB2EO1+gBDMzbV&#10;ZlKaWLtvvzkIHj++//V2sI3oqfO1YwXzWQKCuHS65krB5ZxNVyB8QNbYOCYFf+RhuxmP1phq9+QT&#10;9UWoRAxhn6ICE0KbSulLQxb9zLXEkbu6zmKIsKuk7vAZw20jP5NkKS3WHBsMtvRjqLwXD6sgv+dm&#10;39fZpbr9ek3H3O2zcFDqYzLsvkEEGsJb/HIftIJF8hXnxjfxCc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0L0DBAAAA3QAAAA8AAAAAAAAAAAAAAAAAmAIAAGRycy9kb3du&#10;cmV2LnhtbFBLBQYAAAAABAAEAPUAAACG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Energy Industry</w:t>
                        </w:r>
                      </w:p>
                    </w:txbxContent>
                  </v:textbox>
                </v:rect>
                <v:rect id="Rectangle 4099" o:spid="_x0000_s1058" style="position:absolute;left:24471;top:22947;width:4012;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K28UA&#10;AADdAAAADwAAAGRycy9kb3ducmV2LnhtbESPwWrDMBBE74H8g9hCb7HcUkLjRgkhxhDowW3iD1is&#10;reXEWhlLtd2/jwqFHoeZecNs97PtxEiDbx0reEpSEMS10y03CqpLsXoF4QOyxs4xKfghD/vdcrHF&#10;TLuJP2k8h0ZECPsMFZgQ+kxKXxuy6BPXE0fvyw0WQ5RDI/WAU4TbTj6n6VpabDkuGOzpaKi+nb+t&#10;gvJWmnxsi6q5vntNH6XLi3BS6vFhPryBCDSH//Bf+6QVvKSbDfy+iU9A7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IrbxQAAAN0AAAAPAAAAAAAAAAAAAAAAAJgCAABkcnMv&#10;ZG93bnJldi54bWxQSwUGAAAAAAQABAD1AAAAig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Finance</w:t>
                        </w:r>
                      </w:p>
                    </w:txbxContent>
                  </v:textbox>
                </v:rect>
                <v:rect id="Rectangle 4100" o:spid="_x0000_s1059" style="position:absolute;left:19694;top:31946;width:22009;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m5XMAA&#10;AADdAAAADwAAAGRycy9kb3ducmV2LnhtbERPy4rCMBTdC/MP4Q7MTlOHQaRjLDJSEFzU1wdcmjtN&#10;bXNTmljr35uF4PJw3qtstK0YqPe1YwXzWQKCuHS65krB5ZxPlyB8QNbYOiYFD/KQrT8mK0y1u/OR&#10;hlOoRAxhn6ICE0KXSulLQxb9zHXEkft3vcUQYV9J3eM9httWfifJQlqsOTYY7OjPUNmcblZB0RRm&#10;O9T5pbruvaZD4bZ52Cn19TlufkEEGsNb/HLvtIKfeRL3xzfxCc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2m5XMAAAADdAAAADwAAAAAAAAAAAAAAAACYAgAAZHJzL2Rvd25y&#10;ZXYueG1sUEsFBgAAAAAEAAQA9QAAAIU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Government &amp; Public Administration</w:t>
                        </w:r>
                      </w:p>
                    </w:txbxContent>
                  </v:textbox>
                </v:rect>
                <v:rect id="Rectangle 96356" o:spid="_x0000_s1060" style="position:absolute;left:27197;top:29990;width:3850;height:152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GvcUA&#10;AADeAAAADwAAAGRycy9kb3ducmV2LnhtbESP0WrCQBRE3wv+w3IF3+rGSkONriJKQOhDWvUDLtlr&#10;Npq9G7LbGP/eLRT6OMzMGWa1GWwjeup87VjBbJqAIC6drrlScD7lrx8gfEDW2DgmBQ/ysFmPXlaY&#10;aXfnb+qPoRIRwj5DBSaENpPSl4Ys+qlriaN3cZ3FEGVXSd3hPcJtI9+SJJUWa44LBlvaGSpvxx+r&#10;oLgVZt/X+bm6fnpNX4Xb5+Gg1GQ8bJcgAg3hP/zXPmgFi3T+nsLvnXgF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Ia9xQAAAN4AAAAPAAAAAAAAAAAAAAAAAJgCAABkcnMv&#10;ZG93bnJldi54bWxQSwUGAAAAAAQABAD1AAAAig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ROTC</w:t>
                        </w:r>
                      </w:p>
                    </w:txbxContent>
                  </v:textbox>
                </v:rect>
                <v:rect id="Rectangle 96355" o:spid="_x0000_s1061" style="position:absolute;left:25751;top:31436;width:385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YysUA&#10;AADeAAAADwAAAGRycy9kb3ducmV2LnhtbESP0WrCQBRE34X+w3ILfdNNLYpNXaUoAcGH1OgHXLLX&#10;bDR7N2S3Mf17VxD6OMzMGWa5Hmwjeup87VjB+yQBQVw6XXOl4HTMxgsQPiBrbByTgj/ysF69jJaY&#10;anfjA/VFqESEsE9RgQmhTaX0pSGLfuJa4uidXWcxRNlVUnd4i3DbyGmSzKXFmuOCwZY2hspr8WsV&#10;5NfcbPs6O1WXvdf0k7ttFnZKvb0O318gAg3hP/xs77SCz/nHbAaPO/EK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hjKxQAAAN4AAAAPAAAAAAAAAAAAAAAAAJgCAABkcnMv&#10;ZG93bnJldi54bWxQSwUGAAAAAAQABAD1AAAAig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54" o:spid="_x0000_s1062" style="position:absolute;left:28646;top:28541;width:385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a9UcYA&#10;AADeAAAADwAAAGRycy9kb3ducmV2LnhtbESP3WrCQBSE7wu+w3IE7+pGbUWjq0glIPQi/j3AIXvM&#10;RrNnQ3Yb07fvFgq9HGbmG2a97W0tOmp95VjBZJyAIC6crrhUcL1krwsQPiBrrB2Tgm/ysN0MXtaY&#10;avfkE3XnUIoIYZ+iAhNCk0rpC0MW/dg1xNG7udZiiLItpW7xGeG2ltMkmUuLFccFgw19GCoe5y+r&#10;IH/kZt9V2bW8f3pNx9zts3BQajTsdysQgfrwH/5rH7SC5Xz2/ga/d+IV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a9UcYAAADe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4102" o:spid="_x0000_s1063" style="position:absolute;left:30264;top:24195;width:6507;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eCsMQA&#10;AADdAAAADwAAAGRycy9kb3ducmV2LnhtbESPwWrDMBBE74X8g9hAbo3sUEpxo4SSYDD04DbJByzW&#10;1nJtrYyl2M7fR4FCj8PMvGG2+9l2YqTBN44VpOsEBHHldMO1gss5f34D4QOyxs4xKbiRh/1u8bTF&#10;TLuJv2k8hVpECPsMFZgQ+kxKXxmy6NeuJ47ejxsshiiHWuoBpwi3ndwkyau02HBcMNjTwVDVnq5W&#10;QdmW5jg2+aX+/fSavkp3zEOh1Go5f7yDCDSH//Bfu9AKXtJkA4838QnI3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3grD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Health Care</w:t>
                        </w:r>
                      </w:p>
                    </w:txbxContent>
                  </v:textbox>
                </v:rect>
                <v:rect id="Rectangle 4103" o:spid="_x0000_s1064" style="position:absolute;left:26664;top:31315;width:20750;height:152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snK8MA&#10;AADdAAAADwAAAGRycy9kb3ducmV2LnhtbESP3YrCMBSE74V9h3CEvdNUV2TpGkVWCsJe1L8HODTH&#10;ptqclCbW7tsbQfBymJlvmMWqt7XoqPWVYwWTcQKCuHC64lLB6ZiNvkH4gKyxdkwK/snDavkxWGCq&#10;3Z331B1CKSKEfYoKTAhNKqUvDFn0Y9cQR+/sWoshyraUusV7hNtaTpNkLi1WHBcMNvRrqLgeblZB&#10;fs3NpquyU3n585p2udtkYavU57Bf/4AI1Id3+NXeagWzSfIF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snK8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Hospitality, Food Service &amp; Tourism</w:t>
                        </w:r>
                      </w:p>
                    </w:txbxContent>
                  </v:textbox>
                </v:rect>
                <v:rect id="Rectangle 4104" o:spid="_x0000_s1065" style="position:absolute;left:33482;top:28003;width:14124;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K/X8QA&#10;AADdAAAADwAAAGRycy9kb3ducmV2LnhtbESPwWrDMBBE74X8g9hAbrXsEEpxrISSYAj04DbJByzW&#10;xnJtrYylOs7fV4VCj8PMvGGK/Wx7MdHoW8cKsiQFQVw73XKj4Hopn19B+ICssXdMCh7kYb9bPBWY&#10;a3fnT5rOoRERwj5HBSaEIZfS14Ys+sQNxNG7udFiiHJspB7xHuG2l+s0fZEWW44LBgc6GKq787dV&#10;UHWVOU5teW2+3r2mj8ody3BSarWc37YgAs3hP/zXPmkFmyzdwO+b+AT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Sv1/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Information Technology</w:t>
                        </w:r>
                      </w:p>
                    </w:txbxContent>
                  </v:textbox>
                </v:rect>
                <v:rect id="Rectangle 4105" o:spid="_x0000_s1066" style="position:absolute;left:34935;top:30771;width:1966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4axMMA&#10;AADdAAAADwAAAGRycy9kb3ducmV2LnhtbESP3YrCMBSE74V9h3CEvdNUWWXpGkVWCsJe1L8HODTH&#10;ptqclCbW7tsbQfBymJlvmMWqt7XoqPWVYwWTcQKCuHC64lLB6ZiNvkH4gKyxdkwK/snDavkxWGCq&#10;3Z331B1CKSKEfYoKTAhNKqUvDFn0Y9cQR+/sWoshyraUusV7hNtaTpNkLi1WHBcMNvRrqLgeblZB&#10;fs3NpquyU3n585p2udtkYavU57Bf/4AI1Id3+NXeagVfk2QG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4axM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Law, Public Safety, Corrections, &amp;</w:t>
                        </w:r>
                      </w:p>
                    </w:txbxContent>
                  </v:textbox>
                </v:rect>
                <v:rect id="Rectangle 4106" o:spid="_x0000_s1067" style="position:absolute;left:41224;top:28993;width:4277;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yEs8QA&#10;AADdAAAADwAAAGRycy9kb3ducmV2LnhtbESPwWrDMBBE74X8g9hAbo2cEExxo4QSYzD04DbJByzW&#10;1nJjrYyl2s7fR4VCj8PMvGH2x9l2YqTBt44VbNYJCOLa6ZYbBddL8fwCwgdkjZ1jUnAnD8fD4mmP&#10;mXYTf9J4Do2IEPYZKjAh9JmUvjZk0a9dTxy9LzdYDFEOjdQDThFuO7lNklRabDkuGOzpZKi+nX+s&#10;gupWmXxsi2vz/e41fVQuL0Kp1Go5v72CCDSH//Bfu9QKdpskhd838QnIw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MhLPEAAAA3Q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Security</w:t>
                        </w:r>
                      </w:p>
                    </w:txbxContent>
                  </v:textbox>
                </v:rect>
                <v:rect id="Rectangle 4107" o:spid="_x0000_s1068" style="position:absolute;left:43360;top:25165;width:8450;height:152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AhKMMA&#10;AADdAAAADwAAAGRycy9kb3ducmV2LnhtbESP3YrCMBSE74V9h3CEvdNUWXTpGkVWCsJe1L8HODTH&#10;ptqclCbW7tsbQfBymJlvmMWqt7XoqPWVYwWTcQKCuHC64lLB6ZiNvkH4gKyxdkwK/snDavkxWGCq&#10;3Z331B1CKSKEfYoKTAhNKqUvDFn0Y9cQR+/sWoshyraUusV7hNtaTpNkJi1WHBcMNvRrqLgeblZB&#10;fs3NpquyU3n585p2udtkYavU57Bf/4AI1Id3+NXeagVfk2QO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AhKM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Manufacturing</w:t>
                        </w:r>
                      </w:p>
                    </w:txbxContent>
                  </v:textbox>
                </v:rect>
                <v:rect id="Rectangle 4108" o:spid="_x0000_s1069" style="position:absolute;left:41180;top:31552;width:21221;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1WsAA&#10;AADdAAAADwAAAGRycy9kb3ducmV2LnhtbERPy4rCMBTdC/MP4Q7MTlOHQaRjLDJSEFzU1wdcmjtN&#10;bXNTmljr35uF4PJw3qtstK0YqPe1YwXzWQKCuHS65krB5ZxPlyB8QNbYOiYFD/KQrT8mK0y1u/OR&#10;hlOoRAxhn6ICE0KXSulLQxb9zHXEkft3vcUQYV9J3eM9httWfifJQlqsOTYY7OjPUNmcblZB0RRm&#10;O9T5pbruvaZD4bZ52Cn19TlufkEEGsNb/HLvtIKfeRLnxjfxCc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1WsAAAADdAAAADwAAAAAAAAAAAAAAAACYAgAAZHJzL2Rvd25y&#10;ZXYueG1sUEsFBgAAAAAEAAQA9QAAAIU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Science, Technology, Engineering, &amp;</w:t>
                        </w:r>
                      </w:p>
                    </w:txbxContent>
                  </v:textbox>
                </v:rect>
                <v:rect id="Rectangle 4109" o:spid="_x0000_s1070" style="position:absolute;left:46634;top:30015;width:754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MQwcMA&#10;AADdAAAADwAAAGRycy9kb3ducmV2LnhtbESP3YrCMBSE74V9h3CEvdNUWcTtGkVWCsJe1L8HODTH&#10;ptqclCbW7tsbQfBymJlvmMWqt7XoqPWVYwWTcQKCuHC64lLB6ZiN5iB8QNZYOyYF/+RhtfwYLDDV&#10;7s576g6hFBHCPkUFJoQmldIXhiz6sWuIo3d2rcUQZVtK3eI9wm0tp0kykxYrjgsGG/o1VFwPN6sg&#10;v+Zm01XZqbz8eU273G2ysFXqc9ivf0AE6sM7/GpvtYKvSfINzzfx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MQwc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Mathematics</w:t>
                        </w:r>
                      </w:p>
                    </w:txbxContent>
                  </v:textbox>
                </v:rect>
                <v:rect id="Rectangle 4110" o:spid="_x0000_s1071" style="position:absolute;left:50668;top:24883;width:7883;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AvgcEA&#10;AADdAAAADwAAAGRycy9kb3ducmV2LnhtbERPy4rCMBTdC/MP4Q7MTtMOg0g1iowUBBf10Q+4NNem&#10;2tyUJtbO308WgsvDea82o23FQL1vHCtIZwkI4srphmsF5SWfLkD4gKyxdUwK/sjDZv0xWWGm3ZNP&#10;NJxDLWII+wwVmBC6TEpfGbLoZ64jjtzV9RZDhH0tdY/PGG5b+Z0kc2mx4dhgsKNfQ9X9/LAKinth&#10;dkOTl/Xt4DUdC7fLw16pr89xuwQRaAxv8cu91wp+0jTuj2/iE5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wL4HBAAAA3QAAAA8AAAAAAAAAAAAAAAAAmAIAAGRycy9kb3du&#10;cmV2LnhtbFBLBQYAAAAABAAEAPUAAACG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Skilled Trades</w:t>
                        </w:r>
                      </w:p>
                    </w:txbxContent>
                  </v:textbox>
                </v:rect>
                <v:rect id="Rectangle 4111" o:spid="_x0000_s1072" style="position:absolute;left:46146;top:32926;width:23970;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KGsMA&#10;AADdAAAADwAAAGRycy9kb3ducmV2LnhtbESP3YrCMBSE7xd8h3AE79a0IiLVKMtKQfCi/j3AoTnb&#10;dG1OShNrffvNguDlMDPfMOvtYBvRU+drxwrSaQKCuHS65krB9ZJ/LkH4gKyxcUwKnuRhuxl9rDHT&#10;7sEn6s+hEhHCPkMFJoQ2k9KXhiz6qWuJo/fjOoshyq6SusNHhNtGzpJkIS3WHBcMtvRtqLyd71ZB&#10;cSvMrq/za/V78JqOhdvlYa/UZDx8rUAEGsI7/GrvtYJ5mqbw/yY+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yKGs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Transportation, Distribution, &amp;</w:t>
                        </w:r>
                        <w:r>
                          <w:rPr>
                            <w:rFonts w:ascii="Calibri" w:eastAsia="Calibri" w:hAnsi="Calibri" w:cs="Calibri"/>
                            <w:color w:val="595959"/>
                            <w:sz w:val="18"/>
                          </w:rPr>
                          <w:t xml:space="preserve"> Logistics</w:t>
                        </w:r>
                      </w:p>
                    </w:txbxContent>
                  </v:textbox>
                </v:rect>
                <v:rect id="Rectangle 96352" o:spid="_x0000_s1073" style="position:absolute;left:1447;top:20432;width:771;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k8ccA&#10;AADeAAAADwAAAGRycy9kb3ducmV2LnhtbESPT2vCQBTE70K/w/IK3nRTRUlSV5FW0aP/wPb2yL4m&#10;odm3Ibua6KfvFgSPw8z8hpktOlOJKzWutKzgbRiBIM6sLjlXcDquBzEI55E1VpZJwY0cLOYvvRmm&#10;2ra8p+vB5yJA2KWooPC+TqV0WUEG3dDWxMH7sY1BH2STS91gG+CmkqMomkqDJYeFAmv6KCj7PVyM&#10;gk1cL7+29t7m1ep7c96dk89j4pXqv3bLdxCeOv8MP9pbrSCZjicj+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qJPH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0</w:t>
                        </w:r>
                      </w:p>
                    </w:txbxContent>
                  </v:textbox>
                </v:rect>
                <v:rect id="Rectangle 96353" o:spid="_x0000_s1074" style="position:absolute;left:2027;top:20432;width:108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aBascA&#10;AADeAAAADwAAAGRycy9kb3ducmV2LnhtbESPT2vCQBTE70K/w/IK3nTTipKkriJV0aP/wPb2yL4m&#10;odm3Ibua6KfvFgSPw8z8hpnOO1OJKzWutKzgbRiBIM6sLjlXcDquBzEI55E1VpZJwY0czGcvvSmm&#10;2ra8p+vB5yJA2KWooPC+TqV0WUEG3dDWxMH7sY1BH2STS91gG+Cmku9RNJEGSw4LBdb0WVD2e7gY&#10;BZu4Xnxt7b3Nq9X35rw7J8tj4pXqv3aLDxCeOv8MP9pbrSCZjMYj+L8Tr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mgWr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50" o:spid="_x0000_s1075" style="position:absolute;left:868;top:17994;width:15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QfHccA&#10;AADeAAAADwAAAGRycy9kb3ducmV2LnhtbESPzWrCQBSF9wXfYbhCd81ES8VERxHboss2KUR3l8w1&#10;CWbuhMzUpH36zqLg8nD++Nbb0bTiRr1rLCuYRTEI4tLqhisFX/n70xKE88gaW8uk4IccbDeThzWm&#10;2g78SbfMVyKMsEtRQe19l0rpypoMush2xMG72N6gD7KvpO5xCOOmlfM4XkiDDYeHGjva11Res2+j&#10;4LDsdqej/R2q9u18KD6K5DVPvFKP03G3AuFp9Pfwf/uoFSSL55c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0Hx3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10</w:t>
                        </w:r>
                      </w:p>
                    </w:txbxContent>
                  </v:textbox>
                </v:rect>
                <v:rect id="Rectangle 96351" o:spid="_x0000_s1076" style="position:absolute;left:2027;top:17994;width:108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i6hsgA&#10;AADeAAAADwAAAGRycy9kb3ducmV2LnhtbESPT2vCQBTE7wW/w/KE3urGloqJboLYFj3WP6DeHtln&#10;Esy+DdmtSfvpXaHgcZiZ3zDzrDe1uFLrKssKxqMIBHFudcWFgv3u62UKwnlkjbVlUvBLDrJ08DTH&#10;RNuON3Td+kIECLsEFZTeN4mULi/JoBvZhjh4Z9sa9EG2hdQtdgFuavkaRRNpsOKwUGJDy5Lyy/bH&#10;KFhNm8Vxbf+6ov48rQ7fh/hjF3ulnof9YgbCU+8f4f/2WiuIJ2/vY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uLqGyAAAAN4AAAAPAAAAAAAAAAAAAAAAAJgCAABk&#10;cnMvZG93bnJldi54bWxQSwUGAAAAAAQABAD1AAAAjQ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48" o:spid="_x0000_s1077" style="position:absolute;left:868;top:15540;width:1541;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FxsUA&#10;AADeAAAADwAAAGRycy9kb3ducmV2LnhtbERPTWvCQBC9F/wPywi9NRttERNdRWyLHtukEL0N2TEJ&#10;ZmdDdmvS/vruoeDx8b7X29G04ka9aywrmEUxCOLS6oYrBV/5+9MShPPIGlvLpOCHHGw3k4c1ptoO&#10;/Em3zFcihLBLUUHtfZdK6cqaDLrIdsSBu9jeoA+wr6TucQjhppXzOF5Igw2Hhho72tdUXrNvo+Cw&#10;7Hano/0dqvbtfCg+iuQ1T7xSj9NxtwLhafR38b/7qBUki+eXsDfcCV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W4XGxQAAAN4AAAAPAAAAAAAAAAAAAAAAAJgCAABkcnMv&#10;ZG93bnJldi54bWxQSwUGAAAAAAQABAD1AAAAig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20</w:t>
                        </w:r>
                      </w:p>
                    </w:txbxContent>
                  </v:textbox>
                </v:rect>
                <v:rect id="Rectangle 96349" o:spid="_x0000_s1078" style="position:absolute;left:2027;top:15540;width:108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cgXccA&#10;AADeAAAADwAAAGRycy9kb3ducmV2LnhtbESPW2vCQBSE3wX/w3KEvunGC2Kiq4gX9NGqoL4dsqdJ&#10;aPZsyG5N2l/fLQh9HGbmG2axak0pnlS7wrKC4SACQZxaXXCm4HrZ92cgnEfWWFomBd/kYLXsdhaY&#10;aNvwOz3PPhMBwi5BBbn3VSKlS3My6Aa2Ig7eh60N+iDrTOoamwA3pRxF0VQaLDgs5FjRJqf08/xl&#10;FBxm1fp+tD9NVu4eh9vpFm8vsVfqrdeu5yA8tf4//GoftYJ4Op7E8HcnX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XIF3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45" o:spid="_x0000_s1079" style="position:absolute;left:868;top:13102;width:15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oqWMcA&#10;AADeAAAADwAAAGRycy9kb3ducmV2LnhtbESPT2vCQBTE74V+h+UVvNVNrYqJriK2RY/+A/X2yD6T&#10;0OzbkF1N9NO7QqHHYWZ+w0xmrSnFlWpXWFbw0Y1AEKdWF5wp2O9+3kcgnEfWWFomBTdyMJu+vkww&#10;0bbhDV23PhMBwi5BBbn3VSKlS3My6Lq2Ig7e2dYGfZB1JnWNTYCbUvaiaCgNFhwWcqxokVP6u70Y&#10;BctRNT+u7L3Jyu/T8rA+xF+72CvVeWvnYxCeWv8f/muvtIJ4+NkfwPN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aKlj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30</w:t>
                        </w:r>
                      </w:p>
                    </w:txbxContent>
                  </v:textbox>
                </v:rect>
                <v:rect id="Rectangle 96346" o:spid="_x0000_s1080" style="position:absolute;left:2027;top:13102;width:108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i0L8cA&#10;AADeAAAADwAAAGRycy9kb3ducmV2LnhtbESPQWvCQBSE74X+h+UVvNVNqwQTXUVaRY9WBfX2yD6T&#10;YPZtyK4m7a93BaHHYWa+YSazzlTiRo0rLSv46EcgiDOrS84V7HfL9xEI55E1VpZJwS85mE1fXyaY&#10;atvyD922PhcBwi5FBYX3dSqlywoy6Pq2Jg7e2TYGfZBNLnWDbYCbSn5GUSwNlhwWCqzpq6Dssr0a&#10;BatRPT+u7V+bV4vT6rA5JN+7xCvVe+vmYxCeOv8ffrbXWkESD4Yx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ItC/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43" o:spid="_x0000_s1081" style="position:absolute;left:868;top:10648;width:1541;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8Xt8cA&#10;AADeAAAADwAAAGRycy9kb3ducmV2LnhtbESPT2vCQBTE70K/w/IK3nTTKpKkriJV0aP/wPb2yL4m&#10;odm3Ibua6KfvFgSPw8z8hpnOO1OJKzWutKzgbRiBIM6sLjlXcDquBzEI55E1VpZJwY0czGcvvSmm&#10;2ra8p+vB5yJA2KWooPC+TqV0WUEG3dDWxMH7sY1BH2STS91gG+Cmku9RNJEGSw4LBdb0WVD2e7gY&#10;BZu4Xnxt7b3Nq9X35rw7J8tj4pXqv3aLDxCeOv8MP9pbrSCZjMYj+L8Tr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F7f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40</w:t>
                        </w:r>
                      </w:p>
                    </w:txbxContent>
                  </v:textbox>
                </v:rect>
                <v:rect id="Rectangle 96344" o:spid="_x0000_s1082" style="position:absolute;left:2027;top:10648;width:108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aPw8gA&#10;AADeAAAADwAAAGRycy9kb3ducmV2LnhtbESPT2vCQBTE7wW/w/IEb3XjH8Sk2YioRY9VC7a3R/Y1&#10;CWbfhuzWpP30rlDocZiZ3zDpqje1uFHrKssKJuMIBHFudcWFgvfz6/MShPPIGmvLpOCHHKyywVOK&#10;ibYdH+l28oUIEHYJKii9bxIpXV6SQTe2DXHwvmxr0AfZFlK32AW4qeU0ihbSYMVhocSGNiXl19O3&#10;UbBfNuuPg/3tinr3ub+8XeLtOfZKjYb9+gWEp97/h//aB60gXszmc3jc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Fo/DyAAAAN4AAAAPAAAAAAAAAAAAAAAAAJgCAABk&#10;cnMvZG93bnJldi54bWxQSwUGAAAAAAQABAD1AAAAjQ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41" o:spid="_x0000_s1083" style="position:absolute;left:868;top:8195;width:15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EsW8gA&#10;AADeAAAADwAAAGRycy9kb3ducmV2LnhtbESPT2vCQBTE7wW/w/KE3urGtoiJboLYFj3WP6DeHtln&#10;Esy+DdmtSfvpXaHgcZiZ3zDzrDe1uFLrKssKxqMIBHFudcWFgv3u62UKwnlkjbVlUvBLDrJ08DTH&#10;RNuON3Td+kIECLsEFZTeN4mULi/JoBvZhjh4Z9sa9EG2hdQtdgFuavkaRRNpsOKwUGJDy5Lyy/bH&#10;KFhNm8Vxbf+6ov48rQ7fh/hjF3ulnof9YgbCU+8f4f/2WiuIJ2/vY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YSxbyAAAAN4AAAAPAAAAAAAAAAAAAAAAAJgCAABk&#10;cnMvZG93bnJldi54bWxQSwUGAAAAAAQABAD1AAAAjQ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50</w:t>
                        </w:r>
                      </w:p>
                    </w:txbxContent>
                  </v:textbox>
                </v:rect>
                <v:rect id="Rectangle 96342" o:spid="_x0000_s1084" style="position:absolute;left:2027;top:8195;width:108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OyLMcA&#10;AADeAAAADwAAAGRycy9kb3ducmV2LnhtbESPT2vCQBTE70K/w/IK3nRTFUlSV5FW0aP/wPb2yL4m&#10;odm3Ibua6KfvFgSPw8z8hpktOlOJKzWutKzgbRiBIM6sLjlXcDquBzEI55E1VpZJwY0cLOYvvRmm&#10;2ra8p+vB5yJA2KWooPC+TqV0WUEG3dDWxMH7sY1BH2STS91gG+CmkqMomkqDJYeFAmv6KCj7PVyM&#10;gk1cL7+29t7m1ep7c96dk89j4pXqv3bLdxCeOv8MP9pbrSCZjicj+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zsiz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39" o:spid="_x0000_s1085" style="position:absolute;left:868;top:5756;width:1541;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FTIMYA&#10;AADeAAAADwAAAGRycy9kb3ducmV2LnhtbESPQYvCMBSE74L/ITzBm6auILYaRdwVPboqqLdH82yL&#10;zUtpsra7v94sCB6HmfmGmS9bU4oH1a6wrGA0jEAQp1YXnCk4HTeDKQjnkTWWlknBLzlYLrqdOSba&#10;NvxNj4PPRICwS1BB7n2VSOnSnAy6oa2Ig3eztUEfZJ1JXWMT4KaUH1E0kQYLDgs5VrTOKb0ffoyC&#10;7bRaXXb2r8nKr+v2vD/Hn8fYK9XvtasZCE+tf4df7Z1WEE/G4xj+74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FTIMYAAADe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60</w:t>
                        </w:r>
                      </w:p>
                    </w:txbxContent>
                  </v:textbox>
                </v:rect>
                <v:rect id="Rectangle 96340" o:spid="_x0000_s1086" style="position:absolute;left:2027;top:5756;width:108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2JwMcA&#10;AADeAAAADwAAAGRycy9kb3ducmV2LnhtbESPzWrCQBSF9wXfYbhCd81EW8RERxHboss2KUR3l8w1&#10;CWbuhMzUpH36zqLg8nD++Nbb0bTiRr1rLCuYRTEI4tLqhisFX/n70xKE88gaW8uk4IccbDeThzWm&#10;2g78SbfMVyKMsEtRQe19l0rpypoMush2xMG72N6gD7KvpO5xCOOmlfM4XkiDDYeHGjva11Res2+j&#10;4LDsdqej/R2q9u18KD6K5DVPvFKP03G3AuFp9Pfwf/uoFSSL55c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ticD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38" o:spid="_x0000_s1087" style="position:absolute;left:2027;top:3303;width:108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32u8QA&#10;AADeAAAADwAAAGRycy9kb3ducmV2LnhtbERPTWvCQBC9F/wPyxS81U0rBBNdQ7CKObYqqLchO01C&#10;s7Mhu5q0v757KHh8vO9VNppW3Kl3jWUFr7MIBHFpdcOVgtNx97IA4TyyxtYyKfghB9l68rTCVNuB&#10;P+l+8JUIIexSVFB736VSurImg25mO+LAfdneoA+wr6TucQjhppVvURRLgw2Hhho72tRUfh9uRsF+&#10;0eWXwv4OVbu97s8f5+T9mHilps9jvgThafQP8b+70AqSeD4Pe8OdcAX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d9rvEAAAA3g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rect id="Rectangle 96337" o:spid="_x0000_s1088" style="position:absolute;left:868;top:3303;width:15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JiyccA&#10;AADeAAAADwAAAGRycy9kb3ducmV2LnhtbESPT2vCQBTE70K/w/IK3nTTCpqkriJV0aN/Cra3R/Y1&#10;Cc2+DdnVRD+9Kwg9DjPzG2Y670wlLtS40rKCt2EEgjizuuRcwddxPYhBOI+ssbJMCq7kYD576U0x&#10;1bblPV0OPhcBwi5FBYX3dSqlywoy6Ia2Jg7er20M+iCbXOoG2wA3lXyPorE0WHJYKLCmz4Kyv8PZ&#10;KNjE9eJ7a29tXq1+NqfdKVkeE69U/7VbfIDw1Pn/8LO91QqS8Wg0gc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CYsn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70</w:t>
                        </w:r>
                      </w:p>
                    </w:txbxContent>
                  </v:textbox>
                </v:rect>
                <v:rect id="Rectangle 96334" o:spid="_x0000_s1089" style="position:absolute;left:868;top:864;width:15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D8vscA&#10;AADeAAAADwAAAGRycy9kb3ducmV2LnhtbESPT2vCQBTE70K/w/IK3nTTKpKkriJV0aP/wPb2yL4m&#10;odm3Ibua6KfvFgSPw8z8hpnOO1OJKzWutKzgbRiBIM6sLjlXcDquBzEI55E1VpZJwY0czGcvvSmm&#10;2ra8p+vB5yJA2KWooPC+TqV0WUEG3dDWxMH7sY1BH2STS91gG+Cmku9RNJEGSw4LBdb0WVD2e7gY&#10;BZu4Xnxt7b3Nq9X35rw7J8tj4pXqv3aLDxCeOv8MP9pbrSCZjEZj+L8Tr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Q/L7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80</w:t>
                        </w:r>
                      </w:p>
                    </w:txbxContent>
                  </v:textbox>
                </v:rect>
                <v:rect id="Rectangle 96335" o:spid="_x0000_s1090" style="position:absolute;left:2027;top:864;width:108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xZJccA&#10;AADeAAAADwAAAGRycy9kb3ducmV2LnhtbESPT2vCQBTE70K/w/IK3nTTipKkriJV0aP/wPb2yL4m&#10;odm3Ibua6KfvFgSPw8z8hpnOO1OJKzWutKzgbRiBIM6sLjlXcDquBzEI55E1VpZJwY0czGcvvSmm&#10;2ra8p+vB5yJA2KWooPC+TqV0WUEG3dDWxMH7sY1BH2STS91gG+Cmku9RNJEGSw4LBdb0WVD2e7gY&#10;BZu4Xnxt7b3Nq9X35rw7J8tj4pXqv3aLDxCeOv8MP9pbrSCZjEZj+L8Tr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cWSXHAAAA3g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w:t>
                        </w:r>
                      </w:p>
                    </w:txbxContent>
                  </v:textbox>
                </v:rect>
                <v:shape id="Shape 4121" o:spid="_x0000_s1091" style="position:absolute;width:30822;height:41300;visibility:visible;mso-wrap-style:square;v-text-anchor:top" coordsize="3082290,4130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tvsQA&#10;AADdAAAADwAAAGRycy9kb3ducmV2LnhtbESPT4vCMBTE78J+h/AW9qZpi6xSjSKyu4gX8Q94fTTP&#10;tti81CRq/fZmQfA4zMxvmOm8M424kfO1ZQXpIAFBXFhdc6ngsP/tj0H4gKyxsUwKHuRhPvvoTTHX&#10;9s5buu1CKSKEfY4KqhDaXEpfVGTQD2xLHL2TdQZDlK6U2uE9wk0jsyT5lgZrjgsVtrSsqDjvrkaB&#10;PmQ/7V9hRt6NzOZ4OV3XQ0lKfX12iwmIQF14h1/tlVYwTLMU/t/EJ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8rb7EAAAA3QAAAA8AAAAAAAAAAAAAAAAAmAIAAGRycy9k&#10;b3ducmV2LnhtbFBLBQYAAAAABAAEAPUAAACJAwAAAAA=&#10;" path="m1,l3082290,r,6097l10668,6097r,4114800l3082290,4120897r,9144l4572,4130041c3048,4130041,,4126993,,4125469l,1,1,xe" fillcolor="#d9d9d9" stroked="f" strokeweight="0">
                  <v:stroke miterlimit="83231f" joinstyle="miter"/>
                  <v:path arrowok="t" textboxrect="0,0,3082290,4130041"/>
                </v:shape>
                <v:shape id="Shape 4122" o:spid="_x0000_s1092" style="position:absolute;left:30822;width:30808;height:41300;visibility:visible;mso-wrap-style:square;v-text-anchor:top" coordsize="3080766,4130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QOPccA&#10;AADdAAAADwAAAGRycy9kb3ducmV2LnhtbESPW2vCQBSE3wv9D8sp+KYbYykldZUqeKFSaGO1r4fs&#10;yQWzZ0N21eTfuwWhj8PMfMNM552pxYVaV1lWMB5FIIgzqysuFPzsV8NXEM4ja6wtk4KeHMxnjw9T&#10;TLS98jddUl+IAGGXoILS+yaR0mUlGXQj2xAHL7etQR9kW0jd4jXATS3jKHqRBisOCyU2tCwpO6Vn&#10;o2Dxcdyn0efqfOgnO/pN1/mm/8qVGjx1728gPHX+P3xvb7WC53Ecw9+b8AT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0Dj3HAAAA3QAAAA8AAAAAAAAAAAAAAAAAmAIAAGRy&#10;cy9kb3ducmV2LnhtbFBLBQYAAAAABAAEAPUAAACMAwAAAAA=&#10;" path="m,l3080766,r,1l3080766,4125469v,1524,-1525,4572,-4572,4572l,4130041r,-9144l3071622,4120897r,-4114800l,6097,,xe" fillcolor="#d9d9d9" stroked="f" strokeweight="0">
                  <v:stroke miterlimit="83231f" joinstyle="miter"/>
                  <v:path arrowok="t" textboxrect="0,0,3080766,4130041"/>
                </v:shape>
                <w10:anchorlock/>
              </v:group>
            </w:pict>
          </mc:Fallback>
        </mc:AlternateContent>
      </w:r>
    </w:p>
    <w:p w:rsidR="0023438A" w:rsidRDefault="00A02C86">
      <w:pPr>
        <w:spacing w:after="0" w:line="259" w:lineRule="auto"/>
        <w:ind w:left="440" w:firstLine="0"/>
      </w:pPr>
      <w:r>
        <w:t xml:space="preserve"> </w:t>
      </w:r>
    </w:p>
    <w:p w:rsidR="0023438A" w:rsidRDefault="00A02C86">
      <w:pPr>
        <w:spacing w:line="238" w:lineRule="auto"/>
        <w:ind w:left="435" w:right="777"/>
      </w:pPr>
      <w:r>
        <w:rPr>
          <w:i/>
        </w:rPr>
        <w:lastRenderedPageBreak/>
        <w:t>Figure 2</w:t>
      </w:r>
      <w:r>
        <w:t xml:space="preserve">. Respondents’ impressions of the top three clusters with an excess demand for apprentices in your area, compared to the number of applicants. </w:t>
      </w:r>
    </w:p>
    <w:p w:rsidR="0023438A" w:rsidRDefault="00A02C86">
      <w:pPr>
        <w:spacing w:after="252" w:line="259" w:lineRule="auto"/>
        <w:ind w:left="440" w:firstLine="0"/>
      </w:pPr>
      <w:r>
        <w:t xml:space="preserve"> </w:t>
      </w:r>
    </w:p>
    <w:p w:rsidR="0023438A" w:rsidRDefault="00A02C86">
      <w:pPr>
        <w:ind w:left="435" w:right="777"/>
      </w:pPr>
      <w:r>
        <w:t xml:space="preserve"> </w:t>
      </w:r>
      <w:r>
        <w:tab/>
        <w:t>Overall, both educators and employers agree that more WBL experiences are needed, and they need new effective ways of recruiting employees and students. However, the results were mixed on both groups’ awareness of the new aspects of modern apprenticeship</w:t>
      </w:r>
      <w:r>
        <w:t xml:space="preserve"> expansion such as competency-based frameworks and availability for over 1000 occupations to be </w:t>
      </w:r>
      <w:proofErr w:type="spellStart"/>
      <w:r>
        <w:t>apprenticeable</w:t>
      </w:r>
      <w:proofErr w:type="spellEnd"/>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0" w:line="259" w:lineRule="auto"/>
        <w:ind w:left="440" w:firstLine="0"/>
      </w:pPr>
      <w:r>
        <w:t xml:space="preserve"> </w:t>
      </w:r>
      <w:r>
        <w:tab/>
        <w:t xml:space="preserve"> </w:t>
      </w:r>
    </w:p>
    <w:p w:rsidR="0023438A" w:rsidRDefault="00A02C86">
      <w:pPr>
        <w:pStyle w:val="Heading1"/>
        <w:ind w:left="435"/>
      </w:pPr>
      <w:r>
        <w:t xml:space="preserve">Results for Research Question 2 </w:t>
      </w:r>
    </w:p>
    <w:p w:rsidR="0023438A" w:rsidRDefault="00A02C86">
      <w:pPr>
        <w:ind w:left="425" w:right="904" w:firstLine="720"/>
      </w:pPr>
      <w:r>
        <w:t>Table 8 displays a cross-sectional analysis of descriptive statistics for the questionnaire results of parallel questions from the employer and educator group questionnaires addressing RQ2. The questionnaire used various Likert scale items with response ca</w:t>
      </w:r>
      <w:r>
        <w:t xml:space="preserve">tegories appropriate for each section of the instrument. The resources section uses a four-point Likert scale entitled </w:t>
      </w:r>
    </w:p>
    <w:p w:rsidR="0023438A" w:rsidRDefault="00A02C86">
      <w:pPr>
        <w:ind w:left="435" w:right="1018"/>
      </w:pPr>
      <w:r>
        <w:t xml:space="preserve">Resource Priority Scale with the following response options:  1-Not a priority, 2-Low priority, 3-Medium priority, 4-High priority. The </w:t>
      </w:r>
      <w:r>
        <w:t>barriers section uses a four-point Likert scale for labeled Barrier Scale with the following response options: 1-Not a barrier, 2- Somewhat of a barrier, 3-Moderate barrier, 4-Extreme barrier, and a N/A for non-applicable items. One question was asked to g</w:t>
      </w:r>
      <w:r>
        <w:t xml:space="preserve">auge overall interest in pursuing an apprenticeship and used a </w:t>
      </w:r>
      <w:proofErr w:type="spellStart"/>
      <w:r>
        <w:t>fourpoint</w:t>
      </w:r>
      <w:proofErr w:type="spellEnd"/>
      <w:r>
        <w:t xml:space="preserve"> Likert scale, Overall Scale, with response options: 1-Strongly Disagree, 2-Disagree, 3Agree, 4-Strongly Agree. Finally, one question was asked regarding the impact COVID-19 has on the</w:t>
      </w:r>
      <w:r>
        <w:t xml:space="preserve">ir interest in pursuing apprenticeship and used a four-point Likert scale, COVID-19 </w:t>
      </w:r>
    </w:p>
    <w:p w:rsidR="0023438A" w:rsidRDefault="00A02C86">
      <w:pPr>
        <w:spacing w:after="117"/>
        <w:ind w:left="435" w:right="999"/>
      </w:pPr>
      <w:r>
        <w:t>Scale, with response options: 1-Not Interested, 2-Slightly Interested, 3-Somewhat Interested, 4-Extremely Interested. The percentage listed indicated those participants wh</w:t>
      </w:r>
      <w:r>
        <w:t xml:space="preserve">o selected either a 3 or 4 on each of the Likert scale items in the questionnaire. </w:t>
      </w:r>
    </w:p>
    <w:p w:rsidR="0023438A" w:rsidRDefault="00A02C86">
      <w:pPr>
        <w:spacing w:after="372" w:line="259" w:lineRule="auto"/>
        <w:ind w:left="1160" w:firstLine="0"/>
      </w:pPr>
      <w:r>
        <w:t xml:space="preserve"> </w:t>
      </w:r>
    </w:p>
    <w:p w:rsidR="0023438A" w:rsidRDefault="00A02C86">
      <w:pPr>
        <w:spacing w:after="372" w:line="259" w:lineRule="auto"/>
        <w:ind w:left="1160" w:firstLine="0"/>
      </w:pPr>
      <w:r>
        <w:lastRenderedPageBreak/>
        <w:t xml:space="preserve"> </w:t>
      </w:r>
    </w:p>
    <w:p w:rsidR="0023438A" w:rsidRDefault="00A02C86">
      <w:pPr>
        <w:spacing w:after="372" w:line="259" w:lineRule="auto"/>
        <w:ind w:left="1160" w:firstLine="0"/>
      </w:pPr>
      <w:r>
        <w:t xml:space="preserve"> </w:t>
      </w:r>
    </w:p>
    <w:p w:rsidR="0023438A" w:rsidRDefault="00A02C86">
      <w:pPr>
        <w:spacing w:after="372" w:line="259" w:lineRule="auto"/>
        <w:ind w:left="1160" w:firstLine="0"/>
      </w:pPr>
      <w:r>
        <w:t xml:space="preserve"> </w:t>
      </w:r>
    </w:p>
    <w:p w:rsidR="0023438A" w:rsidRDefault="00A02C86">
      <w:pPr>
        <w:spacing w:after="372" w:line="259" w:lineRule="auto"/>
        <w:ind w:left="1160" w:firstLine="0"/>
      </w:pPr>
      <w:r>
        <w:t xml:space="preserve"> </w:t>
      </w:r>
    </w:p>
    <w:p w:rsidR="0023438A" w:rsidRDefault="00A02C86">
      <w:pPr>
        <w:spacing w:after="0" w:line="259" w:lineRule="auto"/>
        <w:ind w:left="1160" w:firstLine="0"/>
      </w:pPr>
      <w:r>
        <w:t xml:space="preserve"> </w:t>
      </w:r>
    </w:p>
    <w:p w:rsidR="0023438A" w:rsidRDefault="00A02C86">
      <w:pPr>
        <w:spacing w:after="252" w:line="259" w:lineRule="auto"/>
        <w:ind w:left="435" w:right="777"/>
      </w:pPr>
      <w:r>
        <w:t xml:space="preserve">Table 8 </w:t>
      </w:r>
    </w:p>
    <w:p w:rsidR="0023438A" w:rsidRDefault="00A02C86">
      <w:pPr>
        <w:spacing w:after="96" w:line="267" w:lineRule="auto"/>
        <w:ind w:left="435" w:right="715"/>
      </w:pPr>
      <w:r>
        <w:rPr>
          <w:i/>
        </w:rPr>
        <w:t>Descriptive Comparison of Parallel RQ2 Questionnaire Items by Group</w:t>
      </w:r>
      <w:r>
        <w:t xml:space="preserve"> </w:t>
      </w:r>
    </w:p>
    <w:tbl>
      <w:tblPr>
        <w:tblStyle w:val="TableGrid"/>
        <w:tblW w:w="9374" w:type="dxa"/>
        <w:tblInd w:w="426" w:type="dxa"/>
        <w:tblCellMar>
          <w:top w:w="7" w:type="dxa"/>
          <w:left w:w="0" w:type="dxa"/>
          <w:bottom w:w="0" w:type="dxa"/>
          <w:right w:w="46" w:type="dxa"/>
        </w:tblCellMar>
        <w:tblLook w:val="04A0" w:firstRow="1" w:lastRow="0" w:firstColumn="1" w:lastColumn="0" w:noHBand="0" w:noVBand="1"/>
      </w:tblPr>
      <w:tblGrid>
        <w:gridCol w:w="5116"/>
        <w:gridCol w:w="754"/>
        <w:gridCol w:w="1334"/>
        <w:gridCol w:w="814"/>
        <w:gridCol w:w="811"/>
        <w:gridCol w:w="545"/>
      </w:tblGrid>
      <w:tr w:rsidR="0023438A">
        <w:trPr>
          <w:trHeight w:val="406"/>
        </w:trPr>
        <w:tc>
          <w:tcPr>
            <w:tcW w:w="5870" w:type="dxa"/>
            <w:gridSpan w:val="2"/>
            <w:tcBorders>
              <w:top w:val="single" w:sz="4" w:space="0" w:color="000000"/>
              <w:left w:val="nil"/>
              <w:bottom w:val="single" w:sz="4" w:space="0" w:color="000000"/>
              <w:right w:val="nil"/>
            </w:tcBorders>
          </w:tcPr>
          <w:p w:rsidR="0023438A" w:rsidRDefault="00A02C86">
            <w:pPr>
              <w:tabs>
                <w:tab w:val="center" w:pos="302"/>
                <w:tab w:val="center" w:pos="5177"/>
              </w:tabs>
              <w:spacing w:after="0" w:line="259" w:lineRule="auto"/>
              <w:ind w:left="0" w:firstLine="0"/>
            </w:pPr>
            <w:r>
              <w:rPr>
                <w:rFonts w:ascii="Calibri" w:eastAsia="Calibri" w:hAnsi="Calibri" w:cs="Calibri"/>
                <w:sz w:val="22"/>
              </w:rPr>
              <w:tab/>
            </w:r>
            <w:r>
              <w:t xml:space="preserve"> </w:t>
            </w:r>
            <w:r>
              <w:tab/>
            </w:r>
            <w:r>
              <w:rPr>
                <w:i/>
              </w:rPr>
              <w:t xml:space="preserve">n </w:t>
            </w:r>
          </w:p>
        </w:tc>
        <w:tc>
          <w:tcPr>
            <w:tcW w:w="1334"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Group </w:t>
            </w:r>
          </w:p>
        </w:tc>
        <w:tc>
          <w:tcPr>
            <w:tcW w:w="814"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M</w:t>
            </w:r>
            <w:r>
              <w:t xml:space="preserve"> </w:t>
            </w:r>
          </w:p>
        </w:tc>
        <w:tc>
          <w:tcPr>
            <w:tcW w:w="811"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SD</w:t>
            </w:r>
            <w:r>
              <w:t xml:space="preserve"> </w:t>
            </w:r>
          </w:p>
        </w:tc>
        <w:tc>
          <w:tcPr>
            <w:tcW w:w="545"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 </w:t>
            </w:r>
          </w:p>
        </w:tc>
      </w:tr>
      <w:tr w:rsidR="0023438A">
        <w:trPr>
          <w:trHeight w:val="406"/>
        </w:trPr>
        <w:tc>
          <w:tcPr>
            <w:tcW w:w="5870" w:type="dxa"/>
            <w:gridSpan w:val="2"/>
            <w:tcBorders>
              <w:top w:val="single" w:sz="4" w:space="0" w:color="000000"/>
              <w:left w:val="nil"/>
              <w:bottom w:val="single" w:sz="4" w:space="0" w:color="000000"/>
              <w:right w:val="nil"/>
            </w:tcBorders>
          </w:tcPr>
          <w:p w:rsidR="0023438A" w:rsidRDefault="00A02C86">
            <w:pPr>
              <w:spacing w:after="0" w:line="259" w:lineRule="auto"/>
              <w:ind w:left="0" w:right="414" w:firstLine="0"/>
              <w:jc w:val="right"/>
            </w:pPr>
            <w:r>
              <w:t xml:space="preserve">Barrier Scale </w:t>
            </w:r>
          </w:p>
        </w:tc>
        <w:tc>
          <w:tcPr>
            <w:tcW w:w="133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1"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734"/>
        </w:trPr>
        <w:tc>
          <w:tcPr>
            <w:tcW w:w="5117" w:type="dxa"/>
            <w:tcBorders>
              <w:top w:val="single" w:sz="4" w:space="0" w:color="000000"/>
              <w:left w:val="nil"/>
              <w:bottom w:val="nil"/>
              <w:right w:val="nil"/>
            </w:tcBorders>
          </w:tcPr>
          <w:p w:rsidR="0023438A" w:rsidRDefault="00A02C86">
            <w:pPr>
              <w:spacing w:after="0" w:line="259" w:lineRule="auto"/>
              <w:ind w:left="302" w:firstLine="0"/>
              <w:jc w:val="both"/>
            </w:pPr>
            <w:r>
              <w:t xml:space="preserve">Current Work-Based Learning programs are meeting the needs  </w:t>
            </w:r>
          </w:p>
        </w:tc>
        <w:tc>
          <w:tcPr>
            <w:tcW w:w="754" w:type="dxa"/>
            <w:tcBorders>
              <w:top w:val="single" w:sz="4" w:space="0" w:color="000000"/>
              <w:left w:val="nil"/>
              <w:bottom w:val="nil"/>
              <w:right w:val="nil"/>
            </w:tcBorders>
          </w:tcPr>
          <w:p w:rsidR="0023438A" w:rsidRDefault="00A02C86">
            <w:pPr>
              <w:spacing w:after="96" w:line="259" w:lineRule="auto"/>
              <w:ind w:left="0" w:firstLine="0"/>
            </w:pPr>
            <w:r>
              <w:t xml:space="preserve">90 </w:t>
            </w:r>
          </w:p>
          <w:p w:rsidR="0023438A" w:rsidRDefault="00A02C86">
            <w:pPr>
              <w:spacing w:after="0" w:line="259" w:lineRule="auto"/>
              <w:ind w:left="0" w:firstLine="0"/>
            </w:pPr>
            <w:r>
              <w:t>131</w:t>
            </w:r>
            <w:r>
              <w:t xml:space="preserve"> </w:t>
            </w:r>
          </w:p>
        </w:tc>
        <w:tc>
          <w:tcPr>
            <w:tcW w:w="1334" w:type="dxa"/>
            <w:tcBorders>
              <w:top w:val="single" w:sz="4" w:space="0" w:color="000000"/>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single" w:sz="4" w:space="0" w:color="000000"/>
              <w:left w:val="nil"/>
              <w:bottom w:val="nil"/>
              <w:right w:val="nil"/>
            </w:tcBorders>
          </w:tcPr>
          <w:p w:rsidR="0023438A" w:rsidRDefault="00A02C86">
            <w:pPr>
              <w:spacing w:after="96" w:line="259" w:lineRule="auto"/>
              <w:ind w:left="0" w:firstLine="0"/>
            </w:pPr>
            <w:r>
              <w:t xml:space="preserve">2.56 </w:t>
            </w:r>
          </w:p>
          <w:p w:rsidR="0023438A" w:rsidRDefault="00A02C86">
            <w:pPr>
              <w:spacing w:after="0" w:line="259" w:lineRule="auto"/>
              <w:ind w:left="0" w:firstLine="0"/>
            </w:pPr>
            <w:r>
              <w:t>2.08</w:t>
            </w:r>
            <w:r>
              <w:t xml:space="preserve"> </w:t>
            </w:r>
          </w:p>
        </w:tc>
        <w:tc>
          <w:tcPr>
            <w:tcW w:w="811" w:type="dxa"/>
            <w:tcBorders>
              <w:top w:val="single" w:sz="4" w:space="0" w:color="000000"/>
              <w:left w:val="nil"/>
              <w:bottom w:val="nil"/>
              <w:right w:val="nil"/>
            </w:tcBorders>
          </w:tcPr>
          <w:p w:rsidR="0023438A" w:rsidRDefault="00A02C86">
            <w:pPr>
              <w:spacing w:after="96" w:line="259" w:lineRule="auto"/>
              <w:ind w:left="0" w:firstLine="0"/>
            </w:pPr>
            <w:r>
              <w:t xml:space="preserve">1.21 </w:t>
            </w:r>
          </w:p>
          <w:p w:rsidR="0023438A" w:rsidRDefault="00A02C86">
            <w:pPr>
              <w:spacing w:after="0" w:line="259" w:lineRule="auto"/>
              <w:ind w:left="0" w:firstLine="0"/>
            </w:pPr>
            <w:r>
              <w:t>1.48</w:t>
            </w:r>
            <w:r>
              <w:t xml:space="preserve"> </w:t>
            </w:r>
          </w:p>
        </w:tc>
        <w:tc>
          <w:tcPr>
            <w:tcW w:w="545" w:type="dxa"/>
            <w:tcBorders>
              <w:top w:val="single" w:sz="4" w:space="0" w:color="000000"/>
              <w:left w:val="nil"/>
              <w:bottom w:val="nil"/>
              <w:right w:val="nil"/>
            </w:tcBorders>
          </w:tcPr>
          <w:p w:rsidR="0023438A" w:rsidRDefault="00A02C86">
            <w:pPr>
              <w:spacing w:after="96" w:line="259" w:lineRule="auto"/>
              <w:ind w:left="0" w:firstLine="0"/>
              <w:jc w:val="both"/>
            </w:pPr>
            <w:r>
              <w:t xml:space="preserve">61% </w:t>
            </w:r>
          </w:p>
          <w:p w:rsidR="0023438A" w:rsidRDefault="00A02C86">
            <w:pPr>
              <w:spacing w:after="0" w:line="259" w:lineRule="auto"/>
              <w:ind w:left="0" w:firstLine="0"/>
              <w:jc w:val="both"/>
            </w:pPr>
            <w:r>
              <w:t>50%</w:t>
            </w:r>
            <w:r>
              <w:t xml:space="preserve"> </w:t>
            </w:r>
          </w:p>
        </w:tc>
      </w:tr>
      <w:tr w:rsidR="0023438A">
        <w:trPr>
          <w:trHeight w:val="792"/>
        </w:trPr>
        <w:tc>
          <w:tcPr>
            <w:tcW w:w="5117" w:type="dxa"/>
            <w:tcBorders>
              <w:top w:val="nil"/>
              <w:left w:val="nil"/>
              <w:bottom w:val="nil"/>
              <w:right w:val="nil"/>
            </w:tcBorders>
          </w:tcPr>
          <w:p w:rsidR="0023438A" w:rsidRDefault="00A02C86">
            <w:pPr>
              <w:spacing w:after="0" w:line="259" w:lineRule="auto"/>
              <w:ind w:left="302" w:firstLine="0"/>
            </w:pPr>
            <w:r>
              <w:t xml:space="preserve">Interest in apprenticeship is lacking </w:t>
            </w:r>
          </w:p>
        </w:tc>
        <w:tc>
          <w:tcPr>
            <w:tcW w:w="754" w:type="dxa"/>
            <w:tcBorders>
              <w:top w:val="nil"/>
              <w:left w:val="nil"/>
              <w:bottom w:val="nil"/>
              <w:right w:val="nil"/>
            </w:tcBorders>
          </w:tcPr>
          <w:p w:rsidR="0023438A" w:rsidRDefault="00A02C86">
            <w:pPr>
              <w:spacing w:after="96" w:line="259" w:lineRule="auto"/>
              <w:ind w:left="1" w:firstLine="0"/>
            </w:pPr>
            <w:r>
              <w:t xml:space="preserve">90 </w:t>
            </w:r>
          </w:p>
          <w:p w:rsidR="0023438A" w:rsidRDefault="00A02C86">
            <w:pPr>
              <w:spacing w:after="0" w:line="259" w:lineRule="auto"/>
              <w:ind w:left="0" w:firstLine="0"/>
            </w:pPr>
            <w:r>
              <w:t>129</w:t>
            </w:r>
            <w:r>
              <w:t xml:space="preserve"> </w:t>
            </w:r>
          </w:p>
        </w:tc>
        <w:tc>
          <w:tcPr>
            <w:tcW w:w="1334"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nil"/>
              <w:right w:val="nil"/>
            </w:tcBorders>
          </w:tcPr>
          <w:p w:rsidR="0023438A" w:rsidRDefault="00A02C86">
            <w:pPr>
              <w:spacing w:after="96" w:line="259" w:lineRule="auto"/>
              <w:ind w:left="0" w:firstLine="0"/>
            </w:pPr>
            <w:r>
              <w:t xml:space="preserve">2.28 </w:t>
            </w:r>
          </w:p>
          <w:p w:rsidR="0023438A" w:rsidRDefault="00A02C86">
            <w:pPr>
              <w:spacing w:after="0" w:line="259" w:lineRule="auto"/>
              <w:ind w:left="0" w:firstLine="0"/>
            </w:pPr>
            <w:r>
              <w:t>2.14</w:t>
            </w:r>
            <w:r>
              <w:t xml:space="preserve"> </w:t>
            </w:r>
          </w:p>
        </w:tc>
        <w:tc>
          <w:tcPr>
            <w:tcW w:w="811" w:type="dxa"/>
            <w:tcBorders>
              <w:top w:val="nil"/>
              <w:left w:val="nil"/>
              <w:bottom w:val="nil"/>
              <w:right w:val="nil"/>
            </w:tcBorders>
          </w:tcPr>
          <w:p w:rsidR="0023438A" w:rsidRDefault="00A02C86">
            <w:pPr>
              <w:spacing w:after="96" w:line="259" w:lineRule="auto"/>
              <w:ind w:left="0" w:firstLine="0"/>
            </w:pPr>
            <w:r>
              <w:t xml:space="preserve">1.15 </w:t>
            </w:r>
          </w:p>
          <w:p w:rsidR="0023438A" w:rsidRDefault="00A02C86">
            <w:pPr>
              <w:spacing w:after="0" w:line="259" w:lineRule="auto"/>
              <w:ind w:left="0" w:firstLine="0"/>
            </w:pPr>
            <w:r>
              <w:t>1.46</w:t>
            </w:r>
            <w:r>
              <w:t xml:space="preserve"> </w:t>
            </w:r>
          </w:p>
        </w:tc>
        <w:tc>
          <w:tcPr>
            <w:tcW w:w="545" w:type="dxa"/>
            <w:tcBorders>
              <w:top w:val="nil"/>
              <w:left w:val="nil"/>
              <w:bottom w:val="nil"/>
              <w:right w:val="nil"/>
            </w:tcBorders>
          </w:tcPr>
          <w:p w:rsidR="0023438A" w:rsidRDefault="00A02C86">
            <w:pPr>
              <w:spacing w:after="96" w:line="259" w:lineRule="auto"/>
              <w:ind w:left="0" w:firstLine="0"/>
              <w:jc w:val="both"/>
            </w:pPr>
            <w:r>
              <w:t xml:space="preserve">44% </w:t>
            </w:r>
          </w:p>
          <w:p w:rsidR="0023438A" w:rsidRDefault="00A02C86">
            <w:pPr>
              <w:spacing w:after="0" w:line="259" w:lineRule="auto"/>
              <w:ind w:left="0" w:firstLine="0"/>
              <w:jc w:val="both"/>
            </w:pPr>
            <w:r>
              <w:t>46%</w:t>
            </w:r>
            <w:r>
              <w:t xml:space="preserve"> </w:t>
            </w:r>
          </w:p>
        </w:tc>
      </w:tr>
      <w:tr w:rsidR="0023438A">
        <w:trPr>
          <w:trHeight w:val="860"/>
        </w:trPr>
        <w:tc>
          <w:tcPr>
            <w:tcW w:w="5117" w:type="dxa"/>
            <w:tcBorders>
              <w:top w:val="nil"/>
              <w:left w:val="nil"/>
              <w:bottom w:val="single" w:sz="4" w:space="0" w:color="000000"/>
              <w:right w:val="nil"/>
            </w:tcBorders>
          </w:tcPr>
          <w:p w:rsidR="0023438A" w:rsidRDefault="00A02C86">
            <w:pPr>
              <w:spacing w:after="0" w:line="259" w:lineRule="auto"/>
              <w:ind w:left="302" w:right="105" w:firstLine="0"/>
            </w:pPr>
            <w:r>
              <w:t xml:space="preserve">Potential for a shifting economic climate causing business instability and/or layoffs. </w:t>
            </w:r>
          </w:p>
        </w:tc>
        <w:tc>
          <w:tcPr>
            <w:tcW w:w="754" w:type="dxa"/>
            <w:tcBorders>
              <w:top w:val="nil"/>
              <w:left w:val="nil"/>
              <w:bottom w:val="single" w:sz="4" w:space="0" w:color="000000"/>
              <w:right w:val="nil"/>
            </w:tcBorders>
          </w:tcPr>
          <w:p w:rsidR="0023438A" w:rsidRDefault="00A02C86">
            <w:pPr>
              <w:spacing w:after="96" w:line="259" w:lineRule="auto"/>
              <w:ind w:left="0" w:firstLine="0"/>
            </w:pPr>
            <w:r>
              <w:t xml:space="preserve">89 </w:t>
            </w:r>
          </w:p>
          <w:p w:rsidR="0023438A" w:rsidRDefault="00A02C86">
            <w:pPr>
              <w:spacing w:after="0" w:line="259" w:lineRule="auto"/>
              <w:ind w:left="0" w:firstLine="0"/>
            </w:pPr>
            <w:r>
              <w:t>131</w:t>
            </w:r>
            <w:r>
              <w:t xml:space="preserve"> </w:t>
            </w:r>
          </w:p>
        </w:tc>
        <w:tc>
          <w:tcPr>
            <w:tcW w:w="1334" w:type="dxa"/>
            <w:tcBorders>
              <w:top w:val="nil"/>
              <w:left w:val="nil"/>
              <w:bottom w:val="single" w:sz="4" w:space="0" w:color="000000"/>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single" w:sz="4" w:space="0" w:color="000000"/>
              <w:right w:val="nil"/>
            </w:tcBorders>
          </w:tcPr>
          <w:p w:rsidR="0023438A" w:rsidRDefault="00A02C86">
            <w:pPr>
              <w:spacing w:after="96" w:line="259" w:lineRule="auto"/>
              <w:ind w:left="0" w:firstLine="0"/>
            </w:pPr>
            <w:r>
              <w:t xml:space="preserve">2.30 </w:t>
            </w:r>
          </w:p>
          <w:p w:rsidR="0023438A" w:rsidRDefault="00A02C86">
            <w:pPr>
              <w:spacing w:after="0" w:line="259" w:lineRule="auto"/>
              <w:ind w:left="0" w:firstLine="0"/>
            </w:pPr>
            <w:r>
              <w:t>1.96</w:t>
            </w:r>
            <w:r>
              <w:t xml:space="preserve"> </w:t>
            </w:r>
          </w:p>
        </w:tc>
        <w:tc>
          <w:tcPr>
            <w:tcW w:w="811" w:type="dxa"/>
            <w:tcBorders>
              <w:top w:val="nil"/>
              <w:left w:val="nil"/>
              <w:bottom w:val="single" w:sz="4" w:space="0" w:color="000000"/>
              <w:right w:val="nil"/>
            </w:tcBorders>
          </w:tcPr>
          <w:p w:rsidR="0023438A" w:rsidRDefault="00A02C86">
            <w:pPr>
              <w:spacing w:after="96" w:line="259" w:lineRule="auto"/>
              <w:ind w:left="0" w:firstLine="0"/>
            </w:pPr>
            <w:r>
              <w:t xml:space="preserve">1.13 </w:t>
            </w:r>
          </w:p>
          <w:p w:rsidR="0023438A" w:rsidRDefault="00A02C86">
            <w:pPr>
              <w:spacing w:after="0" w:line="259" w:lineRule="auto"/>
              <w:ind w:left="0" w:firstLine="0"/>
            </w:pPr>
            <w:r>
              <w:t>1.42</w:t>
            </w:r>
            <w:r>
              <w:t xml:space="preserve"> </w:t>
            </w:r>
          </w:p>
        </w:tc>
        <w:tc>
          <w:tcPr>
            <w:tcW w:w="545" w:type="dxa"/>
            <w:tcBorders>
              <w:top w:val="nil"/>
              <w:left w:val="nil"/>
              <w:bottom w:val="single" w:sz="4" w:space="0" w:color="000000"/>
              <w:right w:val="nil"/>
            </w:tcBorders>
          </w:tcPr>
          <w:p w:rsidR="0023438A" w:rsidRDefault="00A02C86">
            <w:pPr>
              <w:spacing w:after="96" w:line="259" w:lineRule="auto"/>
              <w:ind w:left="0" w:firstLine="0"/>
              <w:jc w:val="both"/>
            </w:pPr>
            <w:r>
              <w:t xml:space="preserve">55% </w:t>
            </w:r>
          </w:p>
          <w:p w:rsidR="0023438A" w:rsidRDefault="00A02C86">
            <w:pPr>
              <w:spacing w:after="0" w:line="259" w:lineRule="auto"/>
              <w:ind w:left="0" w:firstLine="0"/>
              <w:jc w:val="both"/>
            </w:pPr>
            <w:r>
              <w:t>39%</w:t>
            </w:r>
            <w:r>
              <w:t xml:space="preserve"> </w:t>
            </w:r>
          </w:p>
        </w:tc>
      </w:tr>
      <w:tr w:rsidR="0023438A">
        <w:trPr>
          <w:trHeight w:val="408"/>
        </w:trPr>
        <w:tc>
          <w:tcPr>
            <w:tcW w:w="7205" w:type="dxa"/>
            <w:gridSpan w:val="3"/>
            <w:tcBorders>
              <w:top w:val="single" w:sz="4" w:space="0" w:color="000000"/>
              <w:left w:val="nil"/>
              <w:bottom w:val="single" w:sz="4" w:space="0" w:color="000000"/>
              <w:right w:val="nil"/>
            </w:tcBorders>
          </w:tcPr>
          <w:p w:rsidR="0023438A" w:rsidRDefault="00A02C86">
            <w:pPr>
              <w:spacing w:after="0" w:line="259" w:lineRule="auto"/>
              <w:ind w:left="3662" w:firstLine="0"/>
            </w:pPr>
            <w:r>
              <w:t xml:space="preserve">Resource Priority Scale </w:t>
            </w:r>
          </w:p>
        </w:tc>
        <w:tc>
          <w:tcPr>
            <w:tcW w:w="81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1"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890"/>
        </w:trPr>
        <w:tc>
          <w:tcPr>
            <w:tcW w:w="5117" w:type="dxa"/>
            <w:tcBorders>
              <w:top w:val="single" w:sz="4" w:space="0" w:color="000000"/>
              <w:left w:val="nil"/>
              <w:bottom w:val="nil"/>
              <w:right w:val="nil"/>
            </w:tcBorders>
          </w:tcPr>
          <w:p w:rsidR="0023438A" w:rsidRDefault="00A02C86">
            <w:pPr>
              <w:spacing w:after="0" w:line="259" w:lineRule="auto"/>
              <w:ind w:left="302" w:firstLine="0"/>
            </w:pPr>
            <w:r>
              <w:t xml:space="preserve">Grant funding to offset increased costs for administration, training, supervision and instructors. </w:t>
            </w:r>
          </w:p>
        </w:tc>
        <w:tc>
          <w:tcPr>
            <w:tcW w:w="754" w:type="dxa"/>
            <w:tcBorders>
              <w:top w:val="single" w:sz="4" w:space="0" w:color="000000"/>
              <w:left w:val="nil"/>
              <w:bottom w:val="nil"/>
              <w:right w:val="nil"/>
            </w:tcBorders>
          </w:tcPr>
          <w:p w:rsidR="0023438A" w:rsidRDefault="00A02C86">
            <w:pPr>
              <w:spacing w:after="96" w:line="259" w:lineRule="auto"/>
              <w:ind w:left="0" w:firstLine="0"/>
            </w:pPr>
            <w:r>
              <w:t xml:space="preserve">90 </w:t>
            </w:r>
          </w:p>
          <w:p w:rsidR="0023438A" w:rsidRDefault="00A02C86">
            <w:pPr>
              <w:spacing w:after="0" w:line="259" w:lineRule="auto"/>
              <w:ind w:left="0" w:firstLine="0"/>
            </w:pPr>
            <w:r>
              <w:t>130</w:t>
            </w:r>
            <w:r>
              <w:t xml:space="preserve"> </w:t>
            </w:r>
          </w:p>
        </w:tc>
        <w:tc>
          <w:tcPr>
            <w:tcW w:w="1334" w:type="dxa"/>
            <w:tcBorders>
              <w:top w:val="single" w:sz="4" w:space="0" w:color="000000"/>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single" w:sz="4" w:space="0" w:color="000000"/>
              <w:left w:val="nil"/>
              <w:bottom w:val="nil"/>
              <w:right w:val="nil"/>
            </w:tcBorders>
          </w:tcPr>
          <w:p w:rsidR="0023438A" w:rsidRDefault="00A02C86">
            <w:pPr>
              <w:spacing w:after="96" w:line="259" w:lineRule="auto"/>
              <w:ind w:left="0" w:firstLine="0"/>
            </w:pPr>
            <w:r>
              <w:t xml:space="preserve">3.35 </w:t>
            </w:r>
          </w:p>
          <w:p w:rsidR="0023438A" w:rsidRDefault="00A02C86">
            <w:pPr>
              <w:spacing w:after="0" w:line="259" w:lineRule="auto"/>
              <w:ind w:left="0" w:firstLine="0"/>
            </w:pPr>
            <w:r>
              <w:t>2.41</w:t>
            </w:r>
            <w:r>
              <w:t xml:space="preserve"> </w:t>
            </w:r>
          </w:p>
        </w:tc>
        <w:tc>
          <w:tcPr>
            <w:tcW w:w="811" w:type="dxa"/>
            <w:tcBorders>
              <w:top w:val="single" w:sz="4" w:space="0" w:color="000000"/>
              <w:left w:val="nil"/>
              <w:bottom w:val="nil"/>
              <w:right w:val="nil"/>
            </w:tcBorders>
          </w:tcPr>
          <w:p w:rsidR="0023438A" w:rsidRDefault="00A02C86">
            <w:pPr>
              <w:spacing w:after="96" w:line="259" w:lineRule="auto"/>
              <w:ind w:left="0" w:firstLine="0"/>
            </w:pPr>
            <w:r>
              <w:t xml:space="preserve">.73 </w:t>
            </w:r>
          </w:p>
          <w:p w:rsidR="0023438A" w:rsidRDefault="00A02C86">
            <w:pPr>
              <w:spacing w:after="0" w:line="259" w:lineRule="auto"/>
              <w:ind w:left="0" w:firstLine="0"/>
            </w:pPr>
            <w:r>
              <w:t>1.09</w:t>
            </w:r>
            <w:r>
              <w:t xml:space="preserve"> </w:t>
            </w:r>
          </w:p>
        </w:tc>
        <w:tc>
          <w:tcPr>
            <w:tcW w:w="545" w:type="dxa"/>
            <w:tcBorders>
              <w:top w:val="single" w:sz="4" w:space="0" w:color="000000"/>
              <w:left w:val="nil"/>
              <w:bottom w:val="nil"/>
              <w:right w:val="nil"/>
            </w:tcBorders>
          </w:tcPr>
          <w:p w:rsidR="0023438A" w:rsidRDefault="00A02C86">
            <w:pPr>
              <w:spacing w:after="96" w:line="259" w:lineRule="auto"/>
              <w:ind w:left="0" w:firstLine="0"/>
              <w:jc w:val="both"/>
            </w:pPr>
            <w:r>
              <w:t xml:space="preserve">89% </w:t>
            </w:r>
          </w:p>
          <w:p w:rsidR="0023438A" w:rsidRDefault="00A02C86">
            <w:pPr>
              <w:spacing w:after="0" w:line="259" w:lineRule="auto"/>
              <w:ind w:left="0" w:firstLine="0"/>
              <w:jc w:val="both"/>
            </w:pPr>
            <w:r>
              <w:t>74%</w:t>
            </w:r>
            <w:r>
              <w:t xml:space="preserve"> </w:t>
            </w:r>
          </w:p>
        </w:tc>
      </w:tr>
      <w:tr w:rsidR="0023438A">
        <w:trPr>
          <w:trHeight w:val="792"/>
        </w:trPr>
        <w:tc>
          <w:tcPr>
            <w:tcW w:w="5117" w:type="dxa"/>
            <w:tcBorders>
              <w:top w:val="nil"/>
              <w:left w:val="nil"/>
              <w:bottom w:val="nil"/>
              <w:right w:val="nil"/>
            </w:tcBorders>
          </w:tcPr>
          <w:p w:rsidR="0023438A" w:rsidRDefault="00A02C86">
            <w:pPr>
              <w:spacing w:after="0" w:line="259" w:lineRule="auto"/>
              <w:ind w:left="302" w:right="256" w:firstLine="0"/>
              <w:jc w:val="both"/>
            </w:pPr>
            <w:r>
              <w:t xml:space="preserve">More participants who are willing to commit to apprenticeship. </w:t>
            </w:r>
          </w:p>
        </w:tc>
        <w:tc>
          <w:tcPr>
            <w:tcW w:w="754" w:type="dxa"/>
            <w:tcBorders>
              <w:top w:val="nil"/>
              <w:left w:val="nil"/>
              <w:bottom w:val="nil"/>
              <w:right w:val="nil"/>
            </w:tcBorders>
          </w:tcPr>
          <w:p w:rsidR="0023438A" w:rsidRDefault="00A02C86">
            <w:pPr>
              <w:spacing w:after="96" w:line="259" w:lineRule="auto"/>
              <w:ind w:left="0" w:firstLine="0"/>
            </w:pPr>
            <w:r>
              <w:t xml:space="preserve">91 </w:t>
            </w:r>
          </w:p>
          <w:p w:rsidR="0023438A" w:rsidRDefault="00A02C86">
            <w:pPr>
              <w:spacing w:after="0" w:line="259" w:lineRule="auto"/>
              <w:ind w:left="0" w:firstLine="0"/>
            </w:pPr>
            <w:r>
              <w:t>131</w:t>
            </w:r>
            <w:r>
              <w:t xml:space="preserve"> </w:t>
            </w:r>
          </w:p>
        </w:tc>
        <w:tc>
          <w:tcPr>
            <w:tcW w:w="1334"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nil"/>
              <w:right w:val="nil"/>
            </w:tcBorders>
          </w:tcPr>
          <w:p w:rsidR="0023438A" w:rsidRDefault="00A02C86">
            <w:pPr>
              <w:spacing w:after="96" w:line="259" w:lineRule="auto"/>
              <w:ind w:left="0" w:firstLine="0"/>
            </w:pPr>
            <w:r>
              <w:t xml:space="preserve">3.52 </w:t>
            </w:r>
          </w:p>
          <w:p w:rsidR="0023438A" w:rsidRDefault="00A02C86">
            <w:pPr>
              <w:spacing w:after="0" w:line="259" w:lineRule="auto"/>
              <w:ind w:left="0" w:firstLine="0"/>
            </w:pPr>
            <w:r>
              <w:t>3.06</w:t>
            </w:r>
            <w:r>
              <w:t xml:space="preserve"> </w:t>
            </w:r>
          </w:p>
        </w:tc>
        <w:tc>
          <w:tcPr>
            <w:tcW w:w="811" w:type="dxa"/>
            <w:tcBorders>
              <w:top w:val="nil"/>
              <w:left w:val="nil"/>
              <w:bottom w:val="nil"/>
              <w:right w:val="nil"/>
            </w:tcBorders>
          </w:tcPr>
          <w:p w:rsidR="0023438A" w:rsidRDefault="00A02C86">
            <w:pPr>
              <w:spacing w:after="96" w:line="259" w:lineRule="auto"/>
              <w:ind w:left="0" w:firstLine="0"/>
            </w:pPr>
            <w:r>
              <w:t xml:space="preserve">.70 </w:t>
            </w:r>
          </w:p>
          <w:p w:rsidR="0023438A" w:rsidRDefault="00A02C86">
            <w:pPr>
              <w:spacing w:after="0" w:line="259" w:lineRule="auto"/>
              <w:ind w:left="0" w:firstLine="0"/>
            </w:pPr>
            <w:r>
              <w:t>1.05</w:t>
            </w:r>
            <w:r>
              <w:t xml:space="preserve"> </w:t>
            </w:r>
          </w:p>
        </w:tc>
        <w:tc>
          <w:tcPr>
            <w:tcW w:w="545" w:type="dxa"/>
            <w:tcBorders>
              <w:top w:val="nil"/>
              <w:left w:val="nil"/>
              <w:bottom w:val="nil"/>
              <w:right w:val="nil"/>
            </w:tcBorders>
          </w:tcPr>
          <w:p w:rsidR="0023438A" w:rsidRDefault="00A02C86">
            <w:pPr>
              <w:spacing w:after="96" w:line="259" w:lineRule="auto"/>
              <w:ind w:left="0" w:firstLine="0"/>
              <w:jc w:val="both"/>
            </w:pPr>
            <w:r>
              <w:t xml:space="preserve">92% </w:t>
            </w:r>
          </w:p>
          <w:p w:rsidR="0023438A" w:rsidRDefault="00A02C86">
            <w:pPr>
              <w:spacing w:after="0" w:line="259" w:lineRule="auto"/>
              <w:ind w:left="0" w:firstLine="0"/>
              <w:jc w:val="both"/>
            </w:pPr>
            <w:r>
              <w:t>76%</w:t>
            </w:r>
            <w:r>
              <w:t xml:space="preserve"> </w:t>
            </w:r>
          </w:p>
        </w:tc>
      </w:tr>
      <w:tr w:rsidR="0023438A">
        <w:trPr>
          <w:trHeight w:val="792"/>
        </w:trPr>
        <w:tc>
          <w:tcPr>
            <w:tcW w:w="5117" w:type="dxa"/>
            <w:tcBorders>
              <w:top w:val="nil"/>
              <w:left w:val="nil"/>
              <w:bottom w:val="nil"/>
              <w:right w:val="nil"/>
            </w:tcBorders>
          </w:tcPr>
          <w:p w:rsidR="0023438A" w:rsidRDefault="00A02C86">
            <w:pPr>
              <w:spacing w:after="0" w:line="259" w:lineRule="auto"/>
              <w:ind w:left="302" w:firstLine="0"/>
            </w:pPr>
            <w:r>
              <w:t xml:space="preserve">Reduced and streamlined administrative requirements. </w:t>
            </w:r>
          </w:p>
        </w:tc>
        <w:tc>
          <w:tcPr>
            <w:tcW w:w="754" w:type="dxa"/>
            <w:tcBorders>
              <w:top w:val="nil"/>
              <w:left w:val="nil"/>
              <w:bottom w:val="nil"/>
              <w:right w:val="nil"/>
            </w:tcBorders>
          </w:tcPr>
          <w:p w:rsidR="0023438A" w:rsidRDefault="00A02C86">
            <w:pPr>
              <w:spacing w:after="96" w:line="259" w:lineRule="auto"/>
              <w:ind w:left="0" w:firstLine="0"/>
            </w:pPr>
            <w:r>
              <w:t xml:space="preserve">91 </w:t>
            </w:r>
          </w:p>
          <w:p w:rsidR="0023438A" w:rsidRDefault="00A02C86">
            <w:pPr>
              <w:spacing w:after="0" w:line="259" w:lineRule="auto"/>
              <w:ind w:left="0" w:firstLine="0"/>
            </w:pPr>
            <w:r>
              <w:t>131</w:t>
            </w:r>
            <w:r>
              <w:t xml:space="preserve"> </w:t>
            </w:r>
          </w:p>
        </w:tc>
        <w:tc>
          <w:tcPr>
            <w:tcW w:w="1334"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nil"/>
              <w:right w:val="nil"/>
            </w:tcBorders>
          </w:tcPr>
          <w:p w:rsidR="0023438A" w:rsidRDefault="00A02C86">
            <w:pPr>
              <w:spacing w:after="96" w:line="259" w:lineRule="auto"/>
              <w:ind w:left="0" w:firstLine="0"/>
            </w:pPr>
            <w:r>
              <w:t xml:space="preserve">3.02 </w:t>
            </w:r>
          </w:p>
          <w:p w:rsidR="0023438A" w:rsidRDefault="00A02C86">
            <w:pPr>
              <w:spacing w:after="0" w:line="259" w:lineRule="auto"/>
              <w:ind w:left="0" w:firstLine="0"/>
            </w:pPr>
            <w:r>
              <w:t>2.86</w:t>
            </w:r>
            <w:r>
              <w:t xml:space="preserve"> </w:t>
            </w:r>
          </w:p>
        </w:tc>
        <w:tc>
          <w:tcPr>
            <w:tcW w:w="811" w:type="dxa"/>
            <w:tcBorders>
              <w:top w:val="nil"/>
              <w:left w:val="nil"/>
              <w:bottom w:val="nil"/>
              <w:right w:val="nil"/>
            </w:tcBorders>
          </w:tcPr>
          <w:p w:rsidR="0023438A" w:rsidRDefault="00A02C86">
            <w:pPr>
              <w:spacing w:after="96" w:line="259" w:lineRule="auto"/>
              <w:ind w:left="0" w:firstLine="0"/>
            </w:pPr>
            <w:r>
              <w:t xml:space="preserve">.82 </w:t>
            </w:r>
          </w:p>
          <w:p w:rsidR="0023438A" w:rsidRDefault="00A02C86">
            <w:pPr>
              <w:spacing w:after="0" w:line="259" w:lineRule="auto"/>
              <w:ind w:left="0" w:firstLine="0"/>
            </w:pPr>
            <w:r>
              <w:t>1.04</w:t>
            </w:r>
            <w:r>
              <w:t xml:space="preserve"> </w:t>
            </w:r>
          </w:p>
        </w:tc>
        <w:tc>
          <w:tcPr>
            <w:tcW w:w="545" w:type="dxa"/>
            <w:tcBorders>
              <w:top w:val="nil"/>
              <w:left w:val="nil"/>
              <w:bottom w:val="nil"/>
              <w:right w:val="nil"/>
            </w:tcBorders>
          </w:tcPr>
          <w:p w:rsidR="0023438A" w:rsidRDefault="00A02C86">
            <w:pPr>
              <w:spacing w:after="96" w:line="259" w:lineRule="auto"/>
              <w:ind w:left="0" w:firstLine="0"/>
              <w:jc w:val="both"/>
            </w:pPr>
            <w:r>
              <w:t xml:space="preserve">78% </w:t>
            </w:r>
          </w:p>
          <w:p w:rsidR="0023438A" w:rsidRDefault="00A02C86">
            <w:pPr>
              <w:spacing w:after="0" w:line="259" w:lineRule="auto"/>
              <w:ind w:left="0" w:firstLine="0"/>
              <w:jc w:val="both"/>
            </w:pPr>
            <w:r>
              <w:t>71%</w:t>
            </w:r>
            <w:r>
              <w:t xml:space="preserve"> </w:t>
            </w:r>
          </w:p>
        </w:tc>
      </w:tr>
      <w:tr w:rsidR="0023438A">
        <w:trPr>
          <w:trHeight w:val="948"/>
        </w:trPr>
        <w:tc>
          <w:tcPr>
            <w:tcW w:w="5117" w:type="dxa"/>
            <w:tcBorders>
              <w:top w:val="nil"/>
              <w:left w:val="nil"/>
              <w:bottom w:val="nil"/>
              <w:right w:val="nil"/>
            </w:tcBorders>
          </w:tcPr>
          <w:p w:rsidR="0023438A" w:rsidRDefault="00A02C86">
            <w:pPr>
              <w:spacing w:after="0" w:line="259" w:lineRule="auto"/>
              <w:ind w:left="302" w:firstLine="0"/>
            </w:pPr>
            <w:r>
              <w:t xml:space="preserve">Alleviate the hurdles for getting training programs approved by the U.S. Department of Labor. </w:t>
            </w:r>
          </w:p>
        </w:tc>
        <w:tc>
          <w:tcPr>
            <w:tcW w:w="754" w:type="dxa"/>
            <w:tcBorders>
              <w:top w:val="nil"/>
              <w:left w:val="nil"/>
              <w:bottom w:val="nil"/>
              <w:right w:val="nil"/>
            </w:tcBorders>
          </w:tcPr>
          <w:p w:rsidR="0023438A" w:rsidRDefault="00A02C86">
            <w:pPr>
              <w:spacing w:after="96" w:line="259" w:lineRule="auto"/>
              <w:ind w:left="0" w:firstLine="0"/>
            </w:pPr>
            <w:r>
              <w:t xml:space="preserve">91 </w:t>
            </w:r>
          </w:p>
          <w:p w:rsidR="0023438A" w:rsidRDefault="00A02C86">
            <w:pPr>
              <w:spacing w:after="0" w:line="259" w:lineRule="auto"/>
              <w:ind w:left="0" w:firstLine="0"/>
            </w:pPr>
            <w:r>
              <w:t>130</w:t>
            </w:r>
            <w:r>
              <w:t xml:space="preserve"> </w:t>
            </w:r>
          </w:p>
        </w:tc>
        <w:tc>
          <w:tcPr>
            <w:tcW w:w="1334"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nil"/>
              <w:right w:val="nil"/>
            </w:tcBorders>
          </w:tcPr>
          <w:p w:rsidR="0023438A" w:rsidRDefault="00A02C86">
            <w:pPr>
              <w:spacing w:after="96" w:line="259" w:lineRule="auto"/>
              <w:ind w:left="0" w:firstLine="0"/>
            </w:pPr>
            <w:r>
              <w:t xml:space="preserve">3.26 </w:t>
            </w:r>
          </w:p>
          <w:p w:rsidR="0023438A" w:rsidRDefault="00A02C86">
            <w:pPr>
              <w:spacing w:after="0" w:line="259" w:lineRule="auto"/>
              <w:ind w:left="0" w:firstLine="0"/>
            </w:pPr>
            <w:r>
              <w:t>2.83</w:t>
            </w:r>
            <w:r>
              <w:t xml:space="preserve"> </w:t>
            </w:r>
          </w:p>
        </w:tc>
        <w:tc>
          <w:tcPr>
            <w:tcW w:w="811" w:type="dxa"/>
            <w:tcBorders>
              <w:top w:val="nil"/>
              <w:left w:val="nil"/>
              <w:bottom w:val="nil"/>
              <w:right w:val="nil"/>
            </w:tcBorders>
          </w:tcPr>
          <w:p w:rsidR="0023438A" w:rsidRDefault="00A02C86">
            <w:pPr>
              <w:spacing w:after="96" w:line="259" w:lineRule="auto"/>
              <w:ind w:left="0" w:firstLine="0"/>
            </w:pPr>
            <w:r>
              <w:t xml:space="preserve">.86 </w:t>
            </w:r>
          </w:p>
          <w:p w:rsidR="0023438A" w:rsidRDefault="00A02C86">
            <w:pPr>
              <w:spacing w:after="0" w:line="259" w:lineRule="auto"/>
              <w:ind w:left="0" w:firstLine="0"/>
            </w:pPr>
            <w:r>
              <w:t>1.13</w:t>
            </w:r>
            <w:r>
              <w:t xml:space="preserve"> </w:t>
            </w:r>
          </w:p>
        </w:tc>
        <w:tc>
          <w:tcPr>
            <w:tcW w:w="545" w:type="dxa"/>
            <w:tcBorders>
              <w:top w:val="nil"/>
              <w:left w:val="nil"/>
              <w:bottom w:val="nil"/>
              <w:right w:val="nil"/>
            </w:tcBorders>
          </w:tcPr>
          <w:p w:rsidR="0023438A" w:rsidRDefault="00A02C86">
            <w:pPr>
              <w:spacing w:after="96" w:line="259" w:lineRule="auto"/>
              <w:ind w:left="0" w:firstLine="0"/>
              <w:jc w:val="both"/>
            </w:pPr>
            <w:r>
              <w:t xml:space="preserve">86% </w:t>
            </w:r>
          </w:p>
          <w:p w:rsidR="0023438A" w:rsidRDefault="00A02C86">
            <w:pPr>
              <w:spacing w:after="0" w:line="259" w:lineRule="auto"/>
              <w:ind w:left="0" w:firstLine="0"/>
              <w:jc w:val="both"/>
            </w:pPr>
            <w:r>
              <w:t>68%</w:t>
            </w:r>
            <w:r>
              <w:t xml:space="preserve"> </w:t>
            </w:r>
          </w:p>
        </w:tc>
      </w:tr>
      <w:tr w:rsidR="0023438A">
        <w:trPr>
          <w:trHeight w:val="948"/>
        </w:trPr>
        <w:tc>
          <w:tcPr>
            <w:tcW w:w="5117" w:type="dxa"/>
            <w:tcBorders>
              <w:top w:val="nil"/>
              <w:left w:val="nil"/>
              <w:bottom w:val="nil"/>
              <w:right w:val="nil"/>
            </w:tcBorders>
          </w:tcPr>
          <w:p w:rsidR="0023438A" w:rsidRDefault="00A02C86">
            <w:pPr>
              <w:spacing w:after="0" w:line="259" w:lineRule="auto"/>
              <w:ind w:left="302" w:right="369" w:firstLine="0"/>
              <w:jc w:val="both"/>
            </w:pPr>
            <w:r>
              <w:t xml:space="preserve">Alleviate the need to submit apprenticeship information to the U.S. Department of Labor's RAPIDS database. </w:t>
            </w:r>
          </w:p>
        </w:tc>
        <w:tc>
          <w:tcPr>
            <w:tcW w:w="754" w:type="dxa"/>
            <w:tcBorders>
              <w:top w:val="nil"/>
              <w:left w:val="nil"/>
              <w:bottom w:val="nil"/>
              <w:right w:val="nil"/>
            </w:tcBorders>
          </w:tcPr>
          <w:p w:rsidR="0023438A" w:rsidRDefault="00A02C86">
            <w:pPr>
              <w:spacing w:after="96" w:line="259" w:lineRule="auto"/>
              <w:ind w:left="0" w:firstLine="0"/>
            </w:pPr>
            <w:r>
              <w:t xml:space="preserve">90 </w:t>
            </w:r>
          </w:p>
          <w:p w:rsidR="0023438A" w:rsidRDefault="00A02C86">
            <w:pPr>
              <w:spacing w:after="0" w:line="259" w:lineRule="auto"/>
              <w:ind w:left="0" w:firstLine="0"/>
            </w:pPr>
            <w:r>
              <w:t>129</w:t>
            </w:r>
            <w:r>
              <w:t xml:space="preserve"> </w:t>
            </w:r>
          </w:p>
        </w:tc>
        <w:tc>
          <w:tcPr>
            <w:tcW w:w="1334"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nil"/>
              <w:right w:val="nil"/>
            </w:tcBorders>
          </w:tcPr>
          <w:p w:rsidR="0023438A" w:rsidRDefault="00A02C86">
            <w:pPr>
              <w:spacing w:after="96" w:line="259" w:lineRule="auto"/>
              <w:ind w:left="0" w:firstLine="0"/>
            </w:pPr>
            <w:r>
              <w:t xml:space="preserve">2.92 </w:t>
            </w:r>
          </w:p>
          <w:p w:rsidR="0023438A" w:rsidRDefault="00A02C86">
            <w:pPr>
              <w:spacing w:after="0" w:line="259" w:lineRule="auto"/>
              <w:ind w:left="0" w:firstLine="0"/>
            </w:pPr>
            <w:r>
              <w:t>2.74</w:t>
            </w:r>
            <w:r>
              <w:t xml:space="preserve"> </w:t>
            </w:r>
          </w:p>
        </w:tc>
        <w:tc>
          <w:tcPr>
            <w:tcW w:w="811" w:type="dxa"/>
            <w:tcBorders>
              <w:top w:val="nil"/>
              <w:left w:val="nil"/>
              <w:bottom w:val="nil"/>
              <w:right w:val="nil"/>
            </w:tcBorders>
          </w:tcPr>
          <w:p w:rsidR="0023438A" w:rsidRDefault="00A02C86">
            <w:pPr>
              <w:spacing w:after="96" w:line="259" w:lineRule="auto"/>
              <w:ind w:left="0" w:firstLine="0"/>
            </w:pPr>
            <w:r>
              <w:t xml:space="preserve">.89 </w:t>
            </w:r>
          </w:p>
          <w:p w:rsidR="0023438A" w:rsidRDefault="00A02C86">
            <w:pPr>
              <w:spacing w:after="0" w:line="259" w:lineRule="auto"/>
              <w:ind w:left="0" w:firstLine="0"/>
            </w:pPr>
            <w:r>
              <w:t>1.11</w:t>
            </w:r>
            <w:r>
              <w:t xml:space="preserve"> </w:t>
            </w:r>
          </w:p>
        </w:tc>
        <w:tc>
          <w:tcPr>
            <w:tcW w:w="545" w:type="dxa"/>
            <w:tcBorders>
              <w:top w:val="nil"/>
              <w:left w:val="nil"/>
              <w:bottom w:val="nil"/>
              <w:right w:val="nil"/>
            </w:tcBorders>
          </w:tcPr>
          <w:p w:rsidR="0023438A" w:rsidRDefault="00A02C86">
            <w:pPr>
              <w:spacing w:after="96" w:line="259" w:lineRule="auto"/>
              <w:ind w:left="0" w:firstLine="0"/>
              <w:jc w:val="both"/>
            </w:pPr>
            <w:r>
              <w:t xml:space="preserve">74% </w:t>
            </w:r>
          </w:p>
          <w:p w:rsidR="0023438A" w:rsidRDefault="00A02C86">
            <w:pPr>
              <w:spacing w:after="0" w:line="259" w:lineRule="auto"/>
              <w:ind w:left="0" w:firstLine="0"/>
              <w:jc w:val="both"/>
            </w:pPr>
            <w:r>
              <w:t>66%</w:t>
            </w:r>
            <w:r>
              <w:t xml:space="preserve"> </w:t>
            </w:r>
          </w:p>
        </w:tc>
      </w:tr>
      <w:tr w:rsidR="0023438A">
        <w:trPr>
          <w:trHeight w:val="860"/>
        </w:trPr>
        <w:tc>
          <w:tcPr>
            <w:tcW w:w="5117" w:type="dxa"/>
            <w:tcBorders>
              <w:top w:val="nil"/>
              <w:left w:val="nil"/>
              <w:bottom w:val="single" w:sz="4" w:space="0" w:color="000000"/>
              <w:right w:val="nil"/>
            </w:tcBorders>
          </w:tcPr>
          <w:p w:rsidR="0023438A" w:rsidRDefault="00A02C86">
            <w:pPr>
              <w:spacing w:after="0" w:line="259" w:lineRule="auto"/>
              <w:ind w:left="302" w:firstLine="0"/>
            </w:pPr>
            <w:r>
              <w:t xml:space="preserve">More employers/schools willing to actively partner and participate for apprenticeship. </w:t>
            </w:r>
          </w:p>
        </w:tc>
        <w:tc>
          <w:tcPr>
            <w:tcW w:w="754" w:type="dxa"/>
            <w:tcBorders>
              <w:top w:val="nil"/>
              <w:left w:val="nil"/>
              <w:bottom w:val="single" w:sz="4" w:space="0" w:color="000000"/>
              <w:right w:val="nil"/>
            </w:tcBorders>
          </w:tcPr>
          <w:p w:rsidR="0023438A" w:rsidRDefault="00A02C86">
            <w:pPr>
              <w:spacing w:after="96" w:line="259" w:lineRule="auto"/>
              <w:ind w:left="0" w:firstLine="0"/>
            </w:pPr>
            <w:r>
              <w:t xml:space="preserve">91 </w:t>
            </w:r>
          </w:p>
          <w:p w:rsidR="0023438A" w:rsidRDefault="00A02C86">
            <w:pPr>
              <w:spacing w:after="0" w:line="259" w:lineRule="auto"/>
              <w:ind w:left="0" w:firstLine="0"/>
            </w:pPr>
            <w:r>
              <w:t>130</w:t>
            </w:r>
            <w:r>
              <w:t xml:space="preserve"> </w:t>
            </w:r>
          </w:p>
        </w:tc>
        <w:tc>
          <w:tcPr>
            <w:tcW w:w="1334" w:type="dxa"/>
            <w:tcBorders>
              <w:top w:val="nil"/>
              <w:left w:val="nil"/>
              <w:bottom w:val="single" w:sz="4" w:space="0" w:color="000000"/>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nil"/>
              <w:left w:val="nil"/>
              <w:bottom w:val="single" w:sz="4" w:space="0" w:color="000000"/>
              <w:right w:val="nil"/>
            </w:tcBorders>
          </w:tcPr>
          <w:p w:rsidR="0023438A" w:rsidRDefault="00A02C86">
            <w:pPr>
              <w:spacing w:after="96" w:line="259" w:lineRule="auto"/>
              <w:ind w:left="0" w:firstLine="0"/>
            </w:pPr>
            <w:r>
              <w:t xml:space="preserve">3.57 </w:t>
            </w:r>
          </w:p>
          <w:p w:rsidR="0023438A" w:rsidRDefault="00A02C86">
            <w:pPr>
              <w:spacing w:after="0" w:line="259" w:lineRule="auto"/>
              <w:ind w:left="0" w:firstLine="0"/>
            </w:pPr>
            <w:r>
              <w:t>2.99</w:t>
            </w:r>
            <w:r>
              <w:t xml:space="preserve"> </w:t>
            </w:r>
          </w:p>
        </w:tc>
        <w:tc>
          <w:tcPr>
            <w:tcW w:w="811" w:type="dxa"/>
            <w:tcBorders>
              <w:top w:val="nil"/>
              <w:left w:val="nil"/>
              <w:bottom w:val="single" w:sz="4" w:space="0" w:color="000000"/>
              <w:right w:val="nil"/>
            </w:tcBorders>
          </w:tcPr>
          <w:p w:rsidR="0023438A" w:rsidRDefault="00A02C86">
            <w:pPr>
              <w:spacing w:after="96" w:line="259" w:lineRule="auto"/>
              <w:ind w:left="0" w:firstLine="0"/>
            </w:pPr>
            <w:r>
              <w:t xml:space="preserve">.73 </w:t>
            </w:r>
          </w:p>
          <w:p w:rsidR="0023438A" w:rsidRDefault="00A02C86">
            <w:pPr>
              <w:spacing w:after="0" w:line="259" w:lineRule="auto"/>
              <w:ind w:left="0" w:firstLine="0"/>
            </w:pPr>
            <w:r>
              <w:t>1.06</w:t>
            </w:r>
            <w:r>
              <w:t xml:space="preserve"> </w:t>
            </w:r>
          </w:p>
        </w:tc>
        <w:tc>
          <w:tcPr>
            <w:tcW w:w="545" w:type="dxa"/>
            <w:tcBorders>
              <w:top w:val="nil"/>
              <w:left w:val="nil"/>
              <w:bottom w:val="single" w:sz="4" w:space="0" w:color="000000"/>
              <w:right w:val="nil"/>
            </w:tcBorders>
          </w:tcPr>
          <w:p w:rsidR="0023438A" w:rsidRDefault="00A02C86">
            <w:pPr>
              <w:spacing w:after="96" w:line="259" w:lineRule="auto"/>
              <w:ind w:left="0" w:firstLine="0"/>
              <w:jc w:val="both"/>
            </w:pPr>
            <w:r>
              <w:t xml:space="preserve">90% </w:t>
            </w:r>
          </w:p>
          <w:p w:rsidR="0023438A" w:rsidRDefault="00A02C86">
            <w:pPr>
              <w:spacing w:after="0" w:line="259" w:lineRule="auto"/>
              <w:ind w:left="0" w:firstLine="0"/>
              <w:jc w:val="both"/>
            </w:pPr>
            <w:r>
              <w:t>75%</w:t>
            </w:r>
            <w:r>
              <w:t xml:space="preserve"> </w:t>
            </w:r>
          </w:p>
        </w:tc>
      </w:tr>
      <w:tr w:rsidR="0023438A">
        <w:trPr>
          <w:trHeight w:val="406"/>
        </w:trPr>
        <w:tc>
          <w:tcPr>
            <w:tcW w:w="5870" w:type="dxa"/>
            <w:gridSpan w:val="2"/>
            <w:tcBorders>
              <w:top w:val="single" w:sz="4" w:space="0" w:color="000000"/>
              <w:left w:val="nil"/>
              <w:bottom w:val="single" w:sz="4" w:space="0" w:color="000000"/>
              <w:right w:val="nil"/>
            </w:tcBorders>
          </w:tcPr>
          <w:p w:rsidR="0023438A" w:rsidRDefault="00A02C86">
            <w:pPr>
              <w:spacing w:after="0" w:line="259" w:lineRule="auto"/>
              <w:ind w:left="0" w:right="395" w:firstLine="0"/>
              <w:jc w:val="right"/>
            </w:pPr>
            <w:r>
              <w:t xml:space="preserve">Overall Scale </w:t>
            </w:r>
          </w:p>
        </w:tc>
        <w:tc>
          <w:tcPr>
            <w:tcW w:w="133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1"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802"/>
        </w:trPr>
        <w:tc>
          <w:tcPr>
            <w:tcW w:w="5870" w:type="dxa"/>
            <w:gridSpan w:val="2"/>
            <w:tcBorders>
              <w:top w:val="single" w:sz="4" w:space="0" w:color="000000"/>
              <w:left w:val="nil"/>
              <w:bottom w:val="single" w:sz="4" w:space="0" w:color="000000"/>
              <w:right w:val="nil"/>
            </w:tcBorders>
          </w:tcPr>
          <w:p w:rsidR="0023438A" w:rsidRDefault="00A02C86">
            <w:pPr>
              <w:spacing w:after="0" w:line="259" w:lineRule="auto"/>
              <w:ind w:left="0" w:right="348" w:firstLine="0"/>
              <w:jc w:val="right"/>
            </w:pPr>
            <w:r>
              <w:t xml:space="preserve">Overall interest in pursuing apprenticeship </w:t>
            </w:r>
            <w:r>
              <w:tab/>
              <w:t>87 131</w:t>
            </w:r>
            <w:r>
              <w:t xml:space="preserve"> </w:t>
            </w:r>
          </w:p>
        </w:tc>
        <w:tc>
          <w:tcPr>
            <w:tcW w:w="1334"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2.80 </w:t>
            </w:r>
          </w:p>
          <w:p w:rsidR="0023438A" w:rsidRDefault="00A02C86">
            <w:pPr>
              <w:spacing w:after="0" w:line="259" w:lineRule="auto"/>
              <w:ind w:left="0" w:firstLine="0"/>
            </w:pPr>
            <w:r>
              <w:t>2.24</w:t>
            </w:r>
            <w:r>
              <w:t xml:space="preserve"> </w:t>
            </w:r>
          </w:p>
        </w:tc>
        <w:tc>
          <w:tcPr>
            <w:tcW w:w="811"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1.21 </w:t>
            </w:r>
          </w:p>
          <w:p w:rsidR="0023438A" w:rsidRDefault="00A02C86">
            <w:pPr>
              <w:spacing w:after="0" w:line="259" w:lineRule="auto"/>
              <w:ind w:left="0" w:firstLine="0"/>
            </w:pPr>
            <w:r>
              <w:t>1.39</w:t>
            </w:r>
            <w:r>
              <w:t xml:space="preserve"> </w:t>
            </w:r>
          </w:p>
        </w:tc>
        <w:tc>
          <w:tcPr>
            <w:tcW w:w="545" w:type="dxa"/>
            <w:tcBorders>
              <w:top w:val="single" w:sz="4" w:space="0" w:color="000000"/>
              <w:left w:val="nil"/>
              <w:bottom w:val="single" w:sz="4" w:space="0" w:color="000000"/>
              <w:right w:val="nil"/>
            </w:tcBorders>
          </w:tcPr>
          <w:p w:rsidR="0023438A" w:rsidRDefault="00A02C86">
            <w:pPr>
              <w:spacing w:after="96" w:line="259" w:lineRule="auto"/>
              <w:ind w:left="0" w:firstLine="0"/>
              <w:jc w:val="both"/>
            </w:pPr>
            <w:r>
              <w:t xml:space="preserve">77% </w:t>
            </w:r>
          </w:p>
          <w:p w:rsidR="0023438A" w:rsidRDefault="00A02C86">
            <w:pPr>
              <w:spacing w:after="0" w:line="259" w:lineRule="auto"/>
              <w:ind w:left="0" w:firstLine="0"/>
              <w:jc w:val="both"/>
            </w:pPr>
            <w:r>
              <w:t>56%</w:t>
            </w:r>
            <w:r>
              <w:t xml:space="preserve"> </w:t>
            </w:r>
          </w:p>
        </w:tc>
      </w:tr>
      <w:tr w:rsidR="0023438A">
        <w:trPr>
          <w:trHeight w:val="406"/>
        </w:trPr>
        <w:tc>
          <w:tcPr>
            <w:tcW w:w="5870" w:type="dxa"/>
            <w:gridSpan w:val="2"/>
            <w:tcBorders>
              <w:top w:val="single" w:sz="4" w:space="0" w:color="000000"/>
              <w:left w:val="nil"/>
              <w:bottom w:val="single" w:sz="4" w:space="0" w:color="000000"/>
              <w:right w:val="nil"/>
            </w:tcBorders>
          </w:tcPr>
          <w:p w:rsidR="0023438A" w:rsidRDefault="00A02C86">
            <w:pPr>
              <w:spacing w:after="0" w:line="259" w:lineRule="auto"/>
              <w:ind w:left="0" w:right="215" w:firstLine="0"/>
              <w:jc w:val="right"/>
            </w:pPr>
            <w:r>
              <w:lastRenderedPageBreak/>
              <w:t xml:space="preserve">COVID-19 Scale </w:t>
            </w:r>
          </w:p>
        </w:tc>
        <w:tc>
          <w:tcPr>
            <w:tcW w:w="133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4"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811"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45"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802"/>
        </w:trPr>
        <w:tc>
          <w:tcPr>
            <w:tcW w:w="5870" w:type="dxa"/>
            <w:gridSpan w:val="2"/>
            <w:tcBorders>
              <w:top w:val="single" w:sz="4" w:space="0" w:color="000000"/>
              <w:left w:val="nil"/>
              <w:bottom w:val="single" w:sz="4" w:space="0" w:color="000000"/>
              <w:right w:val="nil"/>
            </w:tcBorders>
          </w:tcPr>
          <w:p w:rsidR="0023438A" w:rsidRDefault="00A02C86">
            <w:pPr>
              <w:tabs>
                <w:tab w:val="center" w:pos="2149"/>
                <w:tab w:val="center" w:pos="5237"/>
              </w:tabs>
              <w:spacing w:after="57" w:line="259" w:lineRule="auto"/>
              <w:ind w:left="0" w:firstLine="0"/>
            </w:pPr>
            <w:r>
              <w:rPr>
                <w:rFonts w:ascii="Calibri" w:eastAsia="Calibri" w:hAnsi="Calibri" w:cs="Calibri"/>
                <w:sz w:val="22"/>
              </w:rPr>
              <w:tab/>
            </w:r>
            <w:r>
              <w:t xml:space="preserve">Interest in hiring and/or apprenticeship </w:t>
            </w:r>
            <w:r>
              <w:tab/>
              <w:t xml:space="preserve">73 </w:t>
            </w:r>
          </w:p>
          <w:p w:rsidR="0023438A" w:rsidRDefault="00A02C86">
            <w:pPr>
              <w:tabs>
                <w:tab w:val="center" w:pos="1754"/>
                <w:tab w:val="center" w:pos="5297"/>
              </w:tabs>
              <w:spacing w:after="0" w:line="259" w:lineRule="auto"/>
              <w:ind w:left="0" w:firstLine="0"/>
            </w:pPr>
            <w:r>
              <w:rPr>
                <w:rFonts w:ascii="Calibri" w:eastAsia="Calibri" w:hAnsi="Calibri" w:cs="Calibri"/>
                <w:sz w:val="22"/>
              </w:rPr>
              <w:tab/>
            </w:r>
            <w:r>
              <w:t xml:space="preserve">programming post-COVID-19 </w:t>
            </w:r>
            <w:r>
              <w:tab/>
            </w:r>
            <w:r>
              <w:rPr>
                <w:sz w:val="37"/>
                <w:vertAlign w:val="subscript"/>
              </w:rPr>
              <w:t xml:space="preserve">131 </w:t>
            </w:r>
          </w:p>
        </w:tc>
        <w:tc>
          <w:tcPr>
            <w:tcW w:w="1334"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814"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2.85 </w:t>
            </w:r>
          </w:p>
          <w:p w:rsidR="0023438A" w:rsidRDefault="00A02C86">
            <w:pPr>
              <w:spacing w:after="0" w:line="259" w:lineRule="auto"/>
              <w:ind w:left="0" w:firstLine="0"/>
            </w:pPr>
            <w:r>
              <w:t>2.76</w:t>
            </w:r>
            <w:r>
              <w:t xml:space="preserve"> </w:t>
            </w:r>
          </w:p>
        </w:tc>
        <w:tc>
          <w:tcPr>
            <w:tcW w:w="811"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1.04 </w:t>
            </w:r>
          </w:p>
          <w:p w:rsidR="0023438A" w:rsidRDefault="00A02C86">
            <w:pPr>
              <w:spacing w:after="0" w:line="259" w:lineRule="auto"/>
              <w:ind w:left="0" w:firstLine="0"/>
            </w:pPr>
            <w:r>
              <w:t xml:space="preserve">.91 </w:t>
            </w:r>
          </w:p>
        </w:tc>
        <w:tc>
          <w:tcPr>
            <w:tcW w:w="545" w:type="dxa"/>
            <w:tcBorders>
              <w:top w:val="single" w:sz="4" w:space="0" w:color="000000"/>
              <w:left w:val="nil"/>
              <w:bottom w:val="single" w:sz="4" w:space="0" w:color="000000"/>
              <w:right w:val="nil"/>
            </w:tcBorders>
          </w:tcPr>
          <w:p w:rsidR="0023438A" w:rsidRDefault="00A02C86">
            <w:pPr>
              <w:spacing w:after="96" w:line="259" w:lineRule="auto"/>
              <w:ind w:left="0" w:firstLine="0"/>
              <w:jc w:val="both"/>
            </w:pPr>
            <w:r>
              <w:t xml:space="preserve">71% </w:t>
            </w:r>
          </w:p>
          <w:p w:rsidR="0023438A" w:rsidRDefault="00A02C86">
            <w:pPr>
              <w:spacing w:after="0" w:line="259" w:lineRule="auto"/>
              <w:ind w:left="0" w:firstLine="0"/>
              <w:jc w:val="both"/>
            </w:pPr>
            <w:r>
              <w:t>60%</w:t>
            </w:r>
            <w:r>
              <w:t xml:space="preserve"> </w:t>
            </w:r>
          </w:p>
        </w:tc>
      </w:tr>
    </w:tbl>
    <w:p w:rsidR="0023438A" w:rsidRDefault="00A02C86">
      <w:pPr>
        <w:spacing w:after="117"/>
        <w:ind w:left="630" w:right="777"/>
      </w:pPr>
      <w:r>
        <w:t xml:space="preserve">* Percent of respondents who </w:t>
      </w:r>
      <w:r>
        <w:rPr>
          <w:i/>
        </w:rPr>
        <w:t xml:space="preserve">agreed </w:t>
      </w:r>
      <w:r>
        <w:t xml:space="preserve">or </w:t>
      </w:r>
      <w:r>
        <w:rPr>
          <w:i/>
        </w:rPr>
        <w:t xml:space="preserve">strongly agreed </w:t>
      </w:r>
      <w:r>
        <w:t xml:space="preserve">with the item </w:t>
      </w:r>
      <w:r>
        <w:rPr>
          <w:b/>
        </w:rPr>
        <w:t>Barriers and opportunities for apprenticeship.</w:t>
      </w:r>
      <w:r>
        <w:t xml:space="preserve"> Both groups were mixed (61% and 50% for educators and employers, respectively) on their feelings that the current WBL programming is meeting the needs of their communities, and under half (44% educator; 46% em</w:t>
      </w:r>
      <w:r>
        <w:t>ployer) of both groups indicated that lack of interest in apprenticeship is not a major barrier. However, this scale used a Not Applicable option, so when factoring in those who said these items were not applicable, under a third (30% educator; 24% employe</w:t>
      </w:r>
      <w:r>
        <w:t>r) indicated that current WBL is meeting their needs. When factoring out the same Not Applicable response for the lack of interest section, under half of educators felt it is a barrier (48%), and slightly more than a third (34%) of employers felt it is a b</w:t>
      </w:r>
      <w:r>
        <w:t>arrier. The concern for economic changes impacting the job market was not a barrier for over half of educators (55%), but fewer employers felt this was not a barrier (39%). When accounting for Not Applicable responses, slightly more than a third of each gr</w:t>
      </w:r>
      <w:r>
        <w:t xml:space="preserve">oup (37% educator; 37% employer) felt that this factor is a barrier. This section's results are mixed and, therefore, suggests these items are more inconclusive than items relating to RQ1.  </w:t>
      </w:r>
    </w:p>
    <w:p w:rsidR="0023438A" w:rsidRDefault="00A02C86">
      <w:pPr>
        <w:spacing w:after="117"/>
        <w:ind w:left="425" w:right="777" w:firstLine="540"/>
      </w:pPr>
      <w:r>
        <w:t>The item from the resources section in which both groups agreed w</w:t>
      </w:r>
      <w:r>
        <w:t>ith most strongly is that more grant funding is needed (89% educator; 74% employer), and more participants who are willing to commit to apprenticeships are needed (92% educator; 76% employer). Similarly, the need for more school-to-work partnerships was ag</w:t>
      </w:r>
      <w:r>
        <w:t>reed upon by 90% of educators and 75% of employers as an opportunity for apprenticeship expansion. Interestingly, the majority of both parties agreed that they had a strong interest in pursuing apprenticeship (77% educator; 56% employer), including post-CO</w:t>
      </w:r>
      <w:r>
        <w:t xml:space="preserve">VID-19 (71% educator; 60% employer). In both cases, the educator group indicated a greater interest than the employer group.  </w:t>
      </w:r>
    </w:p>
    <w:p w:rsidR="0023438A" w:rsidRDefault="00A02C86">
      <w:pPr>
        <w:spacing w:after="117"/>
        <w:ind w:left="425" w:right="777" w:firstLine="540"/>
      </w:pPr>
      <w:r>
        <w:rPr>
          <w:b/>
        </w:rPr>
        <w:lastRenderedPageBreak/>
        <w:t>Additional questionnaire items related to RQ2.</w:t>
      </w:r>
      <w:r>
        <w:t xml:space="preserve"> Furthermore, the researcher included the following items on the questionnaires to </w:t>
      </w:r>
      <w:r>
        <w:t xml:space="preserve">assist in answering Research Question 2. These items were uniquely designed for the respondent group in order to provide relevancy to their apprenticeship function. Table 9 displays a subset of relevant statistics for the items. Appendix E shows all items </w:t>
      </w:r>
      <w:r>
        <w:t xml:space="preserve">with extensive summary data for each response category.  </w:t>
      </w:r>
    </w:p>
    <w:p w:rsidR="0023438A" w:rsidRDefault="00A02C86">
      <w:pPr>
        <w:spacing w:after="372" w:line="259" w:lineRule="auto"/>
        <w:ind w:left="435" w:right="777"/>
      </w:pPr>
      <w:r>
        <w:t xml:space="preserve">Table 9 </w:t>
      </w:r>
    </w:p>
    <w:p w:rsidR="0023438A" w:rsidRDefault="00A02C86">
      <w:pPr>
        <w:spacing w:after="96" w:line="267" w:lineRule="auto"/>
        <w:ind w:left="435" w:right="715"/>
      </w:pPr>
      <w:r>
        <w:rPr>
          <w:i/>
        </w:rPr>
        <w:t xml:space="preserve">Descriptive Statistics of Educator Only RQ2 Questionnaire Items </w:t>
      </w:r>
      <w:r>
        <w:t xml:space="preserve"> </w:t>
      </w:r>
    </w:p>
    <w:tbl>
      <w:tblPr>
        <w:tblStyle w:val="TableGrid"/>
        <w:tblW w:w="8587" w:type="dxa"/>
        <w:tblInd w:w="426" w:type="dxa"/>
        <w:tblCellMar>
          <w:top w:w="7" w:type="dxa"/>
          <w:left w:w="0" w:type="dxa"/>
          <w:bottom w:w="0" w:type="dxa"/>
          <w:right w:w="132" w:type="dxa"/>
        </w:tblCellMar>
        <w:tblLook w:val="04A0" w:firstRow="1" w:lastRow="0" w:firstColumn="1" w:lastColumn="0" w:noHBand="0" w:noVBand="1"/>
      </w:tblPr>
      <w:tblGrid>
        <w:gridCol w:w="3770"/>
        <w:gridCol w:w="859"/>
        <w:gridCol w:w="1433"/>
        <w:gridCol w:w="900"/>
        <w:gridCol w:w="989"/>
        <w:gridCol w:w="636"/>
      </w:tblGrid>
      <w:tr w:rsidR="0023438A">
        <w:trPr>
          <w:trHeight w:val="406"/>
        </w:trPr>
        <w:tc>
          <w:tcPr>
            <w:tcW w:w="3770" w:type="dxa"/>
            <w:tcBorders>
              <w:top w:val="single" w:sz="4" w:space="0" w:color="000000"/>
              <w:left w:val="nil"/>
              <w:bottom w:val="single" w:sz="4" w:space="0" w:color="000000"/>
              <w:right w:val="nil"/>
            </w:tcBorders>
          </w:tcPr>
          <w:p w:rsidR="0023438A" w:rsidRDefault="00A02C86">
            <w:pPr>
              <w:spacing w:after="0" w:line="259" w:lineRule="auto"/>
              <w:ind w:left="310" w:firstLine="0"/>
            </w:pPr>
            <w:r>
              <w:t xml:space="preserve"> </w:t>
            </w:r>
          </w:p>
        </w:tc>
        <w:tc>
          <w:tcPr>
            <w:tcW w:w="2292" w:type="dxa"/>
            <w:gridSpan w:val="2"/>
            <w:tcBorders>
              <w:top w:val="single" w:sz="4" w:space="0" w:color="000000"/>
              <w:left w:val="nil"/>
              <w:bottom w:val="single" w:sz="4" w:space="0" w:color="000000"/>
              <w:right w:val="nil"/>
            </w:tcBorders>
          </w:tcPr>
          <w:p w:rsidR="0023438A" w:rsidRDefault="00A02C86">
            <w:pPr>
              <w:tabs>
                <w:tab w:val="center" w:pos="1164"/>
              </w:tabs>
              <w:spacing w:after="0" w:line="259" w:lineRule="auto"/>
              <w:ind w:left="0" w:firstLine="0"/>
            </w:pPr>
            <w:r>
              <w:rPr>
                <w:i/>
              </w:rPr>
              <w:t xml:space="preserve">n </w:t>
            </w:r>
            <w:r>
              <w:rPr>
                <w:i/>
              </w:rPr>
              <w:tab/>
            </w:r>
            <w:r>
              <w:t xml:space="preserve">Group </w:t>
            </w:r>
          </w:p>
        </w:tc>
        <w:tc>
          <w:tcPr>
            <w:tcW w:w="900" w:type="dxa"/>
            <w:tcBorders>
              <w:top w:val="single" w:sz="4" w:space="0" w:color="000000"/>
              <w:left w:val="nil"/>
              <w:bottom w:val="single" w:sz="4" w:space="0" w:color="000000"/>
              <w:right w:val="nil"/>
            </w:tcBorders>
          </w:tcPr>
          <w:p w:rsidR="0023438A" w:rsidRDefault="00A02C86">
            <w:pPr>
              <w:spacing w:after="0" w:line="259" w:lineRule="auto"/>
              <w:ind w:left="7" w:firstLine="0"/>
            </w:pPr>
            <w:r>
              <w:rPr>
                <w:i/>
              </w:rPr>
              <w:t>M</w:t>
            </w:r>
            <w:r>
              <w:t xml:space="preserve"> </w:t>
            </w:r>
          </w:p>
        </w:tc>
        <w:tc>
          <w:tcPr>
            <w:tcW w:w="989" w:type="dxa"/>
            <w:tcBorders>
              <w:top w:val="single" w:sz="4" w:space="0" w:color="000000"/>
              <w:left w:val="nil"/>
              <w:bottom w:val="single" w:sz="4" w:space="0" w:color="000000"/>
              <w:right w:val="nil"/>
            </w:tcBorders>
          </w:tcPr>
          <w:p w:rsidR="0023438A" w:rsidRDefault="00A02C86">
            <w:pPr>
              <w:spacing w:after="0" w:line="259" w:lineRule="auto"/>
              <w:ind w:left="7" w:firstLine="0"/>
            </w:pPr>
            <w:r>
              <w:rPr>
                <w:i/>
              </w:rPr>
              <w:t>SD</w:t>
            </w:r>
            <w:r>
              <w:t xml:space="preserve"> </w:t>
            </w:r>
          </w:p>
        </w:tc>
        <w:tc>
          <w:tcPr>
            <w:tcW w:w="636" w:type="dxa"/>
            <w:tcBorders>
              <w:top w:val="single" w:sz="4" w:space="0" w:color="000000"/>
              <w:left w:val="nil"/>
              <w:bottom w:val="single" w:sz="4" w:space="0" w:color="000000"/>
              <w:right w:val="nil"/>
            </w:tcBorders>
          </w:tcPr>
          <w:p w:rsidR="0023438A" w:rsidRDefault="00A02C86">
            <w:pPr>
              <w:spacing w:after="0" w:line="259" w:lineRule="auto"/>
              <w:ind w:left="7" w:firstLine="0"/>
            </w:pPr>
            <w:r>
              <w:t xml:space="preserve">% </w:t>
            </w:r>
          </w:p>
        </w:tc>
      </w:tr>
      <w:tr w:rsidR="0023438A">
        <w:trPr>
          <w:trHeight w:val="406"/>
        </w:trPr>
        <w:tc>
          <w:tcPr>
            <w:tcW w:w="3770"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2292"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Barrier Scale </w:t>
            </w:r>
          </w:p>
        </w:tc>
        <w:tc>
          <w:tcPr>
            <w:tcW w:w="900" w:type="dxa"/>
            <w:tcBorders>
              <w:top w:val="single" w:sz="4" w:space="0" w:color="000000"/>
              <w:left w:val="nil"/>
              <w:bottom w:val="single" w:sz="4" w:space="0" w:color="000000"/>
              <w:right w:val="nil"/>
            </w:tcBorders>
            <w:vAlign w:val="center"/>
          </w:tcPr>
          <w:p w:rsidR="0023438A" w:rsidRDefault="0023438A">
            <w:pPr>
              <w:spacing w:after="160" w:line="259" w:lineRule="auto"/>
              <w:ind w:left="0" w:firstLine="0"/>
            </w:pPr>
          </w:p>
        </w:tc>
        <w:tc>
          <w:tcPr>
            <w:tcW w:w="989"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636"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614"/>
        </w:trPr>
        <w:tc>
          <w:tcPr>
            <w:tcW w:w="3770" w:type="dxa"/>
            <w:tcBorders>
              <w:top w:val="single" w:sz="4" w:space="0" w:color="000000"/>
              <w:left w:val="nil"/>
              <w:bottom w:val="nil"/>
              <w:right w:val="nil"/>
            </w:tcBorders>
          </w:tcPr>
          <w:p w:rsidR="0023438A" w:rsidRDefault="00A02C86">
            <w:pPr>
              <w:spacing w:after="0" w:line="259" w:lineRule="auto"/>
              <w:ind w:left="310" w:firstLine="0"/>
            </w:pPr>
            <w:r>
              <w:t xml:space="preserve">Lack of alignment with institutional goals. </w:t>
            </w:r>
          </w:p>
        </w:tc>
        <w:tc>
          <w:tcPr>
            <w:tcW w:w="859" w:type="dxa"/>
            <w:tcBorders>
              <w:top w:val="single" w:sz="4" w:space="0" w:color="000000"/>
              <w:left w:val="nil"/>
              <w:bottom w:val="nil"/>
              <w:right w:val="nil"/>
            </w:tcBorders>
          </w:tcPr>
          <w:p w:rsidR="0023438A" w:rsidRDefault="00A02C86">
            <w:pPr>
              <w:spacing w:after="0" w:line="259" w:lineRule="auto"/>
              <w:ind w:left="48" w:firstLine="0"/>
            </w:pPr>
            <w:r>
              <w:t xml:space="preserve">90 </w:t>
            </w:r>
          </w:p>
        </w:tc>
        <w:tc>
          <w:tcPr>
            <w:tcW w:w="1433" w:type="dxa"/>
            <w:tcBorders>
              <w:top w:val="single" w:sz="4" w:space="0" w:color="000000"/>
              <w:left w:val="nil"/>
              <w:bottom w:val="nil"/>
              <w:right w:val="nil"/>
            </w:tcBorders>
          </w:tcPr>
          <w:p w:rsidR="0023438A" w:rsidRDefault="00A02C86">
            <w:pPr>
              <w:spacing w:after="0" w:line="259" w:lineRule="auto"/>
              <w:ind w:left="0" w:firstLine="0"/>
            </w:pPr>
            <w:r>
              <w:t xml:space="preserve">Educator </w:t>
            </w:r>
          </w:p>
        </w:tc>
        <w:tc>
          <w:tcPr>
            <w:tcW w:w="900" w:type="dxa"/>
            <w:tcBorders>
              <w:top w:val="single" w:sz="4" w:space="0" w:color="000000"/>
              <w:left w:val="nil"/>
              <w:bottom w:val="nil"/>
              <w:right w:val="nil"/>
            </w:tcBorders>
          </w:tcPr>
          <w:p w:rsidR="0023438A" w:rsidRDefault="00A02C86">
            <w:pPr>
              <w:spacing w:after="0" w:line="259" w:lineRule="auto"/>
              <w:ind w:left="7" w:firstLine="0"/>
            </w:pPr>
            <w:r>
              <w:t xml:space="preserve">2.71 </w:t>
            </w:r>
          </w:p>
        </w:tc>
        <w:tc>
          <w:tcPr>
            <w:tcW w:w="989" w:type="dxa"/>
            <w:tcBorders>
              <w:top w:val="single" w:sz="4" w:space="0" w:color="000000"/>
              <w:left w:val="nil"/>
              <w:bottom w:val="nil"/>
              <w:right w:val="nil"/>
            </w:tcBorders>
          </w:tcPr>
          <w:p w:rsidR="0023438A" w:rsidRDefault="00A02C86">
            <w:pPr>
              <w:spacing w:after="0" w:line="259" w:lineRule="auto"/>
              <w:ind w:left="7" w:firstLine="0"/>
            </w:pPr>
            <w:r>
              <w:t xml:space="preserve">1.32 </w:t>
            </w:r>
          </w:p>
        </w:tc>
        <w:tc>
          <w:tcPr>
            <w:tcW w:w="636" w:type="dxa"/>
            <w:tcBorders>
              <w:top w:val="single" w:sz="4" w:space="0" w:color="000000"/>
              <w:left w:val="nil"/>
              <w:bottom w:val="nil"/>
              <w:right w:val="nil"/>
            </w:tcBorders>
          </w:tcPr>
          <w:p w:rsidR="0023438A" w:rsidRDefault="00A02C86">
            <w:pPr>
              <w:spacing w:after="0" w:line="259" w:lineRule="auto"/>
              <w:ind w:left="7" w:firstLine="0"/>
            </w:pPr>
            <w:r>
              <w:t xml:space="preserve">63% </w:t>
            </w:r>
          </w:p>
        </w:tc>
      </w:tr>
      <w:tr w:rsidR="0023438A">
        <w:trPr>
          <w:trHeight w:val="1224"/>
        </w:trPr>
        <w:tc>
          <w:tcPr>
            <w:tcW w:w="3770" w:type="dxa"/>
            <w:tcBorders>
              <w:top w:val="nil"/>
              <w:left w:val="nil"/>
              <w:bottom w:val="nil"/>
              <w:right w:val="nil"/>
            </w:tcBorders>
          </w:tcPr>
          <w:p w:rsidR="0023438A" w:rsidRDefault="00A02C86">
            <w:pPr>
              <w:spacing w:after="0" w:line="259" w:lineRule="auto"/>
              <w:ind w:left="310" w:firstLine="0"/>
            </w:pPr>
            <w:r>
              <w:t xml:space="preserve">Accreditation policies regarding credit hour and credential attainment make apprenticeship difficult to implement. </w:t>
            </w:r>
          </w:p>
        </w:tc>
        <w:tc>
          <w:tcPr>
            <w:tcW w:w="859" w:type="dxa"/>
            <w:tcBorders>
              <w:top w:val="nil"/>
              <w:left w:val="nil"/>
              <w:bottom w:val="nil"/>
              <w:right w:val="nil"/>
            </w:tcBorders>
          </w:tcPr>
          <w:p w:rsidR="0023438A" w:rsidRDefault="00A02C86">
            <w:pPr>
              <w:spacing w:after="0" w:line="259" w:lineRule="auto"/>
              <w:ind w:left="48" w:firstLine="0"/>
            </w:pPr>
            <w:r>
              <w:t xml:space="preserve">91 </w:t>
            </w:r>
          </w:p>
        </w:tc>
        <w:tc>
          <w:tcPr>
            <w:tcW w:w="1433" w:type="dxa"/>
            <w:tcBorders>
              <w:top w:val="nil"/>
              <w:left w:val="nil"/>
              <w:bottom w:val="nil"/>
              <w:right w:val="nil"/>
            </w:tcBorders>
          </w:tcPr>
          <w:p w:rsidR="0023438A" w:rsidRDefault="00A02C86">
            <w:pPr>
              <w:spacing w:after="0" w:line="259" w:lineRule="auto"/>
              <w:ind w:left="0" w:firstLine="0"/>
            </w:pPr>
            <w:r>
              <w:t xml:space="preserve">Educator </w:t>
            </w:r>
          </w:p>
        </w:tc>
        <w:tc>
          <w:tcPr>
            <w:tcW w:w="900" w:type="dxa"/>
            <w:tcBorders>
              <w:top w:val="nil"/>
              <w:left w:val="nil"/>
              <w:bottom w:val="nil"/>
              <w:right w:val="nil"/>
            </w:tcBorders>
          </w:tcPr>
          <w:p w:rsidR="0023438A" w:rsidRDefault="00A02C86">
            <w:pPr>
              <w:spacing w:after="0" w:line="259" w:lineRule="auto"/>
              <w:ind w:left="7" w:firstLine="0"/>
            </w:pPr>
            <w:r>
              <w:t xml:space="preserve">2.11 </w:t>
            </w:r>
          </w:p>
        </w:tc>
        <w:tc>
          <w:tcPr>
            <w:tcW w:w="989" w:type="dxa"/>
            <w:tcBorders>
              <w:top w:val="nil"/>
              <w:left w:val="nil"/>
              <w:bottom w:val="nil"/>
              <w:right w:val="nil"/>
            </w:tcBorders>
          </w:tcPr>
          <w:p w:rsidR="0023438A" w:rsidRDefault="00A02C86">
            <w:pPr>
              <w:spacing w:after="0" w:line="259" w:lineRule="auto"/>
              <w:ind w:left="7" w:firstLine="0"/>
            </w:pPr>
            <w:r>
              <w:t xml:space="preserve">1.25 </w:t>
            </w:r>
          </w:p>
        </w:tc>
        <w:tc>
          <w:tcPr>
            <w:tcW w:w="636" w:type="dxa"/>
            <w:tcBorders>
              <w:top w:val="nil"/>
              <w:left w:val="nil"/>
              <w:bottom w:val="nil"/>
              <w:right w:val="nil"/>
            </w:tcBorders>
          </w:tcPr>
          <w:p w:rsidR="0023438A" w:rsidRDefault="00A02C86">
            <w:pPr>
              <w:spacing w:after="0" w:line="259" w:lineRule="auto"/>
              <w:ind w:left="7" w:firstLine="0"/>
            </w:pPr>
            <w:r>
              <w:t xml:space="preserve">43% </w:t>
            </w:r>
          </w:p>
        </w:tc>
      </w:tr>
      <w:tr w:rsidR="0023438A">
        <w:trPr>
          <w:trHeight w:val="948"/>
        </w:trPr>
        <w:tc>
          <w:tcPr>
            <w:tcW w:w="3770" w:type="dxa"/>
            <w:tcBorders>
              <w:top w:val="nil"/>
              <w:left w:val="nil"/>
              <w:bottom w:val="nil"/>
              <w:right w:val="nil"/>
            </w:tcBorders>
          </w:tcPr>
          <w:p w:rsidR="0023438A" w:rsidRDefault="00A02C86">
            <w:pPr>
              <w:spacing w:after="0" w:line="259" w:lineRule="auto"/>
              <w:ind w:left="310" w:firstLine="0"/>
            </w:pPr>
            <w:r>
              <w:t xml:space="preserve">Financial aid grants or other sources do not align with requirements. </w:t>
            </w:r>
          </w:p>
        </w:tc>
        <w:tc>
          <w:tcPr>
            <w:tcW w:w="859" w:type="dxa"/>
            <w:tcBorders>
              <w:top w:val="nil"/>
              <w:left w:val="nil"/>
              <w:bottom w:val="nil"/>
              <w:right w:val="nil"/>
            </w:tcBorders>
          </w:tcPr>
          <w:p w:rsidR="0023438A" w:rsidRDefault="00A02C86">
            <w:pPr>
              <w:spacing w:after="0" w:line="259" w:lineRule="auto"/>
              <w:ind w:left="48" w:firstLine="0"/>
            </w:pPr>
            <w:r>
              <w:t xml:space="preserve">90 </w:t>
            </w:r>
          </w:p>
        </w:tc>
        <w:tc>
          <w:tcPr>
            <w:tcW w:w="1433" w:type="dxa"/>
            <w:tcBorders>
              <w:top w:val="nil"/>
              <w:left w:val="nil"/>
              <w:bottom w:val="nil"/>
              <w:right w:val="nil"/>
            </w:tcBorders>
          </w:tcPr>
          <w:p w:rsidR="0023438A" w:rsidRDefault="00A02C86">
            <w:pPr>
              <w:spacing w:after="0" w:line="259" w:lineRule="auto"/>
              <w:ind w:left="0" w:firstLine="0"/>
            </w:pPr>
            <w:r>
              <w:t xml:space="preserve">Educator </w:t>
            </w:r>
          </w:p>
        </w:tc>
        <w:tc>
          <w:tcPr>
            <w:tcW w:w="900" w:type="dxa"/>
            <w:tcBorders>
              <w:top w:val="nil"/>
              <w:left w:val="nil"/>
              <w:bottom w:val="nil"/>
              <w:right w:val="nil"/>
            </w:tcBorders>
          </w:tcPr>
          <w:p w:rsidR="0023438A" w:rsidRDefault="00A02C86">
            <w:pPr>
              <w:spacing w:after="0" w:line="259" w:lineRule="auto"/>
              <w:ind w:left="7" w:firstLine="0"/>
            </w:pPr>
            <w:r>
              <w:t xml:space="preserve">1.96 </w:t>
            </w:r>
          </w:p>
        </w:tc>
        <w:tc>
          <w:tcPr>
            <w:tcW w:w="989" w:type="dxa"/>
            <w:tcBorders>
              <w:top w:val="nil"/>
              <w:left w:val="nil"/>
              <w:bottom w:val="nil"/>
              <w:right w:val="nil"/>
            </w:tcBorders>
          </w:tcPr>
          <w:p w:rsidR="0023438A" w:rsidRDefault="00A02C86">
            <w:pPr>
              <w:spacing w:after="0" w:line="259" w:lineRule="auto"/>
              <w:ind w:left="7" w:firstLine="0"/>
            </w:pPr>
            <w:r>
              <w:t xml:space="preserve">1.27 </w:t>
            </w:r>
          </w:p>
        </w:tc>
        <w:tc>
          <w:tcPr>
            <w:tcW w:w="636" w:type="dxa"/>
            <w:tcBorders>
              <w:top w:val="nil"/>
              <w:left w:val="nil"/>
              <w:bottom w:val="nil"/>
              <w:right w:val="nil"/>
            </w:tcBorders>
          </w:tcPr>
          <w:p w:rsidR="0023438A" w:rsidRDefault="00A02C86">
            <w:pPr>
              <w:spacing w:after="0" w:line="259" w:lineRule="auto"/>
              <w:ind w:left="7" w:firstLine="0"/>
            </w:pPr>
            <w:r>
              <w:t xml:space="preserve">38% </w:t>
            </w:r>
          </w:p>
        </w:tc>
      </w:tr>
      <w:tr w:rsidR="0023438A">
        <w:trPr>
          <w:trHeight w:val="672"/>
        </w:trPr>
        <w:tc>
          <w:tcPr>
            <w:tcW w:w="3770" w:type="dxa"/>
            <w:tcBorders>
              <w:top w:val="nil"/>
              <w:left w:val="nil"/>
              <w:bottom w:val="nil"/>
              <w:right w:val="nil"/>
            </w:tcBorders>
          </w:tcPr>
          <w:p w:rsidR="0023438A" w:rsidRDefault="00A02C86">
            <w:pPr>
              <w:spacing w:after="0" w:line="259" w:lineRule="auto"/>
              <w:ind w:left="310" w:firstLine="0"/>
            </w:pPr>
            <w:r>
              <w:t xml:space="preserve">Lack of quality control over </w:t>
            </w:r>
            <w:proofErr w:type="spellStart"/>
            <w:r>
              <w:t>onthe</w:t>
            </w:r>
            <w:proofErr w:type="spellEnd"/>
            <w:r>
              <w:t xml:space="preserve">-job training. </w:t>
            </w:r>
          </w:p>
        </w:tc>
        <w:tc>
          <w:tcPr>
            <w:tcW w:w="859" w:type="dxa"/>
            <w:tcBorders>
              <w:top w:val="nil"/>
              <w:left w:val="nil"/>
              <w:bottom w:val="nil"/>
              <w:right w:val="nil"/>
            </w:tcBorders>
          </w:tcPr>
          <w:p w:rsidR="0023438A" w:rsidRDefault="00A02C86">
            <w:pPr>
              <w:spacing w:after="0" w:line="259" w:lineRule="auto"/>
              <w:ind w:left="48" w:firstLine="0"/>
            </w:pPr>
            <w:r>
              <w:t xml:space="preserve">88 </w:t>
            </w:r>
          </w:p>
        </w:tc>
        <w:tc>
          <w:tcPr>
            <w:tcW w:w="1433" w:type="dxa"/>
            <w:tcBorders>
              <w:top w:val="nil"/>
              <w:left w:val="nil"/>
              <w:bottom w:val="nil"/>
              <w:right w:val="nil"/>
            </w:tcBorders>
          </w:tcPr>
          <w:p w:rsidR="0023438A" w:rsidRDefault="00A02C86">
            <w:pPr>
              <w:spacing w:after="0" w:line="259" w:lineRule="auto"/>
              <w:ind w:left="0" w:firstLine="0"/>
            </w:pPr>
            <w:r>
              <w:t xml:space="preserve">Educator </w:t>
            </w:r>
          </w:p>
        </w:tc>
        <w:tc>
          <w:tcPr>
            <w:tcW w:w="900" w:type="dxa"/>
            <w:tcBorders>
              <w:top w:val="nil"/>
              <w:left w:val="nil"/>
              <w:bottom w:val="nil"/>
              <w:right w:val="nil"/>
            </w:tcBorders>
          </w:tcPr>
          <w:p w:rsidR="0023438A" w:rsidRDefault="00A02C86">
            <w:pPr>
              <w:spacing w:after="0" w:line="259" w:lineRule="auto"/>
              <w:ind w:left="7" w:firstLine="0"/>
            </w:pPr>
            <w:r>
              <w:t xml:space="preserve">2.52 </w:t>
            </w:r>
          </w:p>
        </w:tc>
        <w:tc>
          <w:tcPr>
            <w:tcW w:w="989" w:type="dxa"/>
            <w:tcBorders>
              <w:top w:val="nil"/>
              <w:left w:val="nil"/>
              <w:bottom w:val="nil"/>
              <w:right w:val="nil"/>
            </w:tcBorders>
          </w:tcPr>
          <w:p w:rsidR="0023438A" w:rsidRDefault="00A02C86">
            <w:pPr>
              <w:spacing w:after="0" w:line="259" w:lineRule="auto"/>
              <w:ind w:left="7" w:firstLine="0"/>
            </w:pPr>
            <w:r>
              <w:t xml:space="preserve">1.15 </w:t>
            </w:r>
          </w:p>
        </w:tc>
        <w:tc>
          <w:tcPr>
            <w:tcW w:w="636" w:type="dxa"/>
            <w:tcBorders>
              <w:top w:val="nil"/>
              <w:left w:val="nil"/>
              <w:bottom w:val="nil"/>
              <w:right w:val="nil"/>
            </w:tcBorders>
          </w:tcPr>
          <w:p w:rsidR="0023438A" w:rsidRDefault="00A02C86">
            <w:pPr>
              <w:spacing w:after="0" w:line="259" w:lineRule="auto"/>
              <w:ind w:left="7" w:firstLine="0"/>
            </w:pPr>
            <w:r>
              <w:t xml:space="preserve">52% </w:t>
            </w:r>
          </w:p>
        </w:tc>
      </w:tr>
      <w:tr w:rsidR="0023438A">
        <w:trPr>
          <w:trHeight w:val="672"/>
        </w:trPr>
        <w:tc>
          <w:tcPr>
            <w:tcW w:w="3770" w:type="dxa"/>
            <w:tcBorders>
              <w:top w:val="nil"/>
              <w:left w:val="nil"/>
              <w:bottom w:val="nil"/>
              <w:right w:val="nil"/>
            </w:tcBorders>
          </w:tcPr>
          <w:p w:rsidR="0023438A" w:rsidRDefault="00A02C86">
            <w:pPr>
              <w:spacing w:after="0" w:line="259" w:lineRule="auto"/>
              <w:ind w:left="309" w:right="203" w:firstLine="0"/>
            </w:pPr>
            <w:r>
              <w:t>Liability coverage for on-</w:t>
            </w:r>
            <w:proofErr w:type="spellStart"/>
            <w:r>
              <w:t>thejob</w:t>
            </w:r>
            <w:proofErr w:type="spellEnd"/>
            <w:r>
              <w:t xml:space="preserve"> training. </w:t>
            </w:r>
          </w:p>
        </w:tc>
        <w:tc>
          <w:tcPr>
            <w:tcW w:w="859" w:type="dxa"/>
            <w:tcBorders>
              <w:top w:val="nil"/>
              <w:left w:val="nil"/>
              <w:bottom w:val="nil"/>
              <w:right w:val="nil"/>
            </w:tcBorders>
          </w:tcPr>
          <w:p w:rsidR="0023438A" w:rsidRDefault="00A02C86">
            <w:pPr>
              <w:spacing w:after="0" w:line="259" w:lineRule="auto"/>
              <w:ind w:left="48" w:firstLine="0"/>
            </w:pPr>
            <w:r>
              <w:t xml:space="preserve">88 </w:t>
            </w:r>
          </w:p>
        </w:tc>
        <w:tc>
          <w:tcPr>
            <w:tcW w:w="1433" w:type="dxa"/>
            <w:tcBorders>
              <w:top w:val="nil"/>
              <w:left w:val="nil"/>
              <w:bottom w:val="nil"/>
              <w:right w:val="nil"/>
            </w:tcBorders>
          </w:tcPr>
          <w:p w:rsidR="0023438A" w:rsidRDefault="00A02C86">
            <w:pPr>
              <w:spacing w:after="0" w:line="259" w:lineRule="auto"/>
              <w:ind w:left="0" w:firstLine="0"/>
            </w:pPr>
            <w:r>
              <w:t xml:space="preserve">Educator </w:t>
            </w:r>
          </w:p>
        </w:tc>
        <w:tc>
          <w:tcPr>
            <w:tcW w:w="900" w:type="dxa"/>
            <w:tcBorders>
              <w:top w:val="nil"/>
              <w:left w:val="nil"/>
              <w:bottom w:val="nil"/>
              <w:right w:val="nil"/>
            </w:tcBorders>
          </w:tcPr>
          <w:p w:rsidR="0023438A" w:rsidRDefault="00A02C86">
            <w:pPr>
              <w:spacing w:after="0" w:line="259" w:lineRule="auto"/>
              <w:ind w:left="7" w:firstLine="0"/>
            </w:pPr>
            <w:r>
              <w:t xml:space="preserve">2.47 </w:t>
            </w:r>
          </w:p>
        </w:tc>
        <w:tc>
          <w:tcPr>
            <w:tcW w:w="989" w:type="dxa"/>
            <w:tcBorders>
              <w:top w:val="nil"/>
              <w:left w:val="nil"/>
              <w:bottom w:val="nil"/>
              <w:right w:val="nil"/>
            </w:tcBorders>
          </w:tcPr>
          <w:p w:rsidR="0023438A" w:rsidRDefault="00A02C86">
            <w:pPr>
              <w:spacing w:after="0" w:line="259" w:lineRule="auto"/>
              <w:ind w:left="7" w:firstLine="0"/>
            </w:pPr>
            <w:r>
              <w:t xml:space="preserve">1.19 </w:t>
            </w:r>
          </w:p>
        </w:tc>
        <w:tc>
          <w:tcPr>
            <w:tcW w:w="636" w:type="dxa"/>
            <w:tcBorders>
              <w:top w:val="nil"/>
              <w:left w:val="nil"/>
              <w:bottom w:val="nil"/>
              <w:right w:val="nil"/>
            </w:tcBorders>
          </w:tcPr>
          <w:p w:rsidR="0023438A" w:rsidRDefault="00A02C86">
            <w:pPr>
              <w:spacing w:after="0" w:line="259" w:lineRule="auto"/>
              <w:ind w:left="7" w:firstLine="0"/>
            </w:pPr>
            <w:r>
              <w:t xml:space="preserve">54% </w:t>
            </w:r>
          </w:p>
        </w:tc>
      </w:tr>
      <w:tr w:rsidR="0023438A">
        <w:trPr>
          <w:trHeight w:val="1016"/>
        </w:trPr>
        <w:tc>
          <w:tcPr>
            <w:tcW w:w="3770" w:type="dxa"/>
            <w:tcBorders>
              <w:top w:val="nil"/>
              <w:left w:val="nil"/>
              <w:bottom w:val="single" w:sz="4" w:space="0" w:color="000000"/>
              <w:right w:val="nil"/>
            </w:tcBorders>
          </w:tcPr>
          <w:p w:rsidR="0023438A" w:rsidRDefault="00A02C86">
            <w:pPr>
              <w:spacing w:after="0" w:line="259" w:lineRule="auto"/>
              <w:ind w:left="309" w:firstLine="0"/>
            </w:pPr>
            <w:r>
              <w:t xml:space="preserve">Concerns over employers providing adequate training and oversight of apprentices. </w:t>
            </w:r>
          </w:p>
        </w:tc>
        <w:tc>
          <w:tcPr>
            <w:tcW w:w="859" w:type="dxa"/>
            <w:tcBorders>
              <w:top w:val="nil"/>
              <w:left w:val="nil"/>
              <w:bottom w:val="single" w:sz="4" w:space="0" w:color="000000"/>
              <w:right w:val="nil"/>
            </w:tcBorders>
          </w:tcPr>
          <w:p w:rsidR="0023438A" w:rsidRDefault="00A02C86">
            <w:pPr>
              <w:spacing w:after="0" w:line="259" w:lineRule="auto"/>
              <w:ind w:left="48" w:firstLine="0"/>
            </w:pPr>
            <w:r>
              <w:t xml:space="preserve">89 </w:t>
            </w:r>
          </w:p>
        </w:tc>
        <w:tc>
          <w:tcPr>
            <w:tcW w:w="1433" w:type="dxa"/>
            <w:tcBorders>
              <w:top w:val="nil"/>
              <w:left w:val="nil"/>
              <w:bottom w:val="single" w:sz="4" w:space="0" w:color="000000"/>
              <w:right w:val="nil"/>
            </w:tcBorders>
          </w:tcPr>
          <w:p w:rsidR="0023438A" w:rsidRDefault="00A02C86">
            <w:pPr>
              <w:spacing w:after="0" w:line="259" w:lineRule="auto"/>
              <w:ind w:left="0" w:firstLine="0"/>
            </w:pPr>
            <w:r>
              <w:t xml:space="preserve">Educator </w:t>
            </w:r>
          </w:p>
        </w:tc>
        <w:tc>
          <w:tcPr>
            <w:tcW w:w="900" w:type="dxa"/>
            <w:tcBorders>
              <w:top w:val="nil"/>
              <w:left w:val="nil"/>
              <w:bottom w:val="single" w:sz="4" w:space="0" w:color="000000"/>
              <w:right w:val="nil"/>
            </w:tcBorders>
          </w:tcPr>
          <w:p w:rsidR="0023438A" w:rsidRDefault="00A02C86">
            <w:pPr>
              <w:spacing w:after="0" w:line="259" w:lineRule="auto"/>
              <w:ind w:left="7" w:firstLine="0"/>
            </w:pPr>
            <w:r>
              <w:t xml:space="preserve">2.54 </w:t>
            </w:r>
          </w:p>
        </w:tc>
        <w:tc>
          <w:tcPr>
            <w:tcW w:w="989" w:type="dxa"/>
            <w:tcBorders>
              <w:top w:val="nil"/>
              <w:left w:val="nil"/>
              <w:bottom w:val="single" w:sz="4" w:space="0" w:color="000000"/>
              <w:right w:val="nil"/>
            </w:tcBorders>
          </w:tcPr>
          <w:p w:rsidR="0023438A" w:rsidRDefault="00A02C86">
            <w:pPr>
              <w:spacing w:after="0" w:line="259" w:lineRule="auto"/>
              <w:ind w:left="7" w:firstLine="0"/>
            </w:pPr>
            <w:r>
              <w:t xml:space="preserve">1.13 </w:t>
            </w:r>
          </w:p>
        </w:tc>
        <w:tc>
          <w:tcPr>
            <w:tcW w:w="636" w:type="dxa"/>
            <w:tcBorders>
              <w:top w:val="nil"/>
              <w:left w:val="nil"/>
              <w:bottom w:val="single" w:sz="4" w:space="0" w:color="000000"/>
              <w:right w:val="nil"/>
            </w:tcBorders>
          </w:tcPr>
          <w:p w:rsidR="0023438A" w:rsidRDefault="00A02C86">
            <w:pPr>
              <w:spacing w:after="0" w:line="259" w:lineRule="auto"/>
              <w:ind w:left="7" w:firstLine="0"/>
            </w:pPr>
            <w:r>
              <w:t xml:space="preserve">62% </w:t>
            </w:r>
          </w:p>
        </w:tc>
      </w:tr>
      <w:tr w:rsidR="0023438A">
        <w:trPr>
          <w:trHeight w:val="406"/>
        </w:trPr>
        <w:tc>
          <w:tcPr>
            <w:tcW w:w="6062" w:type="dxa"/>
            <w:gridSpan w:val="3"/>
            <w:tcBorders>
              <w:top w:val="single" w:sz="4" w:space="0" w:color="000000"/>
              <w:left w:val="nil"/>
              <w:bottom w:val="single" w:sz="4" w:space="0" w:color="000000"/>
              <w:right w:val="nil"/>
            </w:tcBorders>
          </w:tcPr>
          <w:p w:rsidR="0023438A" w:rsidRDefault="00A02C86">
            <w:pPr>
              <w:spacing w:after="0" w:line="259" w:lineRule="auto"/>
              <w:ind w:left="0" w:right="414" w:firstLine="0"/>
              <w:jc w:val="right"/>
            </w:pPr>
            <w:r>
              <w:t xml:space="preserve">Resource Priority Scale </w:t>
            </w:r>
          </w:p>
        </w:tc>
        <w:tc>
          <w:tcPr>
            <w:tcW w:w="900"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989"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636"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1541"/>
        </w:trPr>
        <w:tc>
          <w:tcPr>
            <w:tcW w:w="6062" w:type="dxa"/>
            <w:gridSpan w:val="3"/>
            <w:tcBorders>
              <w:top w:val="single" w:sz="4" w:space="0" w:color="000000"/>
              <w:left w:val="nil"/>
              <w:bottom w:val="single" w:sz="4" w:space="0" w:color="000000"/>
              <w:right w:val="nil"/>
            </w:tcBorders>
          </w:tcPr>
          <w:p w:rsidR="0023438A" w:rsidRDefault="00A02C86">
            <w:pPr>
              <w:spacing w:after="0" w:line="292" w:lineRule="auto"/>
              <w:ind w:left="302" w:firstLine="0"/>
              <w:jc w:val="both"/>
            </w:pPr>
            <w:r>
              <w:t xml:space="preserve">Allow for easy accreditation 91 Educator approval and Title IV financial  </w:t>
            </w:r>
          </w:p>
          <w:p w:rsidR="0023438A" w:rsidRDefault="00A02C86">
            <w:pPr>
              <w:spacing w:after="0" w:line="259" w:lineRule="auto"/>
              <w:ind w:left="302" w:right="1778" w:firstLine="0"/>
            </w:pPr>
            <w:proofErr w:type="gramStart"/>
            <w:r>
              <w:t>aid</w:t>
            </w:r>
            <w:proofErr w:type="gramEnd"/>
            <w:r>
              <w:t xml:space="preserve"> funding for apprenticeship activities. </w:t>
            </w:r>
          </w:p>
        </w:tc>
        <w:tc>
          <w:tcPr>
            <w:tcW w:w="900"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3.37 </w:t>
            </w:r>
          </w:p>
        </w:tc>
        <w:tc>
          <w:tcPr>
            <w:tcW w:w="989"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.80 </w:t>
            </w:r>
          </w:p>
        </w:tc>
        <w:tc>
          <w:tcPr>
            <w:tcW w:w="636" w:type="dxa"/>
            <w:tcBorders>
              <w:top w:val="single" w:sz="4" w:space="0" w:color="000000"/>
              <w:left w:val="nil"/>
              <w:bottom w:val="single" w:sz="4" w:space="0" w:color="000000"/>
              <w:right w:val="nil"/>
            </w:tcBorders>
          </w:tcPr>
          <w:p w:rsidR="0023438A" w:rsidRDefault="00A02C86">
            <w:pPr>
              <w:spacing w:after="96" w:line="259" w:lineRule="auto"/>
              <w:ind w:left="0" w:firstLine="0"/>
            </w:pPr>
            <w:r>
              <w:t xml:space="preserve">89% </w:t>
            </w:r>
          </w:p>
          <w:p w:rsidR="0023438A" w:rsidRDefault="00A02C86">
            <w:pPr>
              <w:spacing w:after="96" w:line="259" w:lineRule="auto"/>
              <w:ind w:left="0" w:firstLine="0"/>
            </w:pPr>
            <w:r>
              <w:t xml:space="preserve"> </w:t>
            </w:r>
          </w:p>
          <w:p w:rsidR="0023438A" w:rsidRDefault="00A02C86">
            <w:pPr>
              <w:spacing w:after="0" w:line="259" w:lineRule="auto"/>
              <w:ind w:left="0" w:firstLine="0"/>
            </w:pPr>
            <w:r>
              <w:t xml:space="preserve"> </w:t>
            </w:r>
          </w:p>
        </w:tc>
      </w:tr>
    </w:tbl>
    <w:p w:rsidR="0023438A" w:rsidRDefault="00A02C86">
      <w:pPr>
        <w:spacing w:after="372" w:line="259" w:lineRule="auto"/>
        <w:ind w:left="440" w:firstLine="0"/>
      </w:pPr>
      <w:r>
        <w:rPr>
          <w:i/>
        </w:rPr>
        <w:t xml:space="preserve"> </w:t>
      </w:r>
    </w:p>
    <w:p w:rsidR="0023438A" w:rsidRDefault="00A02C86">
      <w:pPr>
        <w:spacing w:after="129"/>
        <w:ind w:left="435" w:right="777"/>
      </w:pPr>
      <w:r>
        <w:rPr>
          <w:i/>
        </w:rPr>
        <w:t xml:space="preserve"> </w:t>
      </w:r>
      <w:r>
        <w:rPr>
          <w:i/>
        </w:rPr>
        <w:tab/>
      </w:r>
      <w:r>
        <w:t xml:space="preserve">The majority of the educator group indicated that apprenticeship lack of alignment with the institution’s mission is not a barrier to pursuing apprenticeship (n = 57, 63%). Considering that 10% selected Not Applicable for this item, only 27% felt this was </w:t>
      </w:r>
      <w:r>
        <w:t xml:space="preserve">a moderate or extreme barrier. </w:t>
      </w:r>
      <w:r>
        <w:rPr>
          <w:i/>
        </w:rPr>
        <w:t xml:space="preserve"> </w:t>
      </w:r>
      <w:r>
        <w:lastRenderedPageBreak/>
        <w:t>For questions regarding both accreditation and financial aid issues, educator responses were somewhat mixed on the level of barrier that both issues pose. For example, regarding accreditation credit policies, 43% (n = 40) ag</w:t>
      </w:r>
      <w:r>
        <w:t>ree that accreditation could be an obstacle, and similarly, less than half (n = 34, 38%) see that financial aid funding could impact implementation. Furthermore, when factoring out the Not Applicable responses, the split on this issue becomes more apparent</w:t>
      </w:r>
      <w:r>
        <w:t xml:space="preserve"> as 43% view accreditation policies, and 49% view financial aid as a moderate or extreme barrier. However, educators nearly unanimously (n = 81, 89%) reported that allowing for easy accreditation and financial aid approval is a priority. While many items i</w:t>
      </w:r>
      <w:r>
        <w:t xml:space="preserve">n this section posed mixed results, the unanimous support for prioritizing the accreditation and financial aid approval process demonstrates this item should take precedent when identifying policy improvements. </w:t>
      </w:r>
      <w:r>
        <w:tab/>
        <w:t xml:space="preserve"> </w:t>
      </w:r>
    </w:p>
    <w:p w:rsidR="0023438A" w:rsidRDefault="00A02C86">
      <w:pPr>
        <w:spacing w:after="252" w:line="259" w:lineRule="auto"/>
        <w:ind w:left="990" w:right="777"/>
      </w:pPr>
      <w:r>
        <w:t>Table 10 displays a subset of relevant sta</w:t>
      </w:r>
      <w:r>
        <w:t xml:space="preserve">tistics for the items asked only to employers. </w:t>
      </w:r>
    </w:p>
    <w:p w:rsidR="0023438A" w:rsidRDefault="00A02C86">
      <w:pPr>
        <w:spacing w:after="372" w:line="259" w:lineRule="auto"/>
        <w:ind w:left="435" w:right="777"/>
      </w:pPr>
      <w:r>
        <w:t xml:space="preserve">Appendix E shows all items with extensive summary data for each response category.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372" w:line="259" w:lineRule="auto"/>
        <w:ind w:left="980" w:firstLine="0"/>
      </w:pPr>
      <w:r>
        <w:t xml:space="preserve"> </w:t>
      </w:r>
    </w:p>
    <w:p w:rsidR="0023438A" w:rsidRDefault="00A02C86">
      <w:pPr>
        <w:spacing w:after="0" w:line="259" w:lineRule="auto"/>
        <w:ind w:left="980" w:firstLine="0"/>
      </w:pPr>
      <w:r>
        <w:t xml:space="preserve"> </w:t>
      </w:r>
    </w:p>
    <w:p w:rsidR="0023438A" w:rsidRDefault="00A02C86">
      <w:pPr>
        <w:spacing w:after="252" w:line="259" w:lineRule="auto"/>
        <w:ind w:left="435" w:right="777"/>
      </w:pPr>
      <w:r>
        <w:t xml:space="preserve">Table 10 </w:t>
      </w:r>
    </w:p>
    <w:p w:rsidR="0023438A" w:rsidRDefault="00A02C86">
      <w:pPr>
        <w:spacing w:after="96" w:line="267" w:lineRule="auto"/>
        <w:ind w:left="435" w:right="715"/>
      </w:pPr>
      <w:r>
        <w:rPr>
          <w:i/>
        </w:rPr>
        <w:t xml:space="preserve">Descriptive Statistics of Employer Only RQ2 Questionnaire Items </w:t>
      </w:r>
      <w:r>
        <w:t xml:space="preserve"> </w:t>
      </w:r>
    </w:p>
    <w:tbl>
      <w:tblPr>
        <w:tblStyle w:val="TableGrid"/>
        <w:tblW w:w="8587" w:type="dxa"/>
        <w:tblInd w:w="426" w:type="dxa"/>
        <w:tblCellMar>
          <w:top w:w="7" w:type="dxa"/>
          <w:left w:w="0" w:type="dxa"/>
          <w:bottom w:w="0" w:type="dxa"/>
          <w:right w:w="163" w:type="dxa"/>
        </w:tblCellMar>
        <w:tblLook w:val="04A0" w:firstRow="1" w:lastRow="0" w:firstColumn="1" w:lastColumn="0" w:noHBand="0" w:noVBand="1"/>
      </w:tblPr>
      <w:tblGrid>
        <w:gridCol w:w="3182"/>
        <w:gridCol w:w="588"/>
        <w:gridCol w:w="1579"/>
        <w:gridCol w:w="893"/>
        <w:gridCol w:w="1176"/>
        <w:gridCol w:w="1169"/>
      </w:tblGrid>
      <w:tr w:rsidR="0023438A">
        <w:trPr>
          <w:trHeight w:val="406"/>
        </w:trPr>
        <w:tc>
          <w:tcPr>
            <w:tcW w:w="3182" w:type="dxa"/>
            <w:tcBorders>
              <w:top w:val="single" w:sz="4" w:space="0" w:color="000000"/>
              <w:left w:val="nil"/>
              <w:bottom w:val="single" w:sz="4" w:space="0" w:color="000000"/>
              <w:right w:val="nil"/>
            </w:tcBorders>
          </w:tcPr>
          <w:p w:rsidR="0023438A" w:rsidRDefault="00A02C86">
            <w:pPr>
              <w:spacing w:after="0" w:line="259" w:lineRule="auto"/>
              <w:ind w:left="310" w:firstLine="0"/>
            </w:pPr>
            <w:r>
              <w:t xml:space="preserve"> </w:t>
            </w:r>
          </w:p>
        </w:tc>
        <w:tc>
          <w:tcPr>
            <w:tcW w:w="588" w:type="dxa"/>
            <w:tcBorders>
              <w:top w:val="single" w:sz="4" w:space="0" w:color="000000"/>
              <w:left w:val="nil"/>
              <w:bottom w:val="single" w:sz="4" w:space="0" w:color="000000"/>
              <w:right w:val="nil"/>
            </w:tcBorders>
          </w:tcPr>
          <w:p w:rsidR="0023438A" w:rsidRDefault="00A02C86">
            <w:pPr>
              <w:spacing w:after="0" w:line="259" w:lineRule="auto"/>
              <w:ind w:left="7" w:firstLine="0"/>
            </w:pPr>
            <w:r>
              <w:rPr>
                <w:i/>
              </w:rPr>
              <w:t xml:space="preserve">n </w:t>
            </w:r>
          </w:p>
        </w:tc>
        <w:tc>
          <w:tcPr>
            <w:tcW w:w="1579" w:type="dxa"/>
            <w:tcBorders>
              <w:top w:val="single" w:sz="4" w:space="0" w:color="000000"/>
              <w:left w:val="nil"/>
              <w:bottom w:val="single" w:sz="4" w:space="0" w:color="000000"/>
              <w:right w:val="nil"/>
            </w:tcBorders>
          </w:tcPr>
          <w:p w:rsidR="0023438A" w:rsidRDefault="00A02C86">
            <w:pPr>
              <w:spacing w:after="0" w:line="259" w:lineRule="auto"/>
              <w:ind w:left="228" w:firstLine="0"/>
            </w:pPr>
            <w:r>
              <w:t xml:space="preserve">Group </w:t>
            </w:r>
          </w:p>
        </w:tc>
        <w:tc>
          <w:tcPr>
            <w:tcW w:w="893" w:type="dxa"/>
            <w:tcBorders>
              <w:top w:val="single" w:sz="4" w:space="0" w:color="000000"/>
              <w:left w:val="nil"/>
              <w:bottom w:val="single" w:sz="4" w:space="0" w:color="000000"/>
              <w:right w:val="nil"/>
            </w:tcBorders>
          </w:tcPr>
          <w:p w:rsidR="0023438A" w:rsidRDefault="00A02C86">
            <w:pPr>
              <w:spacing w:after="0" w:line="259" w:lineRule="auto"/>
              <w:ind w:left="0" w:firstLine="0"/>
            </w:pPr>
            <w:r>
              <w:rPr>
                <w:i/>
              </w:rPr>
              <w:t>M</w:t>
            </w:r>
            <w:r>
              <w:t xml:space="preserve"> </w:t>
            </w:r>
          </w:p>
        </w:tc>
        <w:tc>
          <w:tcPr>
            <w:tcW w:w="1176" w:type="dxa"/>
            <w:tcBorders>
              <w:top w:val="single" w:sz="4" w:space="0" w:color="000000"/>
              <w:left w:val="nil"/>
              <w:bottom w:val="single" w:sz="4" w:space="0" w:color="000000"/>
              <w:right w:val="nil"/>
            </w:tcBorders>
          </w:tcPr>
          <w:p w:rsidR="0023438A" w:rsidRDefault="00A02C86">
            <w:pPr>
              <w:spacing w:after="0" w:line="259" w:lineRule="auto"/>
              <w:ind w:left="7" w:firstLine="0"/>
            </w:pPr>
            <w:r>
              <w:rPr>
                <w:i/>
              </w:rPr>
              <w:t>SD</w:t>
            </w:r>
            <w:r>
              <w:t xml:space="preserve"> </w:t>
            </w:r>
          </w:p>
        </w:tc>
        <w:tc>
          <w:tcPr>
            <w:tcW w:w="1169" w:type="dxa"/>
            <w:tcBorders>
              <w:top w:val="single" w:sz="4" w:space="0" w:color="000000"/>
              <w:left w:val="nil"/>
              <w:bottom w:val="single" w:sz="4" w:space="0" w:color="000000"/>
              <w:right w:val="nil"/>
            </w:tcBorders>
          </w:tcPr>
          <w:p w:rsidR="0023438A" w:rsidRDefault="00A02C86">
            <w:pPr>
              <w:spacing w:after="0" w:line="259" w:lineRule="auto"/>
              <w:ind w:left="7" w:firstLine="0"/>
            </w:pPr>
            <w:r>
              <w:t xml:space="preserve">% </w:t>
            </w:r>
          </w:p>
        </w:tc>
      </w:tr>
      <w:tr w:rsidR="0023438A">
        <w:trPr>
          <w:trHeight w:val="406"/>
        </w:trPr>
        <w:tc>
          <w:tcPr>
            <w:tcW w:w="3182"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588"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1579"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Barrier Scale </w:t>
            </w:r>
          </w:p>
        </w:tc>
        <w:tc>
          <w:tcPr>
            <w:tcW w:w="893"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1176"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1169"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890"/>
        </w:trPr>
        <w:tc>
          <w:tcPr>
            <w:tcW w:w="3182" w:type="dxa"/>
            <w:tcBorders>
              <w:top w:val="single" w:sz="4" w:space="0" w:color="000000"/>
              <w:left w:val="nil"/>
              <w:bottom w:val="nil"/>
              <w:right w:val="nil"/>
            </w:tcBorders>
          </w:tcPr>
          <w:p w:rsidR="0023438A" w:rsidRDefault="00A02C86">
            <w:pPr>
              <w:spacing w:after="0" w:line="259" w:lineRule="auto"/>
              <w:ind w:left="310" w:firstLine="0"/>
            </w:pPr>
            <w:r>
              <w:lastRenderedPageBreak/>
              <w:t xml:space="preserve">Lack of awareness about how to start an apprenticeship program </w:t>
            </w:r>
          </w:p>
        </w:tc>
        <w:tc>
          <w:tcPr>
            <w:tcW w:w="588" w:type="dxa"/>
            <w:tcBorders>
              <w:top w:val="single" w:sz="4" w:space="0" w:color="000000"/>
              <w:left w:val="nil"/>
              <w:bottom w:val="nil"/>
              <w:right w:val="nil"/>
            </w:tcBorders>
          </w:tcPr>
          <w:p w:rsidR="0023438A" w:rsidRDefault="00A02C86">
            <w:pPr>
              <w:spacing w:after="0" w:line="259" w:lineRule="auto"/>
              <w:ind w:left="7" w:firstLine="0"/>
            </w:pPr>
            <w:r>
              <w:t xml:space="preserve">129 </w:t>
            </w:r>
          </w:p>
        </w:tc>
        <w:tc>
          <w:tcPr>
            <w:tcW w:w="1579" w:type="dxa"/>
            <w:tcBorders>
              <w:top w:val="single" w:sz="4" w:space="0" w:color="000000"/>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single" w:sz="4" w:space="0" w:color="000000"/>
              <w:left w:val="nil"/>
              <w:bottom w:val="nil"/>
              <w:right w:val="nil"/>
            </w:tcBorders>
          </w:tcPr>
          <w:p w:rsidR="0023438A" w:rsidRDefault="00A02C86">
            <w:pPr>
              <w:spacing w:after="0" w:line="259" w:lineRule="auto"/>
              <w:ind w:left="0" w:firstLine="0"/>
            </w:pPr>
            <w:r>
              <w:t xml:space="preserve">2.16 </w:t>
            </w:r>
          </w:p>
        </w:tc>
        <w:tc>
          <w:tcPr>
            <w:tcW w:w="1176" w:type="dxa"/>
            <w:tcBorders>
              <w:top w:val="single" w:sz="4" w:space="0" w:color="000000"/>
              <w:left w:val="nil"/>
              <w:bottom w:val="nil"/>
              <w:right w:val="nil"/>
            </w:tcBorders>
          </w:tcPr>
          <w:p w:rsidR="0023438A" w:rsidRDefault="00A02C86">
            <w:pPr>
              <w:spacing w:after="0" w:line="259" w:lineRule="auto"/>
              <w:ind w:left="7" w:firstLine="0"/>
            </w:pPr>
            <w:r>
              <w:t xml:space="preserve">1.41 </w:t>
            </w:r>
          </w:p>
        </w:tc>
        <w:tc>
          <w:tcPr>
            <w:tcW w:w="1169" w:type="dxa"/>
            <w:tcBorders>
              <w:top w:val="single" w:sz="4" w:space="0" w:color="000000"/>
              <w:left w:val="nil"/>
              <w:bottom w:val="nil"/>
              <w:right w:val="nil"/>
            </w:tcBorders>
          </w:tcPr>
          <w:p w:rsidR="0023438A" w:rsidRDefault="00A02C86">
            <w:pPr>
              <w:spacing w:after="0" w:line="259" w:lineRule="auto"/>
              <w:ind w:left="7" w:firstLine="0"/>
            </w:pPr>
            <w:r>
              <w:t xml:space="preserve">46% </w:t>
            </w:r>
          </w:p>
        </w:tc>
      </w:tr>
      <w:tr w:rsidR="0023438A">
        <w:trPr>
          <w:trHeight w:val="672"/>
        </w:trPr>
        <w:tc>
          <w:tcPr>
            <w:tcW w:w="3182" w:type="dxa"/>
            <w:tcBorders>
              <w:top w:val="nil"/>
              <w:left w:val="nil"/>
              <w:bottom w:val="nil"/>
              <w:right w:val="nil"/>
            </w:tcBorders>
          </w:tcPr>
          <w:p w:rsidR="0023438A" w:rsidRDefault="00A02C86">
            <w:pPr>
              <w:spacing w:after="0" w:line="259" w:lineRule="auto"/>
              <w:ind w:left="310" w:firstLine="0"/>
            </w:pPr>
            <w:r>
              <w:t xml:space="preserve">We are able to fill needs with traditional hiring.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2.29 </w:t>
            </w:r>
          </w:p>
        </w:tc>
        <w:tc>
          <w:tcPr>
            <w:tcW w:w="1176" w:type="dxa"/>
            <w:tcBorders>
              <w:top w:val="nil"/>
              <w:left w:val="nil"/>
              <w:bottom w:val="nil"/>
              <w:right w:val="nil"/>
            </w:tcBorders>
          </w:tcPr>
          <w:p w:rsidR="0023438A" w:rsidRDefault="00A02C86">
            <w:pPr>
              <w:spacing w:after="0" w:line="259" w:lineRule="auto"/>
              <w:ind w:left="7" w:firstLine="0"/>
            </w:pPr>
            <w:r>
              <w:t xml:space="preserve">1.31 </w:t>
            </w:r>
          </w:p>
        </w:tc>
        <w:tc>
          <w:tcPr>
            <w:tcW w:w="1169" w:type="dxa"/>
            <w:tcBorders>
              <w:top w:val="nil"/>
              <w:left w:val="nil"/>
              <w:bottom w:val="nil"/>
              <w:right w:val="nil"/>
            </w:tcBorders>
          </w:tcPr>
          <w:p w:rsidR="0023438A" w:rsidRDefault="00A02C86">
            <w:pPr>
              <w:spacing w:after="0" w:line="259" w:lineRule="auto"/>
              <w:ind w:left="7" w:firstLine="0"/>
            </w:pPr>
            <w:r>
              <w:t xml:space="preserve">43% </w:t>
            </w:r>
          </w:p>
        </w:tc>
      </w:tr>
      <w:tr w:rsidR="0023438A">
        <w:trPr>
          <w:trHeight w:val="948"/>
        </w:trPr>
        <w:tc>
          <w:tcPr>
            <w:tcW w:w="3182" w:type="dxa"/>
            <w:tcBorders>
              <w:top w:val="nil"/>
              <w:left w:val="nil"/>
              <w:bottom w:val="nil"/>
              <w:right w:val="nil"/>
            </w:tcBorders>
          </w:tcPr>
          <w:p w:rsidR="0023438A" w:rsidRDefault="00A02C86">
            <w:pPr>
              <w:spacing w:after="0" w:line="238" w:lineRule="auto"/>
              <w:ind w:left="310" w:right="13" w:firstLine="0"/>
            </w:pPr>
            <w:r>
              <w:t xml:space="preserve">Educational requirements of apprenticeship are too </w:t>
            </w:r>
          </w:p>
          <w:p w:rsidR="0023438A" w:rsidRDefault="00A02C86">
            <w:pPr>
              <w:spacing w:after="0" w:line="259" w:lineRule="auto"/>
              <w:ind w:left="310" w:firstLine="0"/>
            </w:pPr>
            <w:r>
              <w:t xml:space="preserve">daunting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2.16 </w:t>
            </w:r>
          </w:p>
        </w:tc>
        <w:tc>
          <w:tcPr>
            <w:tcW w:w="1176" w:type="dxa"/>
            <w:tcBorders>
              <w:top w:val="nil"/>
              <w:left w:val="nil"/>
              <w:bottom w:val="nil"/>
              <w:right w:val="nil"/>
            </w:tcBorders>
          </w:tcPr>
          <w:p w:rsidR="0023438A" w:rsidRDefault="00A02C86">
            <w:pPr>
              <w:spacing w:after="0" w:line="259" w:lineRule="auto"/>
              <w:ind w:left="7" w:firstLine="0"/>
            </w:pPr>
            <w:r>
              <w:t xml:space="preserve">1.52 </w:t>
            </w:r>
          </w:p>
        </w:tc>
        <w:tc>
          <w:tcPr>
            <w:tcW w:w="1169" w:type="dxa"/>
            <w:tcBorders>
              <w:top w:val="nil"/>
              <w:left w:val="nil"/>
              <w:bottom w:val="nil"/>
              <w:right w:val="nil"/>
            </w:tcBorders>
          </w:tcPr>
          <w:p w:rsidR="0023438A" w:rsidRDefault="00A02C86">
            <w:pPr>
              <w:spacing w:after="0" w:line="259" w:lineRule="auto"/>
              <w:ind w:left="7" w:firstLine="0"/>
            </w:pPr>
            <w:r>
              <w:t xml:space="preserve">44% </w:t>
            </w:r>
          </w:p>
        </w:tc>
      </w:tr>
      <w:tr w:rsidR="0023438A">
        <w:trPr>
          <w:trHeight w:val="948"/>
        </w:trPr>
        <w:tc>
          <w:tcPr>
            <w:tcW w:w="3182" w:type="dxa"/>
            <w:tcBorders>
              <w:top w:val="nil"/>
              <w:left w:val="nil"/>
              <w:bottom w:val="nil"/>
              <w:right w:val="nil"/>
            </w:tcBorders>
          </w:tcPr>
          <w:p w:rsidR="0023438A" w:rsidRDefault="00A02C86">
            <w:pPr>
              <w:spacing w:after="0" w:line="259" w:lineRule="auto"/>
              <w:ind w:left="310" w:right="196" w:firstLine="0"/>
            </w:pPr>
            <w:r>
              <w:t xml:space="preserve">Union contracts or stigmatization are limiting expansion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1.79 </w:t>
            </w:r>
          </w:p>
        </w:tc>
        <w:tc>
          <w:tcPr>
            <w:tcW w:w="1176" w:type="dxa"/>
            <w:tcBorders>
              <w:top w:val="nil"/>
              <w:left w:val="nil"/>
              <w:bottom w:val="nil"/>
              <w:right w:val="nil"/>
            </w:tcBorders>
          </w:tcPr>
          <w:p w:rsidR="0023438A" w:rsidRDefault="00A02C86">
            <w:pPr>
              <w:spacing w:after="0" w:line="259" w:lineRule="auto"/>
              <w:ind w:left="7" w:firstLine="0"/>
            </w:pPr>
            <w:r>
              <w:t xml:space="preserve">1.72 </w:t>
            </w:r>
          </w:p>
        </w:tc>
        <w:tc>
          <w:tcPr>
            <w:tcW w:w="1169" w:type="dxa"/>
            <w:tcBorders>
              <w:top w:val="nil"/>
              <w:left w:val="nil"/>
              <w:bottom w:val="nil"/>
              <w:right w:val="nil"/>
            </w:tcBorders>
          </w:tcPr>
          <w:p w:rsidR="0023438A" w:rsidRDefault="00A02C86">
            <w:pPr>
              <w:spacing w:after="0" w:line="259" w:lineRule="auto"/>
              <w:ind w:left="7" w:firstLine="0"/>
            </w:pPr>
            <w:r>
              <w:t xml:space="preserve">40% </w:t>
            </w:r>
          </w:p>
        </w:tc>
      </w:tr>
      <w:tr w:rsidR="0023438A">
        <w:trPr>
          <w:trHeight w:val="672"/>
        </w:trPr>
        <w:tc>
          <w:tcPr>
            <w:tcW w:w="3182" w:type="dxa"/>
            <w:tcBorders>
              <w:top w:val="nil"/>
              <w:left w:val="nil"/>
              <w:bottom w:val="nil"/>
              <w:right w:val="nil"/>
            </w:tcBorders>
          </w:tcPr>
          <w:p w:rsidR="0023438A" w:rsidRDefault="00A02C86">
            <w:pPr>
              <w:spacing w:after="0" w:line="259" w:lineRule="auto"/>
              <w:ind w:left="310" w:right="53" w:firstLine="0"/>
              <w:jc w:val="both"/>
            </w:pPr>
            <w:r>
              <w:t xml:space="preserve">Costs for instruction are too great </w:t>
            </w:r>
          </w:p>
        </w:tc>
        <w:tc>
          <w:tcPr>
            <w:tcW w:w="588" w:type="dxa"/>
            <w:tcBorders>
              <w:top w:val="nil"/>
              <w:left w:val="nil"/>
              <w:bottom w:val="nil"/>
              <w:right w:val="nil"/>
            </w:tcBorders>
          </w:tcPr>
          <w:p w:rsidR="0023438A" w:rsidRDefault="00A02C86">
            <w:pPr>
              <w:spacing w:after="0" w:line="259" w:lineRule="auto"/>
              <w:ind w:left="7" w:firstLine="0"/>
            </w:pPr>
            <w:r>
              <w:t xml:space="preserve">130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2.18 </w:t>
            </w:r>
          </w:p>
        </w:tc>
        <w:tc>
          <w:tcPr>
            <w:tcW w:w="1176" w:type="dxa"/>
            <w:tcBorders>
              <w:top w:val="nil"/>
              <w:left w:val="nil"/>
              <w:bottom w:val="nil"/>
              <w:right w:val="nil"/>
            </w:tcBorders>
          </w:tcPr>
          <w:p w:rsidR="0023438A" w:rsidRDefault="00A02C86">
            <w:pPr>
              <w:spacing w:after="0" w:line="259" w:lineRule="auto"/>
              <w:ind w:left="7" w:firstLine="0"/>
            </w:pPr>
            <w:r>
              <w:t xml:space="preserve">1.41 </w:t>
            </w:r>
          </w:p>
        </w:tc>
        <w:tc>
          <w:tcPr>
            <w:tcW w:w="1169" w:type="dxa"/>
            <w:tcBorders>
              <w:top w:val="nil"/>
              <w:left w:val="nil"/>
              <w:bottom w:val="nil"/>
              <w:right w:val="nil"/>
            </w:tcBorders>
          </w:tcPr>
          <w:p w:rsidR="0023438A" w:rsidRDefault="00A02C86">
            <w:pPr>
              <w:spacing w:after="0" w:line="259" w:lineRule="auto"/>
              <w:ind w:left="7" w:firstLine="0"/>
            </w:pPr>
            <w:r>
              <w:t xml:space="preserve">47% </w:t>
            </w:r>
          </w:p>
        </w:tc>
      </w:tr>
      <w:tr w:rsidR="0023438A">
        <w:trPr>
          <w:trHeight w:val="672"/>
        </w:trPr>
        <w:tc>
          <w:tcPr>
            <w:tcW w:w="3182" w:type="dxa"/>
            <w:tcBorders>
              <w:top w:val="nil"/>
              <w:left w:val="nil"/>
              <w:bottom w:val="nil"/>
              <w:right w:val="nil"/>
            </w:tcBorders>
          </w:tcPr>
          <w:p w:rsidR="0023438A" w:rsidRDefault="00A02C86">
            <w:pPr>
              <w:spacing w:after="0" w:line="259" w:lineRule="auto"/>
              <w:ind w:left="310" w:right="52" w:firstLine="0"/>
            </w:pPr>
            <w:r>
              <w:t xml:space="preserve">Lack of personnel to handle training.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2.11 </w:t>
            </w:r>
          </w:p>
        </w:tc>
        <w:tc>
          <w:tcPr>
            <w:tcW w:w="1176" w:type="dxa"/>
            <w:tcBorders>
              <w:top w:val="nil"/>
              <w:left w:val="nil"/>
              <w:bottom w:val="nil"/>
              <w:right w:val="nil"/>
            </w:tcBorders>
          </w:tcPr>
          <w:p w:rsidR="0023438A" w:rsidRDefault="00A02C86">
            <w:pPr>
              <w:spacing w:after="0" w:line="259" w:lineRule="auto"/>
              <w:ind w:left="7" w:firstLine="0"/>
            </w:pPr>
            <w:r>
              <w:t xml:space="preserve">1.27 </w:t>
            </w:r>
          </w:p>
        </w:tc>
        <w:tc>
          <w:tcPr>
            <w:tcW w:w="1169" w:type="dxa"/>
            <w:tcBorders>
              <w:top w:val="nil"/>
              <w:left w:val="nil"/>
              <w:bottom w:val="nil"/>
              <w:right w:val="nil"/>
            </w:tcBorders>
          </w:tcPr>
          <w:p w:rsidR="0023438A" w:rsidRDefault="00A02C86">
            <w:pPr>
              <w:spacing w:after="0" w:line="259" w:lineRule="auto"/>
              <w:ind w:left="7" w:firstLine="0"/>
            </w:pPr>
            <w:r>
              <w:t xml:space="preserve">39% </w:t>
            </w:r>
          </w:p>
        </w:tc>
      </w:tr>
      <w:tr w:rsidR="0023438A">
        <w:trPr>
          <w:trHeight w:val="948"/>
        </w:trPr>
        <w:tc>
          <w:tcPr>
            <w:tcW w:w="3182" w:type="dxa"/>
            <w:tcBorders>
              <w:top w:val="nil"/>
              <w:left w:val="nil"/>
              <w:bottom w:val="nil"/>
              <w:right w:val="nil"/>
            </w:tcBorders>
          </w:tcPr>
          <w:p w:rsidR="0023438A" w:rsidRDefault="00A02C86">
            <w:pPr>
              <w:spacing w:after="0" w:line="259" w:lineRule="auto"/>
              <w:ind w:left="309" w:firstLine="0"/>
            </w:pPr>
            <w:r>
              <w:t xml:space="preserve">It takes too long for an apprentice to become productive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2.35 </w:t>
            </w:r>
          </w:p>
        </w:tc>
        <w:tc>
          <w:tcPr>
            <w:tcW w:w="1176" w:type="dxa"/>
            <w:tcBorders>
              <w:top w:val="nil"/>
              <w:left w:val="nil"/>
              <w:bottom w:val="nil"/>
              <w:right w:val="nil"/>
            </w:tcBorders>
          </w:tcPr>
          <w:p w:rsidR="0023438A" w:rsidRDefault="00A02C86">
            <w:pPr>
              <w:spacing w:after="0" w:line="259" w:lineRule="auto"/>
              <w:ind w:left="7" w:firstLine="0"/>
            </w:pPr>
            <w:r>
              <w:t xml:space="preserve">1.34 </w:t>
            </w:r>
          </w:p>
        </w:tc>
        <w:tc>
          <w:tcPr>
            <w:tcW w:w="1169" w:type="dxa"/>
            <w:tcBorders>
              <w:top w:val="nil"/>
              <w:left w:val="nil"/>
              <w:bottom w:val="nil"/>
              <w:right w:val="nil"/>
            </w:tcBorders>
          </w:tcPr>
          <w:p w:rsidR="0023438A" w:rsidRDefault="00A02C86">
            <w:pPr>
              <w:spacing w:after="0" w:line="259" w:lineRule="auto"/>
              <w:ind w:left="7" w:firstLine="0"/>
            </w:pPr>
            <w:r>
              <w:t xml:space="preserve">50% </w:t>
            </w:r>
          </w:p>
        </w:tc>
      </w:tr>
      <w:tr w:rsidR="0023438A">
        <w:trPr>
          <w:trHeight w:val="1224"/>
        </w:trPr>
        <w:tc>
          <w:tcPr>
            <w:tcW w:w="3182" w:type="dxa"/>
            <w:tcBorders>
              <w:top w:val="nil"/>
              <w:left w:val="nil"/>
              <w:bottom w:val="nil"/>
              <w:right w:val="nil"/>
            </w:tcBorders>
          </w:tcPr>
          <w:p w:rsidR="0023438A" w:rsidRDefault="00A02C86">
            <w:pPr>
              <w:spacing w:after="0" w:line="259" w:lineRule="auto"/>
              <w:ind w:left="310" w:right="127" w:firstLine="0"/>
            </w:pPr>
            <w:r>
              <w:t xml:space="preserve">Inability to find a school to partner with to handle the related technical instruction.  </w:t>
            </w:r>
          </w:p>
        </w:tc>
        <w:tc>
          <w:tcPr>
            <w:tcW w:w="588" w:type="dxa"/>
            <w:tcBorders>
              <w:top w:val="nil"/>
              <w:left w:val="nil"/>
              <w:bottom w:val="nil"/>
              <w:right w:val="nil"/>
            </w:tcBorders>
          </w:tcPr>
          <w:p w:rsidR="0023438A" w:rsidRDefault="00A02C86">
            <w:pPr>
              <w:spacing w:after="0" w:line="259" w:lineRule="auto"/>
              <w:ind w:left="7" w:firstLine="0"/>
            </w:pPr>
            <w:r>
              <w:t xml:space="preserve">131 </w:t>
            </w:r>
          </w:p>
        </w:tc>
        <w:tc>
          <w:tcPr>
            <w:tcW w:w="1579" w:type="dxa"/>
            <w:tcBorders>
              <w:top w:val="nil"/>
              <w:left w:val="nil"/>
              <w:bottom w:val="nil"/>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nil"/>
              <w:right w:val="nil"/>
            </w:tcBorders>
          </w:tcPr>
          <w:p w:rsidR="0023438A" w:rsidRDefault="00A02C86">
            <w:pPr>
              <w:spacing w:after="0" w:line="259" w:lineRule="auto"/>
              <w:ind w:left="0" w:firstLine="0"/>
            </w:pPr>
            <w:r>
              <w:t xml:space="preserve">2.41 </w:t>
            </w:r>
          </w:p>
        </w:tc>
        <w:tc>
          <w:tcPr>
            <w:tcW w:w="1176" w:type="dxa"/>
            <w:tcBorders>
              <w:top w:val="nil"/>
              <w:left w:val="nil"/>
              <w:bottom w:val="nil"/>
              <w:right w:val="nil"/>
            </w:tcBorders>
          </w:tcPr>
          <w:p w:rsidR="0023438A" w:rsidRDefault="00A02C86">
            <w:pPr>
              <w:spacing w:after="0" w:line="259" w:lineRule="auto"/>
              <w:ind w:left="7" w:firstLine="0"/>
            </w:pPr>
            <w:r>
              <w:t xml:space="preserve">1.51 </w:t>
            </w:r>
          </w:p>
        </w:tc>
        <w:tc>
          <w:tcPr>
            <w:tcW w:w="1169" w:type="dxa"/>
            <w:tcBorders>
              <w:top w:val="nil"/>
              <w:left w:val="nil"/>
              <w:bottom w:val="nil"/>
              <w:right w:val="nil"/>
            </w:tcBorders>
          </w:tcPr>
          <w:p w:rsidR="0023438A" w:rsidRDefault="00A02C86">
            <w:pPr>
              <w:spacing w:after="0" w:line="259" w:lineRule="auto"/>
              <w:ind w:left="7" w:firstLine="0"/>
            </w:pPr>
            <w:r>
              <w:t xml:space="preserve">53% </w:t>
            </w:r>
          </w:p>
        </w:tc>
      </w:tr>
      <w:tr w:rsidR="0023438A">
        <w:trPr>
          <w:trHeight w:val="1568"/>
        </w:trPr>
        <w:tc>
          <w:tcPr>
            <w:tcW w:w="3182" w:type="dxa"/>
            <w:tcBorders>
              <w:top w:val="nil"/>
              <w:left w:val="nil"/>
              <w:bottom w:val="single" w:sz="4" w:space="0" w:color="000000"/>
              <w:right w:val="nil"/>
            </w:tcBorders>
          </w:tcPr>
          <w:p w:rsidR="0023438A" w:rsidRDefault="00A02C86">
            <w:pPr>
              <w:spacing w:after="0" w:line="259" w:lineRule="auto"/>
              <w:ind w:left="310" w:right="177" w:firstLine="0"/>
            </w:pPr>
            <w:r>
              <w:t xml:space="preserve">Concerns over employees quitting job midstream and taking skills to another company for more money. </w:t>
            </w:r>
          </w:p>
        </w:tc>
        <w:tc>
          <w:tcPr>
            <w:tcW w:w="588" w:type="dxa"/>
            <w:tcBorders>
              <w:top w:val="nil"/>
              <w:left w:val="nil"/>
              <w:bottom w:val="single" w:sz="4" w:space="0" w:color="000000"/>
              <w:right w:val="nil"/>
            </w:tcBorders>
          </w:tcPr>
          <w:p w:rsidR="0023438A" w:rsidRDefault="00A02C86">
            <w:pPr>
              <w:spacing w:after="0" w:line="259" w:lineRule="auto"/>
              <w:ind w:left="7" w:firstLine="0"/>
            </w:pPr>
            <w:r>
              <w:t xml:space="preserve">131 </w:t>
            </w:r>
          </w:p>
        </w:tc>
        <w:tc>
          <w:tcPr>
            <w:tcW w:w="1579" w:type="dxa"/>
            <w:tcBorders>
              <w:top w:val="nil"/>
              <w:left w:val="nil"/>
              <w:bottom w:val="single" w:sz="4" w:space="0" w:color="000000"/>
              <w:right w:val="nil"/>
            </w:tcBorders>
          </w:tcPr>
          <w:p w:rsidR="0023438A" w:rsidRDefault="00A02C86">
            <w:pPr>
              <w:spacing w:after="0" w:line="259" w:lineRule="auto"/>
              <w:ind w:left="228" w:firstLine="0"/>
            </w:pPr>
            <w:r>
              <w:t>Employer</w:t>
            </w:r>
            <w:r>
              <w:t xml:space="preserve"> </w:t>
            </w:r>
          </w:p>
        </w:tc>
        <w:tc>
          <w:tcPr>
            <w:tcW w:w="893" w:type="dxa"/>
            <w:tcBorders>
              <w:top w:val="nil"/>
              <w:left w:val="nil"/>
              <w:bottom w:val="single" w:sz="4" w:space="0" w:color="000000"/>
              <w:right w:val="nil"/>
            </w:tcBorders>
          </w:tcPr>
          <w:p w:rsidR="0023438A" w:rsidRDefault="00A02C86">
            <w:pPr>
              <w:spacing w:after="0" w:line="259" w:lineRule="auto"/>
              <w:ind w:left="0" w:firstLine="0"/>
            </w:pPr>
            <w:r>
              <w:t xml:space="preserve">1.80 </w:t>
            </w:r>
          </w:p>
        </w:tc>
        <w:tc>
          <w:tcPr>
            <w:tcW w:w="1176" w:type="dxa"/>
            <w:tcBorders>
              <w:top w:val="nil"/>
              <w:left w:val="nil"/>
              <w:bottom w:val="single" w:sz="4" w:space="0" w:color="000000"/>
              <w:right w:val="nil"/>
            </w:tcBorders>
          </w:tcPr>
          <w:p w:rsidR="0023438A" w:rsidRDefault="00A02C86">
            <w:pPr>
              <w:spacing w:after="0" w:line="259" w:lineRule="auto"/>
              <w:ind w:left="7" w:firstLine="0"/>
            </w:pPr>
            <w:r>
              <w:t xml:space="preserve">1.22 </w:t>
            </w:r>
          </w:p>
        </w:tc>
        <w:tc>
          <w:tcPr>
            <w:tcW w:w="1169" w:type="dxa"/>
            <w:tcBorders>
              <w:top w:val="nil"/>
              <w:left w:val="nil"/>
              <w:bottom w:val="single" w:sz="4" w:space="0" w:color="000000"/>
              <w:right w:val="nil"/>
            </w:tcBorders>
          </w:tcPr>
          <w:p w:rsidR="0023438A" w:rsidRDefault="00A02C86">
            <w:pPr>
              <w:spacing w:after="0" w:line="259" w:lineRule="auto"/>
              <w:ind w:left="7" w:firstLine="0"/>
            </w:pPr>
            <w:r>
              <w:t xml:space="preserve">31% </w:t>
            </w:r>
          </w:p>
        </w:tc>
      </w:tr>
      <w:tr w:rsidR="0023438A">
        <w:trPr>
          <w:trHeight w:val="406"/>
        </w:trPr>
        <w:tc>
          <w:tcPr>
            <w:tcW w:w="3182"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3060" w:type="dxa"/>
            <w:gridSpan w:val="3"/>
            <w:tcBorders>
              <w:top w:val="single" w:sz="4" w:space="0" w:color="000000"/>
              <w:left w:val="nil"/>
              <w:bottom w:val="single" w:sz="4" w:space="0" w:color="000000"/>
              <w:right w:val="nil"/>
            </w:tcBorders>
          </w:tcPr>
          <w:p w:rsidR="0023438A" w:rsidRDefault="00A02C86">
            <w:pPr>
              <w:spacing w:after="0" w:line="259" w:lineRule="auto"/>
              <w:ind w:left="86" w:firstLine="0"/>
            </w:pPr>
            <w:r>
              <w:t xml:space="preserve">Resource Priority Scale </w:t>
            </w:r>
          </w:p>
        </w:tc>
        <w:tc>
          <w:tcPr>
            <w:tcW w:w="1176" w:type="dxa"/>
            <w:tcBorders>
              <w:top w:val="single" w:sz="4" w:space="0" w:color="000000"/>
              <w:left w:val="nil"/>
              <w:bottom w:val="single" w:sz="4" w:space="0" w:color="000000"/>
              <w:right w:val="nil"/>
            </w:tcBorders>
          </w:tcPr>
          <w:p w:rsidR="0023438A" w:rsidRDefault="0023438A">
            <w:pPr>
              <w:spacing w:after="160" w:line="259" w:lineRule="auto"/>
              <w:ind w:left="0" w:firstLine="0"/>
            </w:pPr>
          </w:p>
        </w:tc>
        <w:tc>
          <w:tcPr>
            <w:tcW w:w="1169" w:type="dxa"/>
            <w:tcBorders>
              <w:top w:val="single" w:sz="4" w:space="0" w:color="000000"/>
              <w:left w:val="nil"/>
              <w:bottom w:val="single" w:sz="4" w:space="0" w:color="000000"/>
              <w:right w:val="nil"/>
            </w:tcBorders>
          </w:tcPr>
          <w:p w:rsidR="0023438A" w:rsidRDefault="0023438A">
            <w:pPr>
              <w:spacing w:after="160" w:line="259" w:lineRule="auto"/>
              <w:ind w:left="0" w:firstLine="0"/>
            </w:pPr>
          </w:p>
        </w:tc>
      </w:tr>
      <w:tr w:rsidR="0023438A">
        <w:trPr>
          <w:trHeight w:val="1541"/>
        </w:trPr>
        <w:tc>
          <w:tcPr>
            <w:tcW w:w="3182" w:type="dxa"/>
            <w:tcBorders>
              <w:top w:val="single" w:sz="4" w:space="0" w:color="000000"/>
              <w:left w:val="nil"/>
              <w:bottom w:val="single" w:sz="4" w:space="0" w:color="000000"/>
              <w:right w:val="nil"/>
            </w:tcBorders>
          </w:tcPr>
          <w:p w:rsidR="0023438A" w:rsidRDefault="00A02C86">
            <w:pPr>
              <w:spacing w:after="0" w:line="259" w:lineRule="auto"/>
              <w:ind w:left="302" w:right="227" w:firstLine="0"/>
            </w:pPr>
            <w:r>
              <w:t xml:space="preserve">Require participants to sign a reimbursement contract should they leave early. </w:t>
            </w:r>
          </w:p>
        </w:tc>
        <w:tc>
          <w:tcPr>
            <w:tcW w:w="3060" w:type="dxa"/>
            <w:gridSpan w:val="3"/>
            <w:tcBorders>
              <w:top w:val="single" w:sz="4" w:space="0" w:color="000000"/>
              <w:left w:val="nil"/>
              <w:bottom w:val="single" w:sz="4" w:space="0" w:color="000000"/>
              <w:right w:val="nil"/>
            </w:tcBorders>
          </w:tcPr>
          <w:p w:rsidR="0023438A" w:rsidRDefault="00A02C86">
            <w:pPr>
              <w:tabs>
                <w:tab w:val="center" w:pos="1277"/>
                <w:tab w:val="center" w:pos="2369"/>
              </w:tabs>
              <w:spacing w:after="100" w:line="259" w:lineRule="auto"/>
              <w:ind w:left="0" w:firstLine="0"/>
            </w:pPr>
            <w:r>
              <w:t xml:space="preserve">130 </w:t>
            </w:r>
            <w:r>
              <w:tab/>
              <w:t xml:space="preserve">Employer </w:t>
            </w:r>
            <w:r>
              <w:tab/>
              <w:t xml:space="preserve">3.02 </w:t>
            </w:r>
          </w:p>
          <w:p w:rsidR="0023438A" w:rsidRDefault="00A02C86">
            <w:pPr>
              <w:spacing w:after="0" w:line="259" w:lineRule="auto"/>
              <w:ind w:left="809" w:firstLine="0"/>
            </w:pPr>
            <w:r>
              <w:t xml:space="preserve"> </w:t>
            </w:r>
          </w:p>
        </w:tc>
        <w:tc>
          <w:tcPr>
            <w:tcW w:w="1176"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1.04 </w:t>
            </w:r>
          </w:p>
        </w:tc>
        <w:tc>
          <w:tcPr>
            <w:tcW w:w="1169" w:type="dxa"/>
            <w:tcBorders>
              <w:top w:val="single" w:sz="4" w:space="0" w:color="000000"/>
              <w:left w:val="nil"/>
              <w:bottom w:val="single" w:sz="4" w:space="0" w:color="000000"/>
              <w:right w:val="nil"/>
            </w:tcBorders>
          </w:tcPr>
          <w:p w:rsidR="0023438A" w:rsidRDefault="00A02C86">
            <w:pPr>
              <w:spacing w:after="93" w:line="259" w:lineRule="auto"/>
              <w:ind w:left="0" w:firstLine="0"/>
            </w:pPr>
            <w:r>
              <w:t xml:space="preserve">71% </w:t>
            </w:r>
          </w:p>
          <w:p w:rsidR="0023438A" w:rsidRDefault="00A02C86">
            <w:pPr>
              <w:spacing w:after="0" w:line="259" w:lineRule="auto"/>
              <w:ind w:left="0" w:firstLine="0"/>
            </w:pPr>
            <w:r>
              <w:t xml:space="preserve"> </w:t>
            </w:r>
          </w:p>
        </w:tc>
      </w:tr>
    </w:tbl>
    <w:p w:rsidR="0023438A" w:rsidRDefault="00A02C86">
      <w:pPr>
        <w:spacing w:after="0" w:line="259" w:lineRule="auto"/>
        <w:ind w:left="440" w:firstLine="0"/>
      </w:pPr>
      <w:r>
        <w:t xml:space="preserve"> </w:t>
      </w:r>
      <w:r>
        <w:tab/>
        <w:t xml:space="preserve"> </w:t>
      </w:r>
    </w:p>
    <w:p w:rsidR="0023438A" w:rsidRDefault="00A02C86">
      <w:pPr>
        <w:spacing w:after="117"/>
        <w:ind w:left="425" w:right="777" w:firstLine="720"/>
      </w:pPr>
      <w:r>
        <w:t>Employer responses appear mixed (46% and 53% respectively) on the issue of how to start an apprenticeship program and the inability to find a school partner. However, once the Not Applicable items are taken into account, roughly a third see each of these i</w:t>
      </w:r>
      <w:r>
        <w:t>tems as a moderate or extreme barrier, 35%, and 27%, respectively. The largest topic of agreement deals with concerns over employees quitting and taking their skills elsewhere. Over half of employers (52%) felt that this is a moderate or extreme barrier. I</w:t>
      </w:r>
      <w:r>
        <w:t xml:space="preserve">n the same vein, almost three-fourths of employers (71%) </w:t>
      </w:r>
      <w:r>
        <w:lastRenderedPageBreak/>
        <w:t>felt it is a priority to have apprenticeship sign a tuition reimbursement contract. These findings exhibit a concern among employers that apprentices will leave-taking the company’s training and educ</w:t>
      </w:r>
      <w:r>
        <w:t xml:space="preserve">ational investment to another job offering a higher wage. </w:t>
      </w:r>
    </w:p>
    <w:p w:rsidR="0023438A" w:rsidRDefault="00A02C86">
      <w:pPr>
        <w:ind w:left="425" w:right="777" w:firstLine="720"/>
      </w:pPr>
      <w:r>
        <w:rPr>
          <w:b/>
        </w:rPr>
        <w:t xml:space="preserve">Assignment of stakeholder responsibilities. </w:t>
      </w:r>
      <w:r>
        <w:t>Each questionnaire asked the respondents from their perspective as educators or employers, which stakeholder would be most appropriate to handle a key co</w:t>
      </w:r>
      <w:r>
        <w:t xml:space="preserve">mponent of the apprenticeship implementation process. The literature informed this question by identifying four major stakeholders in the apprenticeship design, approval, and implementation procedures. The student/apprentices, the school, and the employer </w:t>
      </w:r>
      <w:r>
        <w:t>are the three active participants in the framework’s execution. The fourth is the governing body that sanctions the apprenticeship as an official Registered Apprenticeship, such as the Office of Apprenticeship directly or a State Approving Agency depending</w:t>
      </w:r>
      <w:r>
        <w:t xml:space="preserve"> on which state the business resides </w:t>
      </w:r>
    </w:p>
    <w:p w:rsidR="0023438A" w:rsidRDefault="00A02C86">
      <w:pPr>
        <w:spacing w:after="117"/>
        <w:ind w:left="435" w:right="777"/>
      </w:pPr>
      <w:r>
        <w:t xml:space="preserve">(Apprenticeship.gov, 2020). Table 11 displays the results of whom respondents indicated should be responsible for each of the tasks listed.  </w:t>
      </w:r>
    </w:p>
    <w:p w:rsidR="0023438A" w:rsidRDefault="00A02C86">
      <w:pPr>
        <w:spacing w:after="117"/>
        <w:ind w:left="435" w:right="777"/>
      </w:pPr>
      <w:r>
        <w:t xml:space="preserve">  </w:t>
      </w:r>
      <w:r>
        <w:tab/>
        <w:t xml:space="preserve">The respondents were asked to check all that apply, so the counts and percentages provided in Table 11 reflect multiple selections. In some instances, respondents indicated that they felt multiples groups shared responsibility for the same task.  </w:t>
      </w:r>
    </w:p>
    <w:p w:rsidR="0023438A" w:rsidRDefault="00A02C86">
      <w:pPr>
        <w:spacing w:after="0" w:line="259" w:lineRule="auto"/>
        <w:ind w:left="440" w:firstLine="0"/>
      </w:pPr>
      <w:r>
        <w:t xml:space="preserve"> </w:t>
      </w:r>
    </w:p>
    <w:p w:rsidR="0023438A" w:rsidRDefault="00A02C86">
      <w:pPr>
        <w:spacing w:after="252" w:line="259" w:lineRule="auto"/>
        <w:ind w:left="435" w:right="777"/>
      </w:pPr>
      <w:r>
        <w:t>Tab</w:t>
      </w:r>
      <w:r>
        <w:t xml:space="preserve">le 11 </w:t>
      </w:r>
    </w:p>
    <w:p w:rsidR="0023438A" w:rsidRDefault="00A02C86">
      <w:pPr>
        <w:spacing w:after="96" w:line="267" w:lineRule="auto"/>
        <w:ind w:left="435" w:right="715"/>
      </w:pPr>
      <w:r>
        <w:rPr>
          <w:i/>
        </w:rPr>
        <w:t>Descriptive Comparison of Stakeholder Responsibilities.</w:t>
      </w:r>
      <w:r>
        <w:t xml:space="preserve"> </w:t>
      </w:r>
    </w:p>
    <w:tbl>
      <w:tblPr>
        <w:tblStyle w:val="TableGrid"/>
        <w:tblW w:w="9461" w:type="dxa"/>
        <w:tblInd w:w="440" w:type="dxa"/>
        <w:tblCellMar>
          <w:top w:w="7" w:type="dxa"/>
          <w:left w:w="0" w:type="dxa"/>
          <w:bottom w:w="15" w:type="dxa"/>
          <w:right w:w="115" w:type="dxa"/>
        </w:tblCellMar>
        <w:tblLook w:val="04A0" w:firstRow="1" w:lastRow="0" w:firstColumn="1" w:lastColumn="0" w:noHBand="0" w:noVBand="1"/>
      </w:tblPr>
      <w:tblGrid>
        <w:gridCol w:w="3991"/>
        <w:gridCol w:w="1272"/>
        <w:gridCol w:w="1073"/>
        <w:gridCol w:w="977"/>
        <w:gridCol w:w="1370"/>
        <w:gridCol w:w="778"/>
      </w:tblGrid>
      <w:tr w:rsidR="0023438A">
        <w:trPr>
          <w:trHeight w:val="569"/>
        </w:trPr>
        <w:tc>
          <w:tcPr>
            <w:tcW w:w="3991" w:type="dxa"/>
            <w:tcBorders>
              <w:top w:val="single" w:sz="4" w:space="0" w:color="000000"/>
              <w:left w:val="nil"/>
              <w:bottom w:val="single" w:sz="4" w:space="0" w:color="000000"/>
              <w:right w:val="nil"/>
            </w:tcBorders>
          </w:tcPr>
          <w:p w:rsidR="0023438A" w:rsidRDefault="00A02C86">
            <w:pPr>
              <w:spacing w:after="0" w:line="259" w:lineRule="auto"/>
              <w:ind w:left="180" w:firstLine="0"/>
            </w:pPr>
            <w:r>
              <w:t xml:space="preserve">Task </w:t>
            </w:r>
          </w:p>
        </w:tc>
        <w:tc>
          <w:tcPr>
            <w:tcW w:w="1272"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Group </w:t>
            </w:r>
          </w:p>
        </w:tc>
        <w:tc>
          <w:tcPr>
            <w:tcW w:w="1073"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Student </w:t>
            </w:r>
          </w:p>
        </w:tc>
        <w:tc>
          <w:tcPr>
            <w:tcW w:w="977"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School </w:t>
            </w:r>
          </w:p>
        </w:tc>
        <w:tc>
          <w:tcPr>
            <w:tcW w:w="1370"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Employer </w:t>
            </w:r>
          </w:p>
        </w:tc>
        <w:tc>
          <w:tcPr>
            <w:tcW w:w="778" w:type="dxa"/>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Gov’t </w:t>
            </w:r>
          </w:p>
        </w:tc>
      </w:tr>
      <w:tr w:rsidR="0023438A">
        <w:trPr>
          <w:trHeight w:val="886"/>
        </w:trPr>
        <w:tc>
          <w:tcPr>
            <w:tcW w:w="3991" w:type="dxa"/>
            <w:tcBorders>
              <w:top w:val="single" w:sz="4" w:space="0" w:color="000000"/>
              <w:left w:val="nil"/>
              <w:bottom w:val="nil"/>
              <w:right w:val="nil"/>
            </w:tcBorders>
          </w:tcPr>
          <w:p w:rsidR="0023438A" w:rsidRDefault="00A02C86">
            <w:pPr>
              <w:spacing w:after="0" w:line="259" w:lineRule="auto"/>
              <w:ind w:left="180" w:firstLine="0"/>
            </w:pPr>
            <w:r>
              <w:t xml:space="preserve">Initiate the design process for the apprenticeship framework. </w:t>
            </w:r>
          </w:p>
        </w:tc>
        <w:tc>
          <w:tcPr>
            <w:tcW w:w="1272" w:type="dxa"/>
            <w:tcBorders>
              <w:top w:val="single" w:sz="4" w:space="0" w:color="000000"/>
              <w:left w:val="nil"/>
              <w:bottom w:val="nil"/>
              <w:right w:val="nil"/>
            </w:tcBorders>
          </w:tcPr>
          <w:p w:rsidR="0023438A" w:rsidRDefault="00A02C86">
            <w:pPr>
              <w:spacing w:after="0" w:line="259" w:lineRule="auto"/>
              <w:ind w:left="0" w:firstLine="0"/>
            </w:pPr>
            <w:r>
              <w:t xml:space="preserve">Employer </w:t>
            </w:r>
          </w:p>
        </w:tc>
        <w:tc>
          <w:tcPr>
            <w:tcW w:w="1073" w:type="dxa"/>
            <w:tcBorders>
              <w:top w:val="single" w:sz="4" w:space="0" w:color="000000"/>
              <w:left w:val="nil"/>
              <w:bottom w:val="nil"/>
              <w:right w:val="nil"/>
            </w:tcBorders>
          </w:tcPr>
          <w:p w:rsidR="0023438A" w:rsidRDefault="00A02C86">
            <w:pPr>
              <w:spacing w:after="0" w:line="259" w:lineRule="auto"/>
              <w:ind w:left="0" w:firstLine="0"/>
            </w:pPr>
            <w:r>
              <w:t xml:space="preserve">6% </w:t>
            </w:r>
          </w:p>
        </w:tc>
        <w:tc>
          <w:tcPr>
            <w:tcW w:w="977" w:type="dxa"/>
            <w:tcBorders>
              <w:top w:val="single" w:sz="4" w:space="0" w:color="000000"/>
              <w:left w:val="nil"/>
              <w:bottom w:val="nil"/>
              <w:right w:val="nil"/>
            </w:tcBorders>
          </w:tcPr>
          <w:p w:rsidR="0023438A" w:rsidRDefault="00A02C86">
            <w:pPr>
              <w:spacing w:after="0" w:line="259" w:lineRule="auto"/>
              <w:ind w:left="0" w:firstLine="0"/>
            </w:pPr>
            <w:r>
              <w:t xml:space="preserve">72% </w:t>
            </w:r>
          </w:p>
        </w:tc>
        <w:tc>
          <w:tcPr>
            <w:tcW w:w="1370" w:type="dxa"/>
            <w:tcBorders>
              <w:top w:val="single" w:sz="4" w:space="0" w:color="000000"/>
              <w:left w:val="nil"/>
              <w:bottom w:val="nil"/>
              <w:right w:val="nil"/>
            </w:tcBorders>
          </w:tcPr>
          <w:p w:rsidR="0023438A" w:rsidRDefault="00A02C86">
            <w:pPr>
              <w:spacing w:after="0" w:line="259" w:lineRule="auto"/>
              <w:ind w:left="0" w:firstLine="0"/>
            </w:pPr>
            <w:r>
              <w:t xml:space="preserve">48% </w:t>
            </w:r>
          </w:p>
        </w:tc>
        <w:tc>
          <w:tcPr>
            <w:tcW w:w="778" w:type="dxa"/>
            <w:tcBorders>
              <w:top w:val="single" w:sz="4" w:space="0" w:color="000000"/>
              <w:left w:val="nil"/>
              <w:bottom w:val="nil"/>
              <w:right w:val="nil"/>
            </w:tcBorders>
          </w:tcPr>
          <w:p w:rsidR="0023438A" w:rsidRDefault="00A02C86">
            <w:pPr>
              <w:spacing w:after="0" w:line="259" w:lineRule="auto"/>
              <w:ind w:left="0" w:firstLine="0"/>
            </w:pPr>
            <w:r>
              <w:t xml:space="preserve">3% </w:t>
            </w:r>
          </w:p>
        </w:tc>
      </w:tr>
      <w:tr w:rsidR="0023438A">
        <w:trPr>
          <w:trHeight w:val="482"/>
        </w:trPr>
        <w:tc>
          <w:tcPr>
            <w:tcW w:w="3991" w:type="dxa"/>
            <w:tcBorders>
              <w:top w:val="nil"/>
              <w:left w:val="nil"/>
              <w:bottom w:val="nil"/>
              <w:right w:val="nil"/>
            </w:tcBorders>
          </w:tcPr>
          <w:p w:rsidR="0023438A" w:rsidRDefault="00A02C86">
            <w:pPr>
              <w:spacing w:after="0" w:line="259" w:lineRule="auto"/>
              <w:ind w:left="180" w:firstLine="0"/>
            </w:pPr>
            <w:r>
              <w:t xml:space="preserve"> </w:t>
            </w:r>
          </w:p>
        </w:tc>
        <w:tc>
          <w:tcPr>
            <w:tcW w:w="1272" w:type="dxa"/>
            <w:tcBorders>
              <w:top w:val="nil"/>
              <w:left w:val="nil"/>
              <w:bottom w:val="nil"/>
              <w:right w:val="nil"/>
            </w:tcBorders>
          </w:tcPr>
          <w:p w:rsidR="0023438A" w:rsidRDefault="00A02C86">
            <w:pPr>
              <w:spacing w:after="0" w:line="259" w:lineRule="auto"/>
              <w:ind w:left="0" w:firstLine="0"/>
            </w:pPr>
            <w:r>
              <w:t xml:space="preserve">Educator </w:t>
            </w:r>
          </w:p>
        </w:tc>
        <w:tc>
          <w:tcPr>
            <w:tcW w:w="1073" w:type="dxa"/>
            <w:tcBorders>
              <w:top w:val="nil"/>
              <w:left w:val="nil"/>
              <w:bottom w:val="nil"/>
              <w:right w:val="nil"/>
            </w:tcBorders>
          </w:tcPr>
          <w:p w:rsidR="0023438A" w:rsidRDefault="00A02C86">
            <w:pPr>
              <w:spacing w:after="0" w:line="259" w:lineRule="auto"/>
              <w:ind w:left="0" w:firstLine="0"/>
            </w:pPr>
            <w:r>
              <w:t xml:space="preserve">3% </w:t>
            </w:r>
          </w:p>
        </w:tc>
        <w:tc>
          <w:tcPr>
            <w:tcW w:w="977" w:type="dxa"/>
            <w:tcBorders>
              <w:top w:val="nil"/>
              <w:left w:val="nil"/>
              <w:bottom w:val="nil"/>
              <w:right w:val="nil"/>
            </w:tcBorders>
          </w:tcPr>
          <w:p w:rsidR="0023438A" w:rsidRDefault="00A02C86">
            <w:pPr>
              <w:spacing w:after="0" w:line="259" w:lineRule="auto"/>
              <w:ind w:left="0" w:firstLine="0"/>
            </w:pPr>
            <w:r>
              <w:t xml:space="preserve">77% </w:t>
            </w:r>
          </w:p>
        </w:tc>
        <w:tc>
          <w:tcPr>
            <w:tcW w:w="1370" w:type="dxa"/>
            <w:tcBorders>
              <w:top w:val="nil"/>
              <w:left w:val="nil"/>
              <w:bottom w:val="nil"/>
              <w:right w:val="nil"/>
            </w:tcBorders>
          </w:tcPr>
          <w:p w:rsidR="0023438A" w:rsidRDefault="00A02C86">
            <w:pPr>
              <w:spacing w:after="0" w:line="259" w:lineRule="auto"/>
              <w:ind w:left="0" w:firstLine="0"/>
            </w:pPr>
            <w:r>
              <w:t xml:space="preserve">51% </w:t>
            </w:r>
          </w:p>
        </w:tc>
        <w:tc>
          <w:tcPr>
            <w:tcW w:w="778" w:type="dxa"/>
            <w:tcBorders>
              <w:top w:val="nil"/>
              <w:left w:val="nil"/>
              <w:bottom w:val="nil"/>
              <w:right w:val="nil"/>
            </w:tcBorders>
          </w:tcPr>
          <w:p w:rsidR="0023438A" w:rsidRDefault="00A02C86">
            <w:pPr>
              <w:spacing w:after="0" w:line="259" w:lineRule="auto"/>
              <w:ind w:left="0" w:firstLine="0"/>
            </w:pPr>
            <w:r>
              <w:t xml:space="preserve">16% </w:t>
            </w:r>
          </w:p>
        </w:tc>
      </w:tr>
      <w:tr w:rsidR="0023438A">
        <w:trPr>
          <w:trHeight w:val="832"/>
        </w:trPr>
        <w:tc>
          <w:tcPr>
            <w:tcW w:w="3991" w:type="dxa"/>
            <w:tcBorders>
              <w:top w:val="nil"/>
              <w:left w:val="nil"/>
              <w:bottom w:val="nil"/>
              <w:right w:val="nil"/>
            </w:tcBorders>
            <w:vAlign w:val="bottom"/>
          </w:tcPr>
          <w:p w:rsidR="0023438A" w:rsidRDefault="00A02C86">
            <w:pPr>
              <w:spacing w:after="0" w:line="259" w:lineRule="auto"/>
              <w:ind w:left="187" w:firstLine="0"/>
            </w:pPr>
            <w:r>
              <w:t xml:space="preserve">Register the program with </w:t>
            </w:r>
            <w:proofErr w:type="gramStart"/>
            <w:r>
              <w:t>the  Department</w:t>
            </w:r>
            <w:proofErr w:type="gramEnd"/>
            <w:r>
              <w:t xml:space="preserve"> of Labor. </w:t>
            </w:r>
          </w:p>
        </w:tc>
        <w:tc>
          <w:tcPr>
            <w:tcW w:w="1272" w:type="dxa"/>
            <w:tcBorders>
              <w:top w:val="nil"/>
              <w:left w:val="nil"/>
              <w:bottom w:val="nil"/>
              <w:right w:val="nil"/>
            </w:tcBorders>
          </w:tcPr>
          <w:p w:rsidR="0023438A" w:rsidRDefault="00A02C86">
            <w:pPr>
              <w:spacing w:after="0" w:line="259" w:lineRule="auto"/>
              <w:ind w:left="0" w:firstLine="0"/>
            </w:pPr>
            <w:r>
              <w:t xml:space="preserve">Employer </w:t>
            </w:r>
          </w:p>
        </w:tc>
        <w:tc>
          <w:tcPr>
            <w:tcW w:w="1073" w:type="dxa"/>
            <w:tcBorders>
              <w:top w:val="nil"/>
              <w:left w:val="nil"/>
              <w:bottom w:val="nil"/>
              <w:right w:val="nil"/>
            </w:tcBorders>
          </w:tcPr>
          <w:p w:rsidR="0023438A" w:rsidRDefault="00A02C86">
            <w:pPr>
              <w:spacing w:after="0" w:line="259" w:lineRule="auto"/>
              <w:ind w:left="0" w:firstLine="0"/>
            </w:pPr>
            <w:r>
              <w:t xml:space="preserve">2% </w:t>
            </w:r>
          </w:p>
        </w:tc>
        <w:tc>
          <w:tcPr>
            <w:tcW w:w="977" w:type="dxa"/>
            <w:tcBorders>
              <w:top w:val="nil"/>
              <w:left w:val="nil"/>
              <w:bottom w:val="nil"/>
              <w:right w:val="nil"/>
            </w:tcBorders>
          </w:tcPr>
          <w:p w:rsidR="0023438A" w:rsidRDefault="00A02C86">
            <w:pPr>
              <w:spacing w:after="0" w:line="259" w:lineRule="auto"/>
              <w:ind w:left="0" w:firstLine="0"/>
            </w:pPr>
            <w:r>
              <w:t xml:space="preserve">77% </w:t>
            </w:r>
          </w:p>
        </w:tc>
        <w:tc>
          <w:tcPr>
            <w:tcW w:w="1370" w:type="dxa"/>
            <w:tcBorders>
              <w:top w:val="nil"/>
              <w:left w:val="nil"/>
              <w:bottom w:val="nil"/>
              <w:right w:val="nil"/>
            </w:tcBorders>
          </w:tcPr>
          <w:p w:rsidR="0023438A" w:rsidRDefault="00A02C86">
            <w:pPr>
              <w:spacing w:after="0" w:line="259" w:lineRule="auto"/>
              <w:ind w:left="0" w:firstLine="0"/>
            </w:pPr>
            <w:r>
              <w:t xml:space="preserve">22% </w:t>
            </w:r>
          </w:p>
        </w:tc>
        <w:tc>
          <w:tcPr>
            <w:tcW w:w="778" w:type="dxa"/>
            <w:tcBorders>
              <w:top w:val="nil"/>
              <w:left w:val="nil"/>
              <w:bottom w:val="nil"/>
              <w:right w:val="nil"/>
            </w:tcBorders>
          </w:tcPr>
          <w:p w:rsidR="0023438A" w:rsidRDefault="00A02C86">
            <w:pPr>
              <w:spacing w:after="0" w:line="259" w:lineRule="auto"/>
              <w:ind w:left="0" w:firstLine="0"/>
            </w:pPr>
            <w:r>
              <w:t xml:space="preserve">14% </w:t>
            </w:r>
          </w:p>
        </w:tc>
      </w:tr>
      <w:tr w:rsidR="0023438A">
        <w:trPr>
          <w:trHeight w:val="415"/>
        </w:trPr>
        <w:tc>
          <w:tcPr>
            <w:tcW w:w="3991" w:type="dxa"/>
            <w:tcBorders>
              <w:top w:val="nil"/>
              <w:left w:val="nil"/>
              <w:bottom w:val="nil"/>
              <w:right w:val="nil"/>
            </w:tcBorders>
          </w:tcPr>
          <w:p w:rsidR="0023438A" w:rsidRDefault="00A02C86">
            <w:pPr>
              <w:spacing w:after="0" w:line="259" w:lineRule="auto"/>
              <w:ind w:left="180" w:firstLine="0"/>
            </w:pPr>
            <w:r>
              <w:t xml:space="preserve"> </w:t>
            </w:r>
          </w:p>
        </w:tc>
        <w:tc>
          <w:tcPr>
            <w:tcW w:w="1272" w:type="dxa"/>
            <w:tcBorders>
              <w:top w:val="nil"/>
              <w:left w:val="nil"/>
              <w:bottom w:val="nil"/>
              <w:right w:val="nil"/>
            </w:tcBorders>
          </w:tcPr>
          <w:p w:rsidR="0023438A" w:rsidRDefault="00A02C86">
            <w:pPr>
              <w:spacing w:after="0" w:line="259" w:lineRule="auto"/>
              <w:ind w:left="0" w:firstLine="0"/>
            </w:pPr>
            <w:r>
              <w:t xml:space="preserve">Educator </w:t>
            </w:r>
          </w:p>
        </w:tc>
        <w:tc>
          <w:tcPr>
            <w:tcW w:w="1073" w:type="dxa"/>
            <w:tcBorders>
              <w:top w:val="nil"/>
              <w:left w:val="nil"/>
              <w:bottom w:val="nil"/>
              <w:right w:val="nil"/>
            </w:tcBorders>
          </w:tcPr>
          <w:p w:rsidR="0023438A" w:rsidRDefault="00A02C86">
            <w:pPr>
              <w:spacing w:after="0" w:line="259" w:lineRule="auto"/>
              <w:ind w:left="0" w:firstLine="0"/>
            </w:pPr>
            <w:r>
              <w:t xml:space="preserve">1% </w:t>
            </w:r>
          </w:p>
        </w:tc>
        <w:tc>
          <w:tcPr>
            <w:tcW w:w="977" w:type="dxa"/>
            <w:tcBorders>
              <w:top w:val="nil"/>
              <w:left w:val="nil"/>
              <w:bottom w:val="nil"/>
              <w:right w:val="nil"/>
            </w:tcBorders>
          </w:tcPr>
          <w:p w:rsidR="0023438A" w:rsidRDefault="00A02C86">
            <w:pPr>
              <w:spacing w:after="0" w:line="259" w:lineRule="auto"/>
              <w:ind w:left="0" w:firstLine="0"/>
            </w:pPr>
            <w:r>
              <w:t xml:space="preserve">81% </w:t>
            </w:r>
          </w:p>
        </w:tc>
        <w:tc>
          <w:tcPr>
            <w:tcW w:w="1370" w:type="dxa"/>
            <w:tcBorders>
              <w:top w:val="nil"/>
              <w:left w:val="nil"/>
              <w:bottom w:val="nil"/>
              <w:right w:val="nil"/>
            </w:tcBorders>
          </w:tcPr>
          <w:p w:rsidR="0023438A" w:rsidRDefault="00A02C86">
            <w:pPr>
              <w:spacing w:after="0" w:line="259" w:lineRule="auto"/>
              <w:ind w:left="0" w:firstLine="0"/>
            </w:pPr>
            <w:r>
              <w:t xml:space="preserve">34% </w:t>
            </w:r>
          </w:p>
        </w:tc>
        <w:tc>
          <w:tcPr>
            <w:tcW w:w="778" w:type="dxa"/>
            <w:tcBorders>
              <w:top w:val="nil"/>
              <w:left w:val="nil"/>
              <w:bottom w:val="nil"/>
              <w:right w:val="nil"/>
            </w:tcBorders>
          </w:tcPr>
          <w:p w:rsidR="0023438A" w:rsidRDefault="00A02C86">
            <w:pPr>
              <w:spacing w:after="0" w:line="259" w:lineRule="auto"/>
              <w:ind w:left="0" w:firstLine="0"/>
            </w:pPr>
            <w:r>
              <w:t xml:space="preserve">23% </w:t>
            </w:r>
          </w:p>
        </w:tc>
      </w:tr>
      <w:tr w:rsidR="0023438A">
        <w:trPr>
          <w:trHeight w:val="515"/>
        </w:trPr>
        <w:tc>
          <w:tcPr>
            <w:tcW w:w="3991" w:type="dxa"/>
            <w:tcBorders>
              <w:top w:val="nil"/>
              <w:left w:val="nil"/>
              <w:bottom w:val="nil"/>
              <w:right w:val="nil"/>
            </w:tcBorders>
            <w:vAlign w:val="center"/>
          </w:tcPr>
          <w:p w:rsidR="0023438A" w:rsidRDefault="00A02C86">
            <w:pPr>
              <w:spacing w:after="0" w:line="259" w:lineRule="auto"/>
              <w:ind w:left="180" w:firstLine="0"/>
            </w:pPr>
            <w:r>
              <w:t xml:space="preserve">Pay for the required schooling. </w:t>
            </w:r>
          </w:p>
        </w:tc>
        <w:tc>
          <w:tcPr>
            <w:tcW w:w="1272" w:type="dxa"/>
            <w:tcBorders>
              <w:top w:val="nil"/>
              <w:left w:val="nil"/>
              <w:bottom w:val="nil"/>
              <w:right w:val="nil"/>
            </w:tcBorders>
            <w:vAlign w:val="center"/>
          </w:tcPr>
          <w:p w:rsidR="0023438A" w:rsidRDefault="00A02C86">
            <w:pPr>
              <w:spacing w:after="0" w:line="259" w:lineRule="auto"/>
              <w:ind w:left="0" w:firstLine="0"/>
            </w:pPr>
            <w:r>
              <w:t xml:space="preserve">Employer </w:t>
            </w:r>
          </w:p>
        </w:tc>
        <w:tc>
          <w:tcPr>
            <w:tcW w:w="1073" w:type="dxa"/>
            <w:tcBorders>
              <w:top w:val="nil"/>
              <w:left w:val="nil"/>
              <w:bottom w:val="nil"/>
              <w:right w:val="nil"/>
            </w:tcBorders>
            <w:vAlign w:val="center"/>
          </w:tcPr>
          <w:p w:rsidR="0023438A" w:rsidRDefault="00A02C86">
            <w:pPr>
              <w:spacing w:after="0" w:line="259" w:lineRule="auto"/>
              <w:ind w:left="0" w:firstLine="0"/>
            </w:pPr>
            <w:r>
              <w:t xml:space="preserve">68% </w:t>
            </w:r>
          </w:p>
        </w:tc>
        <w:tc>
          <w:tcPr>
            <w:tcW w:w="977" w:type="dxa"/>
            <w:tcBorders>
              <w:top w:val="nil"/>
              <w:left w:val="nil"/>
              <w:bottom w:val="nil"/>
              <w:right w:val="nil"/>
            </w:tcBorders>
            <w:vAlign w:val="center"/>
          </w:tcPr>
          <w:p w:rsidR="0023438A" w:rsidRDefault="00A02C86">
            <w:pPr>
              <w:spacing w:after="0" w:line="259" w:lineRule="auto"/>
              <w:ind w:left="0" w:firstLine="0"/>
            </w:pPr>
            <w:r>
              <w:t xml:space="preserve">16% </w:t>
            </w:r>
          </w:p>
        </w:tc>
        <w:tc>
          <w:tcPr>
            <w:tcW w:w="1370" w:type="dxa"/>
            <w:tcBorders>
              <w:top w:val="nil"/>
              <w:left w:val="nil"/>
              <w:bottom w:val="nil"/>
              <w:right w:val="nil"/>
            </w:tcBorders>
            <w:vAlign w:val="center"/>
          </w:tcPr>
          <w:p w:rsidR="0023438A" w:rsidRDefault="00A02C86">
            <w:pPr>
              <w:spacing w:after="0" w:line="259" w:lineRule="auto"/>
              <w:ind w:left="0" w:firstLine="0"/>
            </w:pPr>
            <w:r>
              <w:t xml:space="preserve">31% </w:t>
            </w:r>
          </w:p>
        </w:tc>
        <w:tc>
          <w:tcPr>
            <w:tcW w:w="778" w:type="dxa"/>
            <w:tcBorders>
              <w:top w:val="nil"/>
              <w:left w:val="nil"/>
              <w:bottom w:val="nil"/>
              <w:right w:val="nil"/>
            </w:tcBorders>
            <w:vAlign w:val="center"/>
          </w:tcPr>
          <w:p w:rsidR="0023438A" w:rsidRDefault="00A02C86">
            <w:pPr>
              <w:spacing w:after="0" w:line="259" w:lineRule="auto"/>
              <w:ind w:left="0" w:firstLine="0"/>
            </w:pPr>
            <w:r>
              <w:t xml:space="preserve">26% </w:t>
            </w:r>
          </w:p>
        </w:tc>
      </w:tr>
      <w:tr w:rsidR="0023438A">
        <w:trPr>
          <w:trHeight w:val="431"/>
        </w:trPr>
        <w:tc>
          <w:tcPr>
            <w:tcW w:w="3991" w:type="dxa"/>
            <w:tcBorders>
              <w:top w:val="nil"/>
              <w:left w:val="nil"/>
              <w:bottom w:val="nil"/>
              <w:right w:val="nil"/>
            </w:tcBorders>
          </w:tcPr>
          <w:p w:rsidR="0023438A" w:rsidRDefault="00A02C86">
            <w:pPr>
              <w:spacing w:after="0" w:line="259" w:lineRule="auto"/>
              <w:ind w:left="180" w:firstLine="0"/>
            </w:pPr>
            <w:r>
              <w:lastRenderedPageBreak/>
              <w:t xml:space="preserve"> </w:t>
            </w:r>
          </w:p>
        </w:tc>
        <w:tc>
          <w:tcPr>
            <w:tcW w:w="1272" w:type="dxa"/>
            <w:tcBorders>
              <w:top w:val="nil"/>
              <w:left w:val="nil"/>
              <w:bottom w:val="nil"/>
              <w:right w:val="nil"/>
            </w:tcBorders>
          </w:tcPr>
          <w:p w:rsidR="0023438A" w:rsidRDefault="00A02C86">
            <w:pPr>
              <w:spacing w:after="0" w:line="259" w:lineRule="auto"/>
              <w:ind w:left="0" w:firstLine="0"/>
            </w:pPr>
            <w:r>
              <w:t xml:space="preserve">Educator </w:t>
            </w:r>
          </w:p>
        </w:tc>
        <w:tc>
          <w:tcPr>
            <w:tcW w:w="1073" w:type="dxa"/>
            <w:tcBorders>
              <w:top w:val="nil"/>
              <w:left w:val="nil"/>
              <w:bottom w:val="nil"/>
              <w:right w:val="nil"/>
            </w:tcBorders>
          </w:tcPr>
          <w:p w:rsidR="0023438A" w:rsidRDefault="00A02C86">
            <w:pPr>
              <w:spacing w:after="0" w:line="259" w:lineRule="auto"/>
              <w:ind w:left="0" w:firstLine="0"/>
            </w:pPr>
            <w:r>
              <w:t xml:space="preserve">49% </w:t>
            </w:r>
          </w:p>
        </w:tc>
        <w:tc>
          <w:tcPr>
            <w:tcW w:w="977" w:type="dxa"/>
            <w:tcBorders>
              <w:top w:val="nil"/>
              <w:left w:val="nil"/>
              <w:bottom w:val="nil"/>
              <w:right w:val="nil"/>
            </w:tcBorders>
          </w:tcPr>
          <w:p w:rsidR="0023438A" w:rsidRDefault="00A02C86">
            <w:pPr>
              <w:spacing w:after="0" w:line="259" w:lineRule="auto"/>
              <w:ind w:left="0" w:firstLine="0"/>
            </w:pPr>
            <w:r>
              <w:t xml:space="preserve">3% </w:t>
            </w:r>
          </w:p>
        </w:tc>
        <w:tc>
          <w:tcPr>
            <w:tcW w:w="1370" w:type="dxa"/>
            <w:tcBorders>
              <w:top w:val="nil"/>
              <w:left w:val="nil"/>
              <w:bottom w:val="nil"/>
              <w:right w:val="nil"/>
            </w:tcBorders>
          </w:tcPr>
          <w:p w:rsidR="0023438A" w:rsidRDefault="00A02C86">
            <w:pPr>
              <w:spacing w:after="0" w:line="259" w:lineRule="auto"/>
              <w:ind w:left="0" w:firstLine="0"/>
            </w:pPr>
            <w:r>
              <w:t xml:space="preserve">66% </w:t>
            </w:r>
          </w:p>
        </w:tc>
        <w:tc>
          <w:tcPr>
            <w:tcW w:w="778" w:type="dxa"/>
            <w:tcBorders>
              <w:top w:val="nil"/>
              <w:left w:val="nil"/>
              <w:bottom w:val="nil"/>
              <w:right w:val="nil"/>
            </w:tcBorders>
          </w:tcPr>
          <w:p w:rsidR="0023438A" w:rsidRDefault="00A02C86">
            <w:pPr>
              <w:spacing w:after="0" w:line="259" w:lineRule="auto"/>
              <w:ind w:left="0" w:firstLine="0"/>
            </w:pPr>
            <w:r>
              <w:t xml:space="preserve">31% </w:t>
            </w:r>
          </w:p>
        </w:tc>
      </w:tr>
      <w:tr w:rsidR="0023438A">
        <w:trPr>
          <w:trHeight w:val="460"/>
        </w:trPr>
        <w:tc>
          <w:tcPr>
            <w:tcW w:w="3991" w:type="dxa"/>
            <w:tcBorders>
              <w:top w:val="nil"/>
              <w:left w:val="nil"/>
              <w:bottom w:val="nil"/>
              <w:right w:val="nil"/>
            </w:tcBorders>
          </w:tcPr>
          <w:p w:rsidR="0023438A" w:rsidRDefault="00A02C86">
            <w:pPr>
              <w:spacing w:after="0" w:line="259" w:lineRule="auto"/>
              <w:ind w:left="180" w:firstLine="0"/>
            </w:pPr>
            <w:r>
              <w:t xml:space="preserve">Recruit and qualify the student </w:t>
            </w:r>
          </w:p>
        </w:tc>
        <w:tc>
          <w:tcPr>
            <w:tcW w:w="1272" w:type="dxa"/>
            <w:tcBorders>
              <w:top w:val="nil"/>
              <w:left w:val="nil"/>
              <w:bottom w:val="nil"/>
              <w:right w:val="nil"/>
            </w:tcBorders>
          </w:tcPr>
          <w:p w:rsidR="0023438A" w:rsidRDefault="00A02C86">
            <w:pPr>
              <w:spacing w:after="0" w:line="259" w:lineRule="auto"/>
              <w:ind w:left="0" w:firstLine="0"/>
            </w:pPr>
            <w:r>
              <w:t xml:space="preserve">Employer </w:t>
            </w:r>
          </w:p>
        </w:tc>
        <w:tc>
          <w:tcPr>
            <w:tcW w:w="1073" w:type="dxa"/>
            <w:tcBorders>
              <w:top w:val="nil"/>
              <w:left w:val="nil"/>
              <w:bottom w:val="nil"/>
              <w:right w:val="nil"/>
            </w:tcBorders>
          </w:tcPr>
          <w:p w:rsidR="0023438A" w:rsidRDefault="00A02C86">
            <w:pPr>
              <w:spacing w:after="0" w:line="259" w:lineRule="auto"/>
              <w:ind w:left="1" w:firstLine="0"/>
            </w:pPr>
            <w:r>
              <w:t xml:space="preserve">6% </w:t>
            </w:r>
          </w:p>
        </w:tc>
        <w:tc>
          <w:tcPr>
            <w:tcW w:w="977" w:type="dxa"/>
            <w:tcBorders>
              <w:top w:val="nil"/>
              <w:left w:val="nil"/>
              <w:bottom w:val="nil"/>
              <w:right w:val="nil"/>
            </w:tcBorders>
          </w:tcPr>
          <w:p w:rsidR="0023438A" w:rsidRDefault="00A02C86">
            <w:pPr>
              <w:spacing w:after="0" w:line="259" w:lineRule="auto"/>
              <w:ind w:left="1" w:firstLine="0"/>
            </w:pPr>
            <w:r>
              <w:t xml:space="preserve">67% </w:t>
            </w:r>
          </w:p>
        </w:tc>
        <w:tc>
          <w:tcPr>
            <w:tcW w:w="1370" w:type="dxa"/>
            <w:tcBorders>
              <w:top w:val="nil"/>
              <w:left w:val="nil"/>
              <w:bottom w:val="nil"/>
              <w:right w:val="nil"/>
            </w:tcBorders>
          </w:tcPr>
          <w:p w:rsidR="0023438A" w:rsidRDefault="00A02C86">
            <w:pPr>
              <w:spacing w:after="0" w:line="259" w:lineRule="auto"/>
              <w:ind w:left="1" w:firstLine="0"/>
            </w:pPr>
            <w:r>
              <w:t xml:space="preserve">63% </w:t>
            </w:r>
          </w:p>
        </w:tc>
        <w:tc>
          <w:tcPr>
            <w:tcW w:w="778" w:type="dxa"/>
            <w:tcBorders>
              <w:top w:val="nil"/>
              <w:left w:val="nil"/>
              <w:bottom w:val="nil"/>
              <w:right w:val="nil"/>
            </w:tcBorders>
          </w:tcPr>
          <w:p w:rsidR="0023438A" w:rsidRDefault="00A02C86">
            <w:pPr>
              <w:spacing w:after="0" w:line="259" w:lineRule="auto"/>
              <w:ind w:left="0" w:firstLine="0"/>
            </w:pPr>
            <w:r>
              <w:t xml:space="preserve">6% </w:t>
            </w:r>
          </w:p>
        </w:tc>
      </w:tr>
      <w:tr w:rsidR="0023438A">
        <w:trPr>
          <w:trHeight w:val="566"/>
        </w:trPr>
        <w:tc>
          <w:tcPr>
            <w:tcW w:w="3991" w:type="dxa"/>
            <w:tcBorders>
              <w:top w:val="nil"/>
              <w:left w:val="nil"/>
              <w:bottom w:val="nil"/>
              <w:right w:val="nil"/>
            </w:tcBorders>
            <w:vAlign w:val="center"/>
          </w:tcPr>
          <w:p w:rsidR="0023438A" w:rsidRDefault="00A02C86">
            <w:pPr>
              <w:spacing w:after="0" w:line="259" w:lineRule="auto"/>
              <w:ind w:left="180" w:firstLine="0"/>
            </w:pPr>
            <w:r>
              <w:t xml:space="preserve"> </w:t>
            </w:r>
          </w:p>
        </w:tc>
        <w:tc>
          <w:tcPr>
            <w:tcW w:w="1272" w:type="dxa"/>
            <w:tcBorders>
              <w:top w:val="nil"/>
              <w:left w:val="nil"/>
              <w:bottom w:val="nil"/>
              <w:right w:val="nil"/>
            </w:tcBorders>
            <w:vAlign w:val="center"/>
          </w:tcPr>
          <w:p w:rsidR="0023438A" w:rsidRDefault="00A02C86">
            <w:pPr>
              <w:spacing w:after="0" w:line="259" w:lineRule="auto"/>
              <w:ind w:left="0" w:firstLine="0"/>
            </w:pPr>
            <w:r>
              <w:t xml:space="preserve">Educator </w:t>
            </w:r>
          </w:p>
        </w:tc>
        <w:tc>
          <w:tcPr>
            <w:tcW w:w="1073" w:type="dxa"/>
            <w:tcBorders>
              <w:top w:val="nil"/>
              <w:left w:val="nil"/>
              <w:bottom w:val="nil"/>
              <w:right w:val="nil"/>
            </w:tcBorders>
            <w:vAlign w:val="center"/>
          </w:tcPr>
          <w:p w:rsidR="0023438A" w:rsidRDefault="00A02C86">
            <w:pPr>
              <w:spacing w:after="0" w:line="259" w:lineRule="auto"/>
              <w:ind w:left="0" w:firstLine="0"/>
            </w:pPr>
            <w:r>
              <w:t xml:space="preserve">2% </w:t>
            </w:r>
          </w:p>
        </w:tc>
        <w:tc>
          <w:tcPr>
            <w:tcW w:w="977" w:type="dxa"/>
            <w:tcBorders>
              <w:top w:val="nil"/>
              <w:left w:val="nil"/>
              <w:bottom w:val="nil"/>
              <w:right w:val="nil"/>
            </w:tcBorders>
            <w:vAlign w:val="center"/>
          </w:tcPr>
          <w:p w:rsidR="0023438A" w:rsidRDefault="00A02C86">
            <w:pPr>
              <w:spacing w:after="0" w:line="259" w:lineRule="auto"/>
              <w:ind w:left="0" w:firstLine="0"/>
            </w:pPr>
            <w:r>
              <w:t xml:space="preserve">84% </w:t>
            </w:r>
          </w:p>
        </w:tc>
        <w:tc>
          <w:tcPr>
            <w:tcW w:w="1370" w:type="dxa"/>
            <w:tcBorders>
              <w:top w:val="nil"/>
              <w:left w:val="nil"/>
              <w:bottom w:val="nil"/>
              <w:right w:val="nil"/>
            </w:tcBorders>
            <w:vAlign w:val="center"/>
          </w:tcPr>
          <w:p w:rsidR="0023438A" w:rsidRDefault="00A02C86">
            <w:pPr>
              <w:spacing w:after="0" w:line="259" w:lineRule="auto"/>
              <w:ind w:left="0" w:firstLine="0"/>
            </w:pPr>
            <w:r>
              <w:t xml:space="preserve">54% </w:t>
            </w:r>
          </w:p>
        </w:tc>
        <w:tc>
          <w:tcPr>
            <w:tcW w:w="778" w:type="dxa"/>
            <w:tcBorders>
              <w:top w:val="nil"/>
              <w:left w:val="nil"/>
              <w:bottom w:val="nil"/>
              <w:right w:val="nil"/>
            </w:tcBorders>
            <w:vAlign w:val="center"/>
          </w:tcPr>
          <w:p w:rsidR="0023438A" w:rsidRDefault="00A02C86">
            <w:pPr>
              <w:spacing w:after="0" w:line="259" w:lineRule="auto"/>
              <w:ind w:left="0" w:firstLine="0"/>
            </w:pPr>
            <w:r>
              <w:t xml:space="preserve">13% </w:t>
            </w:r>
          </w:p>
        </w:tc>
      </w:tr>
      <w:tr w:rsidR="0023438A">
        <w:trPr>
          <w:trHeight w:val="542"/>
        </w:trPr>
        <w:tc>
          <w:tcPr>
            <w:tcW w:w="3991" w:type="dxa"/>
            <w:tcBorders>
              <w:top w:val="nil"/>
              <w:left w:val="nil"/>
              <w:bottom w:val="nil"/>
              <w:right w:val="nil"/>
            </w:tcBorders>
            <w:vAlign w:val="center"/>
          </w:tcPr>
          <w:p w:rsidR="0023438A" w:rsidRDefault="00A02C86">
            <w:pPr>
              <w:spacing w:after="0" w:line="259" w:lineRule="auto"/>
              <w:ind w:left="180" w:firstLine="0"/>
            </w:pPr>
            <w:r>
              <w:t xml:space="preserve">Coordinate the on-the-job training. </w:t>
            </w:r>
          </w:p>
        </w:tc>
        <w:tc>
          <w:tcPr>
            <w:tcW w:w="1272" w:type="dxa"/>
            <w:tcBorders>
              <w:top w:val="nil"/>
              <w:left w:val="nil"/>
              <w:bottom w:val="nil"/>
              <w:right w:val="nil"/>
            </w:tcBorders>
            <w:vAlign w:val="center"/>
          </w:tcPr>
          <w:p w:rsidR="0023438A" w:rsidRDefault="00A02C86">
            <w:pPr>
              <w:spacing w:after="0" w:line="259" w:lineRule="auto"/>
              <w:ind w:left="1" w:firstLine="0"/>
            </w:pPr>
            <w:r>
              <w:t xml:space="preserve">Employer </w:t>
            </w:r>
          </w:p>
        </w:tc>
        <w:tc>
          <w:tcPr>
            <w:tcW w:w="1073" w:type="dxa"/>
            <w:tcBorders>
              <w:top w:val="nil"/>
              <w:left w:val="nil"/>
              <w:bottom w:val="nil"/>
              <w:right w:val="nil"/>
            </w:tcBorders>
            <w:vAlign w:val="center"/>
          </w:tcPr>
          <w:p w:rsidR="0023438A" w:rsidRDefault="00A02C86">
            <w:pPr>
              <w:spacing w:after="0" w:line="259" w:lineRule="auto"/>
              <w:ind w:left="1" w:firstLine="0"/>
            </w:pPr>
            <w:r>
              <w:t xml:space="preserve">7% </w:t>
            </w:r>
          </w:p>
        </w:tc>
        <w:tc>
          <w:tcPr>
            <w:tcW w:w="977" w:type="dxa"/>
            <w:tcBorders>
              <w:top w:val="nil"/>
              <w:left w:val="nil"/>
              <w:bottom w:val="nil"/>
              <w:right w:val="nil"/>
            </w:tcBorders>
            <w:vAlign w:val="center"/>
          </w:tcPr>
          <w:p w:rsidR="0023438A" w:rsidRDefault="00A02C86">
            <w:pPr>
              <w:spacing w:after="0" w:line="259" w:lineRule="auto"/>
              <w:ind w:left="1" w:firstLine="0"/>
            </w:pPr>
            <w:r>
              <w:t xml:space="preserve">53% </w:t>
            </w:r>
          </w:p>
        </w:tc>
        <w:tc>
          <w:tcPr>
            <w:tcW w:w="1370" w:type="dxa"/>
            <w:tcBorders>
              <w:top w:val="nil"/>
              <w:left w:val="nil"/>
              <w:bottom w:val="nil"/>
              <w:right w:val="nil"/>
            </w:tcBorders>
            <w:vAlign w:val="center"/>
          </w:tcPr>
          <w:p w:rsidR="0023438A" w:rsidRDefault="00A02C86">
            <w:pPr>
              <w:spacing w:after="0" w:line="259" w:lineRule="auto"/>
              <w:ind w:left="0" w:firstLine="0"/>
            </w:pPr>
            <w:r>
              <w:t xml:space="preserve">79% </w:t>
            </w:r>
          </w:p>
        </w:tc>
        <w:tc>
          <w:tcPr>
            <w:tcW w:w="778" w:type="dxa"/>
            <w:tcBorders>
              <w:top w:val="nil"/>
              <w:left w:val="nil"/>
              <w:bottom w:val="nil"/>
              <w:right w:val="nil"/>
            </w:tcBorders>
            <w:vAlign w:val="center"/>
          </w:tcPr>
          <w:p w:rsidR="0023438A" w:rsidRDefault="00A02C86">
            <w:pPr>
              <w:spacing w:after="0" w:line="259" w:lineRule="auto"/>
              <w:ind w:left="0" w:firstLine="0"/>
            </w:pPr>
            <w:r>
              <w:t xml:space="preserve">2% </w:t>
            </w:r>
          </w:p>
        </w:tc>
      </w:tr>
      <w:tr w:rsidR="0023438A">
        <w:trPr>
          <w:trHeight w:val="436"/>
        </w:trPr>
        <w:tc>
          <w:tcPr>
            <w:tcW w:w="3991" w:type="dxa"/>
            <w:tcBorders>
              <w:top w:val="nil"/>
              <w:left w:val="nil"/>
              <w:bottom w:val="nil"/>
              <w:right w:val="nil"/>
            </w:tcBorders>
          </w:tcPr>
          <w:p w:rsidR="0023438A" w:rsidRDefault="00A02C86">
            <w:pPr>
              <w:spacing w:after="0" w:line="259" w:lineRule="auto"/>
              <w:ind w:left="180" w:firstLine="0"/>
            </w:pPr>
            <w:r>
              <w:t xml:space="preserve"> </w:t>
            </w:r>
          </w:p>
        </w:tc>
        <w:tc>
          <w:tcPr>
            <w:tcW w:w="1272" w:type="dxa"/>
            <w:tcBorders>
              <w:top w:val="nil"/>
              <w:left w:val="nil"/>
              <w:bottom w:val="nil"/>
              <w:right w:val="nil"/>
            </w:tcBorders>
          </w:tcPr>
          <w:p w:rsidR="0023438A" w:rsidRDefault="00A02C86">
            <w:pPr>
              <w:spacing w:after="0" w:line="259" w:lineRule="auto"/>
              <w:ind w:left="0" w:firstLine="0"/>
            </w:pPr>
            <w:r>
              <w:t xml:space="preserve">Educator </w:t>
            </w:r>
          </w:p>
        </w:tc>
        <w:tc>
          <w:tcPr>
            <w:tcW w:w="1073" w:type="dxa"/>
            <w:tcBorders>
              <w:top w:val="nil"/>
              <w:left w:val="nil"/>
              <w:bottom w:val="nil"/>
              <w:right w:val="nil"/>
            </w:tcBorders>
          </w:tcPr>
          <w:p w:rsidR="0023438A" w:rsidRDefault="00A02C86">
            <w:pPr>
              <w:spacing w:after="0" w:line="259" w:lineRule="auto"/>
              <w:ind w:left="0" w:firstLine="0"/>
            </w:pPr>
            <w:r>
              <w:t xml:space="preserve">12% </w:t>
            </w:r>
          </w:p>
        </w:tc>
        <w:tc>
          <w:tcPr>
            <w:tcW w:w="977" w:type="dxa"/>
            <w:tcBorders>
              <w:top w:val="nil"/>
              <w:left w:val="nil"/>
              <w:bottom w:val="nil"/>
              <w:right w:val="nil"/>
            </w:tcBorders>
          </w:tcPr>
          <w:p w:rsidR="0023438A" w:rsidRDefault="00A02C86">
            <w:pPr>
              <w:spacing w:after="0" w:line="259" w:lineRule="auto"/>
              <w:ind w:left="0" w:firstLine="0"/>
            </w:pPr>
            <w:r>
              <w:t xml:space="preserve">68% </w:t>
            </w:r>
          </w:p>
        </w:tc>
        <w:tc>
          <w:tcPr>
            <w:tcW w:w="1370" w:type="dxa"/>
            <w:tcBorders>
              <w:top w:val="nil"/>
              <w:left w:val="nil"/>
              <w:bottom w:val="nil"/>
              <w:right w:val="nil"/>
            </w:tcBorders>
          </w:tcPr>
          <w:p w:rsidR="0023438A" w:rsidRDefault="00A02C86">
            <w:pPr>
              <w:spacing w:after="0" w:line="259" w:lineRule="auto"/>
              <w:ind w:left="0" w:firstLine="0"/>
            </w:pPr>
            <w:r>
              <w:t xml:space="preserve">73% </w:t>
            </w:r>
          </w:p>
        </w:tc>
        <w:tc>
          <w:tcPr>
            <w:tcW w:w="778" w:type="dxa"/>
            <w:tcBorders>
              <w:top w:val="nil"/>
              <w:left w:val="nil"/>
              <w:bottom w:val="nil"/>
              <w:right w:val="nil"/>
            </w:tcBorders>
          </w:tcPr>
          <w:p w:rsidR="0023438A" w:rsidRDefault="00A02C86">
            <w:pPr>
              <w:spacing w:after="0" w:line="259" w:lineRule="auto"/>
              <w:ind w:left="0" w:firstLine="0"/>
            </w:pPr>
            <w:r>
              <w:t xml:space="preserve">6% </w:t>
            </w:r>
          </w:p>
        </w:tc>
      </w:tr>
      <w:tr w:rsidR="0023438A">
        <w:trPr>
          <w:trHeight w:val="367"/>
        </w:trPr>
        <w:tc>
          <w:tcPr>
            <w:tcW w:w="3991" w:type="dxa"/>
            <w:tcBorders>
              <w:top w:val="nil"/>
              <w:left w:val="nil"/>
              <w:bottom w:val="nil"/>
              <w:right w:val="nil"/>
            </w:tcBorders>
          </w:tcPr>
          <w:p w:rsidR="0023438A" w:rsidRDefault="00A02C86">
            <w:pPr>
              <w:spacing w:after="0" w:line="259" w:lineRule="auto"/>
              <w:ind w:left="180" w:firstLine="0"/>
            </w:pPr>
            <w:r>
              <w:t xml:space="preserve">Schedule work and school hours. </w:t>
            </w:r>
          </w:p>
        </w:tc>
        <w:tc>
          <w:tcPr>
            <w:tcW w:w="1272" w:type="dxa"/>
            <w:tcBorders>
              <w:top w:val="nil"/>
              <w:left w:val="nil"/>
              <w:bottom w:val="nil"/>
              <w:right w:val="nil"/>
            </w:tcBorders>
          </w:tcPr>
          <w:p w:rsidR="0023438A" w:rsidRDefault="00A02C86">
            <w:pPr>
              <w:spacing w:after="0" w:line="259" w:lineRule="auto"/>
              <w:ind w:left="0" w:firstLine="0"/>
            </w:pPr>
            <w:r>
              <w:t xml:space="preserve">Employer </w:t>
            </w:r>
          </w:p>
        </w:tc>
        <w:tc>
          <w:tcPr>
            <w:tcW w:w="1073" w:type="dxa"/>
            <w:tcBorders>
              <w:top w:val="nil"/>
              <w:left w:val="nil"/>
              <w:bottom w:val="nil"/>
              <w:right w:val="nil"/>
            </w:tcBorders>
          </w:tcPr>
          <w:p w:rsidR="0023438A" w:rsidRDefault="00A02C86">
            <w:pPr>
              <w:spacing w:after="0" w:line="259" w:lineRule="auto"/>
              <w:ind w:left="0" w:firstLine="0"/>
            </w:pPr>
            <w:r>
              <w:t xml:space="preserve">41% </w:t>
            </w:r>
          </w:p>
        </w:tc>
        <w:tc>
          <w:tcPr>
            <w:tcW w:w="977" w:type="dxa"/>
            <w:tcBorders>
              <w:top w:val="nil"/>
              <w:left w:val="nil"/>
              <w:bottom w:val="nil"/>
              <w:right w:val="nil"/>
            </w:tcBorders>
          </w:tcPr>
          <w:p w:rsidR="0023438A" w:rsidRDefault="00A02C86">
            <w:pPr>
              <w:spacing w:after="0" w:line="259" w:lineRule="auto"/>
              <w:ind w:left="0" w:firstLine="0"/>
            </w:pPr>
            <w:r>
              <w:t xml:space="preserve">50% </w:t>
            </w:r>
          </w:p>
        </w:tc>
        <w:tc>
          <w:tcPr>
            <w:tcW w:w="1370" w:type="dxa"/>
            <w:tcBorders>
              <w:top w:val="nil"/>
              <w:left w:val="nil"/>
              <w:bottom w:val="nil"/>
              <w:right w:val="nil"/>
            </w:tcBorders>
          </w:tcPr>
          <w:p w:rsidR="0023438A" w:rsidRDefault="00A02C86">
            <w:pPr>
              <w:spacing w:after="0" w:line="259" w:lineRule="auto"/>
              <w:ind w:left="0" w:firstLine="0"/>
            </w:pPr>
            <w:r>
              <w:t xml:space="preserve">67% </w:t>
            </w:r>
          </w:p>
        </w:tc>
        <w:tc>
          <w:tcPr>
            <w:tcW w:w="778" w:type="dxa"/>
            <w:tcBorders>
              <w:top w:val="nil"/>
              <w:left w:val="nil"/>
              <w:bottom w:val="nil"/>
              <w:right w:val="nil"/>
            </w:tcBorders>
          </w:tcPr>
          <w:p w:rsidR="0023438A" w:rsidRDefault="00A02C86">
            <w:pPr>
              <w:spacing w:after="0" w:line="259" w:lineRule="auto"/>
              <w:ind w:left="0" w:firstLine="0"/>
            </w:pPr>
            <w:r>
              <w:t xml:space="preserve">1% </w:t>
            </w:r>
          </w:p>
        </w:tc>
      </w:tr>
      <w:tr w:rsidR="0023438A">
        <w:trPr>
          <w:trHeight w:val="446"/>
        </w:trPr>
        <w:tc>
          <w:tcPr>
            <w:tcW w:w="3991" w:type="dxa"/>
            <w:tcBorders>
              <w:top w:val="nil"/>
              <w:left w:val="nil"/>
              <w:bottom w:val="nil"/>
              <w:right w:val="nil"/>
            </w:tcBorders>
          </w:tcPr>
          <w:p w:rsidR="0023438A" w:rsidRDefault="00A02C86">
            <w:pPr>
              <w:spacing w:after="0" w:line="259" w:lineRule="auto"/>
              <w:ind w:left="180" w:firstLine="0"/>
            </w:pPr>
            <w:r>
              <w:t xml:space="preserve"> </w:t>
            </w:r>
          </w:p>
        </w:tc>
        <w:tc>
          <w:tcPr>
            <w:tcW w:w="1272" w:type="dxa"/>
            <w:tcBorders>
              <w:top w:val="nil"/>
              <w:left w:val="nil"/>
              <w:bottom w:val="nil"/>
              <w:right w:val="nil"/>
            </w:tcBorders>
          </w:tcPr>
          <w:p w:rsidR="0023438A" w:rsidRDefault="00A02C86">
            <w:pPr>
              <w:spacing w:after="0" w:line="259" w:lineRule="auto"/>
              <w:ind w:left="0" w:firstLine="0"/>
            </w:pPr>
            <w:r>
              <w:t xml:space="preserve">Educator </w:t>
            </w:r>
          </w:p>
        </w:tc>
        <w:tc>
          <w:tcPr>
            <w:tcW w:w="1073" w:type="dxa"/>
            <w:tcBorders>
              <w:top w:val="nil"/>
              <w:left w:val="nil"/>
              <w:bottom w:val="nil"/>
              <w:right w:val="nil"/>
            </w:tcBorders>
          </w:tcPr>
          <w:p w:rsidR="0023438A" w:rsidRDefault="00A02C86">
            <w:pPr>
              <w:spacing w:after="0" w:line="259" w:lineRule="auto"/>
              <w:ind w:left="0" w:firstLine="0"/>
            </w:pPr>
            <w:r>
              <w:t xml:space="preserve">35% </w:t>
            </w:r>
          </w:p>
        </w:tc>
        <w:tc>
          <w:tcPr>
            <w:tcW w:w="977" w:type="dxa"/>
            <w:tcBorders>
              <w:top w:val="nil"/>
              <w:left w:val="nil"/>
              <w:bottom w:val="nil"/>
              <w:right w:val="nil"/>
            </w:tcBorders>
          </w:tcPr>
          <w:p w:rsidR="0023438A" w:rsidRDefault="00A02C86">
            <w:pPr>
              <w:spacing w:after="0" w:line="259" w:lineRule="auto"/>
              <w:ind w:left="0" w:firstLine="0"/>
            </w:pPr>
            <w:r>
              <w:t xml:space="preserve">76% </w:t>
            </w:r>
          </w:p>
        </w:tc>
        <w:tc>
          <w:tcPr>
            <w:tcW w:w="1370" w:type="dxa"/>
            <w:tcBorders>
              <w:top w:val="nil"/>
              <w:left w:val="nil"/>
              <w:bottom w:val="nil"/>
              <w:right w:val="nil"/>
            </w:tcBorders>
          </w:tcPr>
          <w:p w:rsidR="0023438A" w:rsidRDefault="00A02C86">
            <w:pPr>
              <w:spacing w:after="0" w:line="259" w:lineRule="auto"/>
              <w:ind w:left="0" w:firstLine="0"/>
            </w:pPr>
            <w:r>
              <w:t xml:space="preserve">63% </w:t>
            </w:r>
          </w:p>
        </w:tc>
        <w:tc>
          <w:tcPr>
            <w:tcW w:w="778" w:type="dxa"/>
            <w:tcBorders>
              <w:top w:val="nil"/>
              <w:left w:val="nil"/>
              <w:bottom w:val="nil"/>
              <w:right w:val="nil"/>
            </w:tcBorders>
          </w:tcPr>
          <w:p w:rsidR="0023438A" w:rsidRDefault="00A02C86">
            <w:pPr>
              <w:spacing w:after="0" w:line="259" w:lineRule="auto"/>
              <w:ind w:left="0" w:firstLine="0"/>
            </w:pPr>
            <w:r>
              <w:t xml:space="preserve">0% </w:t>
            </w:r>
          </w:p>
        </w:tc>
      </w:tr>
      <w:tr w:rsidR="0023438A">
        <w:trPr>
          <w:trHeight w:val="446"/>
        </w:trPr>
        <w:tc>
          <w:tcPr>
            <w:tcW w:w="3991" w:type="dxa"/>
            <w:tcBorders>
              <w:top w:val="nil"/>
              <w:left w:val="nil"/>
              <w:bottom w:val="nil"/>
              <w:right w:val="nil"/>
            </w:tcBorders>
          </w:tcPr>
          <w:p w:rsidR="0023438A" w:rsidRDefault="00A02C86">
            <w:pPr>
              <w:spacing w:after="0" w:line="259" w:lineRule="auto"/>
              <w:ind w:left="180" w:firstLine="0"/>
            </w:pPr>
            <w:r>
              <w:t xml:space="preserve">Pay for the employer's additional </w:t>
            </w:r>
          </w:p>
        </w:tc>
        <w:tc>
          <w:tcPr>
            <w:tcW w:w="1272" w:type="dxa"/>
            <w:tcBorders>
              <w:top w:val="nil"/>
              <w:left w:val="nil"/>
              <w:bottom w:val="nil"/>
              <w:right w:val="nil"/>
            </w:tcBorders>
          </w:tcPr>
          <w:p w:rsidR="0023438A" w:rsidRDefault="00A02C86">
            <w:pPr>
              <w:spacing w:after="0" w:line="259" w:lineRule="auto"/>
              <w:ind w:left="0" w:firstLine="0"/>
            </w:pPr>
            <w:r>
              <w:t xml:space="preserve">Employer </w:t>
            </w:r>
          </w:p>
        </w:tc>
        <w:tc>
          <w:tcPr>
            <w:tcW w:w="1073" w:type="dxa"/>
            <w:tcBorders>
              <w:top w:val="nil"/>
              <w:left w:val="nil"/>
              <w:bottom w:val="nil"/>
              <w:right w:val="nil"/>
            </w:tcBorders>
          </w:tcPr>
          <w:p w:rsidR="0023438A" w:rsidRDefault="00A02C86">
            <w:pPr>
              <w:spacing w:after="0" w:line="259" w:lineRule="auto"/>
              <w:ind w:left="1" w:firstLine="0"/>
            </w:pPr>
            <w:r>
              <w:t xml:space="preserve">5.4% </w:t>
            </w:r>
          </w:p>
        </w:tc>
        <w:tc>
          <w:tcPr>
            <w:tcW w:w="977" w:type="dxa"/>
            <w:tcBorders>
              <w:top w:val="nil"/>
              <w:left w:val="nil"/>
              <w:bottom w:val="nil"/>
              <w:right w:val="nil"/>
            </w:tcBorders>
          </w:tcPr>
          <w:p w:rsidR="0023438A" w:rsidRDefault="00A02C86">
            <w:pPr>
              <w:spacing w:after="0" w:line="259" w:lineRule="auto"/>
              <w:ind w:left="0" w:firstLine="0"/>
            </w:pPr>
            <w:r>
              <w:t xml:space="preserve">25% </w:t>
            </w:r>
          </w:p>
        </w:tc>
        <w:tc>
          <w:tcPr>
            <w:tcW w:w="1370" w:type="dxa"/>
            <w:tcBorders>
              <w:top w:val="nil"/>
              <w:left w:val="nil"/>
              <w:bottom w:val="nil"/>
              <w:right w:val="nil"/>
            </w:tcBorders>
          </w:tcPr>
          <w:p w:rsidR="0023438A" w:rsidRDefault="00A02C86">
            <w:pPr>
              <w:spacing w:after="0" w:line="259" w:lineRule="auto"/>
              <w:ind w:left="0" w:firstLine="0"/>
            </w:pPr>
            <w:r>
              <w:t xml:space="preserve">44% </w:t>
            </w:r>
          </w:p>
        </w:tc>
        <w:tc>
          <w:tcPr>
            <w:tcW w:w="778" w:type="dxa"/>
            <w:tcBorders>
              <w:top w:val="nil"/>
              <w:left w:val="nil"/>
              <w:bottom w:val="nil"/>
              <w:right w:val="nil"/>
            </w:tcBorders>
          </w:tcPr>
          <w:p w:rsidR="0023438A" w:rsidRDefault="00A02C86">
            <w:pPr>
              <w:spacing w:after="0" w:line="259" w:lineRule="auto"/>
              <w:ind w:left="0" w:firstLine="0"/>
            </w:pPr>
            <w:r>
              <w:t xml:space="preserve">49% </w:t>
            </w:r>
          </w:p>
        </w:tc>
      </w:tr>
      <w:tr w:rsidR="0023438A">
        <w:trPr>
          <w:trHeight w:val="421"/>
        </w:trPr>
        <w:tc>
          <w:tcPr>
            <w:tcW w:w="3991" w:type="dxa"/>
            <w:tcBorders>
              <w:top w:val="nil"/>
              <w:left w:val="nil"/>
              <w:bottom w:val="single" w:sz="4" w:space="0" w:color="000000"/>
              <w:right w:val="nil"/>
            </w:tcBorders>
          </w:tcPr>
          <w:p w:rsidR="0023438A" w:rsidRDefault="00A02C86">
            <w:pPr>
              <w:spacing w:after="0" w:line="259" w:lineRule="auto"/>
              <w:ind w:left="180" w:firstLine="0"/>
            </w:pPr>
            <w:proofErr w:type="gramStart"/>
            <w:r>
              <w:t>costs</w:t>
            </w:r>
            <w:proofErr w:type="gramEnd"/>
            <w:r>
              <w:t xml:space="preserve">. </w:t>
            </w:r>
          </w:p>
        </w:tc>
        <w:tc>
          <w:tcPr>
            <w:tcW w:w="1272" w:type="dxa"/>
            <w:tcBorders>
              <w:top w:val="nil"/>
              <w:left w:val="nil"/>
              <w:bottom w:val="single" w:sz="4" w:space="0" w:color="000000"/>
              <w:right w:val="nil"/>
            </w:tcBorders>
          </w:tcPr>
          <w:p w:rsidR="0023438A" w:rsidRDefault="00A02C86">
            <w:pPr>
              <w:spacing w:after="0" w:line="259" w:lineRule="auto"/>
              <w:ind w:left="0" w:firstLine="0"/>
            </w:pPr>
            <w:r>
              <w:t xml:space="preserve">Educator </w:t>
            </w:r>
          </w:p>
        </w:tc>
        <w:tc>
          <w:tcPr>
            <w:tcW w:w="1073" w:type="dxa"/>
            <w:tcBorders>
              <w:top w:val="nil"/>
              <w:left w:val="nil"/>
              <w:bottom w:val="single" w:sz="4" w:space="0" w:color="000000"/>
              <w:right w:val="nil"/>
            </w:tcBorders>
          </w:tcPr>
          <w:p w:rsidR="0023438A" w:rsidRDefault="00A02C86">
            <w:pPr>
              <w:spacing w:after="0" w:line="259" w:lineRule="auto"/>
              <w:ind w:left="0" w:firstLine="0"/>
            </w:pPr>
            <w:r>
              <w:t xml:space="preserve">12% </w:t>
            </w:r>
          </w:p>
        </w:tc>
        <w:tc>
          <w:tcPr>
            <w:tcW w:w="977" w:type="dxa"/>
            <w:tcBorders>
              <w:top w:val="nil"/>
              <w:left w:val="nil"/>
              <w:bottom w:val="single" w:sz="4" w:space="0" w:color="000000"/>
              <w:right w:val="nil"/>
            </w:tcBorders>
          </w:tcPr>
          <w:p w:rsidR="0023438A" w:rsidRDefault="00A02C86">
            <w:pPr>
              <w:spacing w:after="0" w:line="259" w:lineRule="auto"/>
              <w:ind w:left="0" w:firstLine="0"/>
            </w:pPr>
            <w:r>
              <w:t xml:space="preserve">16% </w:t>
            </w:r>
          </w:p>
        </w:tc>
        <w:tc>
          <w:tcPr>
            <w:tcW w:w="1370" w:type="dxa"/>
            <w:tcBorders>
              <w:top w:val="nil"/>
              <w:left w:val="nil"/>
              <w:bottom w:val="single" w:sz="4" w:space="0" w:color="000000"/>
              <w:right w:val="nil"/>
            </w:tcBorders>
          </w:tcPr>
          <w:p w:rsidR="0023438A" w:rsidRDefault="00A02C86">
            <w:pPr>
              <w:spacing w:after="0" w:line="259" w:lineRule="auto"/>
              <w:ind w:left="0" w:firstLine="0"/>
            </w:pPr>
            <w:r>
              <w:t xml:space="preserve">61% </w:t>
            </w:r>
          </w:p>
        </w:tc>
        <w:tc>
          <w:tcPr>
            <w:tcW w:w="778" w:type="dxa"/>
            <w:tcBorders>
              <w:top w:val="nil"/>
              <w:left w:val="nil"/>
              <w:bottom w:val="single" w:sz="4" w:space="0" w:color="000000"/>
              <w:right w:val="nil"/>
            </w:tcBorders>
          </w:tcPr>
          <w:p w:rsidR="0023438A" w:rsidRDefault="00A02C86">
            <w:pPr>
              <w:spacing w:after="0" w:line="259" w:lineRule="auto"/>
              <w:ind w:left="0" w:firstLine="0"/>
            </w:pPr>
            <w:r>
              <w:t xml:space="preserve">52% </w:t>
            </w:r>
          </w:p>
        </w:tc>
      </w:tr>
    </w:tbl>
    <w:p w:rsidR="0023438A" w:rsidRDefault="00A02C86">
      <w:pPr>
        <w:ind w:left="425" w:right="777" w:firstLine="720"/>
      </w:pPr>
      <w:r>
        <w:t>Both parties overwhelmingly indicate that the bulk of the responsibilities should fall to themselves, as the highest percentages fall under the School and Employer categories for most of the tasks. Since the question asked for the respondent to check all t</w:t>
      </w:r>
      <w:r>
        <w:t xml:space="preserve">hat apply, the consistently high percentages indicate that the groups feel there is shared responsibility in most of the categories. The question of who should pay for education is an outlier. It is the only category that a majority of employers suggested </w:t>
      </w:r>
      <w:r>
        <w:t xml:space="preserve">that the student should pay for their educational requirements in the program, and educators felt the employer and the government should contribute as well. </w:t>
      </w:r>
    </w:p>
    <w:p w:rsidR="0023438A" w:rsidRDefault="00A02C86">
      <w:pPr>
        <w:spacing w:after="122"/>
        <w:ind w:left="435" w:right="777"/>
      </w:pPr>
      <w:r>
        <w:t xml:space="preserve">Furthermore, the respondents put more onus on the school to register the program and initiate the </w:t>
      </w:r>
      <w:r>
        <w:t>design process. Interestingly, the government's role was thought to be minimal except for covering additional training costs incurred by the employer. In summary, the responses in this section indicate the educators should own the responsibility at the out</w:t>
      </w:r>
      <w:r>
        <w:t xml:space="preserve">set, and then once the program is operational, the employers should take the lead. </w:t>
      </w:r>
    </w:p>
    <w:p w:rsidR="0023438A" w:rsidRDefault="00A02C86">
      <w:pPr>
        <w:pStyle w:val="Heading1"/>
        <w:spacing w:after="367"/>
        <w:ind w:left="435"/>
      </w:pPr>
      <w:r>
        <w:t xml:space="preserve">Qualitative Question Findings </w:t>
      </w:r>
    </w:p>
    <w:p w:rsidR="0023438A" w:rsidRDefault="00A02C86">
      <w:pPr>
        <w:spacing w:after="372" w:line="259" w:lineRule="auto"/>
        <w:ind w:left="1170" w:right="777"/>
      </w:pPr>
      <w:r>
        <w:rPr>
          <w:b/>
        </w:rPr>
        <w:t xml:space="preserve"> </w:t>
      </w:r>
      <w:r>
        <w:t xml:space="preserve">One open-ended question was asked of both the educator and employer survey group. </w:t>
      </w:r>
    </w:p>
    <w:p w:rsidR="0023438A" w:rsidRDefault="00A02C86">
      <w:pPr>
        <w:spacing w:after="120" w:line="476" w:lineRule="auto"/>
        <w:ind w:left="425" w:right="715" w:firstLine="720"/>
      </w:pPr>
      <w:r>
        <w:rPr>
          <w:i/>
        </w:rPr>
        <w:t xml:space="preserve">What is one thing the higher education and employer community could do to better align with each other to support apprenticeship expansion? </w:t>
      </w:r>
    </w:p>
    <w:p w:rsidR="0023438A" w:rsidRDefault="00A02C86">
      <w:pPr>
        <w:spacing w:after="121"/>
        <w:ind w:left="425" w:right="777" w:firstLine="720"/>
      </w:pPr>
      <w:r>
        <w:rPr>
          <w:b/>
        </w:rPr>
        <w:lastRenderedPageBreak/>
        <w:t xml:space="preserve"> </w:t>
      </w:r>
      <w:r>
        <w:t>The researcher analyzed the responses to the question and coded them using an open coding method to group the resp</w:t>
      </w:r>
      <w:r>
        <w:t>onses into categories. Open coding refers to the initial interpretive process by which the researcher systematically first analyzes and categorizes raw research data (</w:t>
      </w:r>
      <w:proofErr w:type="spellStart"/>
      <w:r>
        <w:t>Benaquisto</w:t>
      </w:r>
      <w:proofErr w:type="spellEnd"/>
      <w:r>
        <w:t xml:space="preserve"> &amp; Given, 2008). From the open coding process, themes emerged related to the re</w:t>
      </w:r>
      <w:r>
        <w:t>search questions. The names for these categories were extrapolated using a combination of researcher constructed and in vivo codes. The themes and any notable quotes from participant responses are presented for each group’s questionnaire. Following are the</w:t>
      </w:r>
      <w:r>
        <w:t xml:space="preserve"> four major themes: </w:t>
      </w:r>
    </w:p>
    <w:p w:rsidR="0023438A" w:rsidRDefault="00A02C86">
      <w:pPr>
        <w:numPr>
          <w:ilvl w:val="0"/>
          <w:numId w:val="8"/>
        </w:numPr>
        <w:spacing w:after="375" w:line="259" w:lineRule="auto"/>
        <w:ind w:right="777" w:hanging="360"/>
      </w:pPr>
      <w:r>
        <w:t xml:space="preserve">Collaboration between business and education communities </w:t>
      </w:r>
    </w:p>
    <w:p w:rsidR="0023438A" w:rsidRDefault="00A02C86">
      <w:pPr>
        <w:numPr>
          <w:ilvl w:val="0"/>
          <w:numId w:val="8"/>
        </w:numPr>
        <w:spacing w:after="375" w:line="259" w:lineRule="auto"/>
        <w:ind w:right="777" w:hanging="360"/>
      </w:pPr>
      <w:r>
        <w:t xml:space="preserve">Communication between stakeholders </w:t>
      </w:r>
    </w:p>
    <w:p w:rsidR="0023438A" w:rsidRDefault="00A02C86">
      <w:pPr>
        <w:numPr>
          <w:ilvl w:val="0"/>
          <w:numId w:val="8"/>
        </w:numPr>
        <w:spacing w:after="375" w:line="259" w:lineRule="auto"/>
        <w:ind w:right="777" w:hanging="360"/>
      </w:pPr>
      <w:r>
        <w:t xml:space="preserve">Knowledge: Improved understanding of apprenticeship options </w:t>
      </w:r>
    </w:p>
    <w:p w:rsidR="0023438A" w:rsidRDefault="00A02C86">
      <w:pPr>
        <w:numPr>
          <w:ilvl w:val="0"/>
          <w:numId w:val="8"/>
        </w:numPr>
        <w:spacing w:line="259" w:lineRule="auto"/>
        <w:ind w:right="777" w:hanging="360"/>
      </w:pPr>
      <w:r>
        <w:t xml:space="preserve">Grant funding </w:t>
      </w:r>
    </w:p>
    <w:p w:rsidR="0023438A" w:rsidRDefault="00A02C86">
      <w:pPr>
        <w:spacing w:after="117"/>
        <w:ind w:left="425" w:right="777" w:firstLine="720"/>
      </w:pPr>
      <w:r>
        <w:t>Table 12 provides a breakdown of the themes, categories, number o</w:t>
      </w:r>
      <w:r>
        <w:t xml:space="preserve">f responses in each group’s questionnaire, and examples of the responses.  </w:t>
      </w:r>
    </w:p>
    <w:p w:rsidR="0023438A" w:rsidRDefault="00A02C86">
      <w:pPr>
        <w:spacing w:after="0" w:line="259" w:lineRule="auto"/>
        <w:ind w:left="440" w:firstLine="0"/>
      </w:pPr>
      <w:r>
        <w:t xml:space="preserve"> </w:t>
      </w:r>
    </w:p>
    <w:p w:rsidR="0023438A" w:rsidRDefault="00A02C86">
      <w:pPr>
        <w:spacing w:after="216" w:line="259" w:lineRule="auto"/>
        <w:ind w:left="435" w:right="777"/>
      </w:pPr>
      <w:r>
        <w:t xml:space="preserve">Table 12 </w:t>
      </w:r>
    </w:p>
    <w:p w:rsidR="0023438A" w:rsidRDefault="00A02C86">
      <w:pPr>
        <w:spacing w:after="373" w:line="267" w:lineRule="auto"/>
        <w:ind w:left="435" w:right="715"/>
      </w:pPr>
      <w:r>
        <w:rPr>
          <w:i/>
        </w:rPr>
        <w:t xml:space="preserve">Themes, Categories, and Quantity for Open-ended Responses  </w:t>
      </w:r>
    </w:p>
    <w:p w:rsidR="0023438A" w:rsidRDefault="00A02C86">
      <w:pPr>
        <w:tabs>
          <w:tab w:val="center" w:pos="888"/>
          <w:tab w:val="center" w:pos="2749"/>
          <w:tab w:val="center" w:pos="3855"/>
          <w:tab w:val="center" w:pos="4953"/>
          <w:tab w:val="center" w:pos="7413"/>
        </w:tabs>
        <w:spacing w:line="259"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165100</wp:posOffset>
                </wp:positionH>
                <wp:positionV relativeFrom="paragraph">
                  <wp:posOffset>-7443</wp:posOffset>
                </wp:positionV>
                <wp:extent cx="6057900" cy="263652"/>
                <wp:effectExtent l="0" t="0" r="0" b="0"/>
                <wp:wrapNone/>
                <wp:docPr id="105766" name="Group 105766"/>
                <wp:cNvGraphicFramePr/>
                <a:graphic xmlns:a="http://schemas.openxmlformats.org/drawingml/2006/main">
                  <a:graphicData uri="http://schemas.microsoft.com/office/word/2010/wordprocessingGroup">
                    <wpg:wgp>
                      <wpg:cNvGrpSpPr/>
                      <wpg:grpSpPr>
                        <a:xfrm>
                          <a:off x="0" y="0"/>
                          <a:ext cx="6057900" cy="263652"/>
                          <a:chOff x="0" y="0"/>
                          <a:chExt cx="6057900" cy="263652"/>
                        </a:xfrm>
                      </wpg:grpSpPr>
                      <wps:wsp>
                        <wps:cNvPr id="143400" name="Shape 143400"/>
                        <wps:cNvSpPr/>
                        <wps:spPr>
                          <a:xfrm>
                            <a:off x="0" y="0"/>
                            <a:ext cx="1200912" cy="9144"/>
                          </a:xfrm>
                          <a:custGeom>
                            <a:avLst/>
                            <a:gdLst/>
                            <a:ahLst/>
                            <a:cxnLst/>
                            <a:rect l="0" t="0" r="0" b="0"/>
                            <a:pathLst>
                              <a:path w="1200912" h="9144">
                                <a:moveTo>
                                  <a:pt x="0" y="0"/>
                                </a:moveTo>
                                <a:lnTo>
                                  <a:pt x="1200912" y="0"/>
                                </a:lnTo>
                                <a:lnTo>
                                  <a:pt x="12009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1" name="Shape 143401"/>
                        <wps:cNvSpPr/>
                        <wps:spPr>
                          <a:xfrm>
                            <a:off x="12009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2" name="Shape 143402"/>
                        <wps:cNvSpPr/>
                        <wps:spPr>
                          <a:xfrm>
                            <a:off x="1207008" y="0"/>
                            <a:ext cx="850392" cy="9144"/>
                          </a:xfrm>
                          <a:custGeom>
                            <a:avLst/>
                            <a:gdLst/>
                            <a:ahLst/>
                            <a:cxnLst/>
                            <a:rect l="0" t="0" r="0" b="0"/>
                            <a:pathLst>
                              <a:path w="850392" h="9144">
                                <a:moveTo>
                                  <a:pt x="0" y="0"/>
                                </a:moveTo>
                                <a:lnTo>
                                  <a:pt x="850392" y="0"/>
                                </a:lnTo>
                                <a:lnTo>
                                  <a:pt x="8503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3" name="Shape 143403"/>
                        <wps:cNvSpPr/>
                        <wps:spPr>
                          <a:xfrm>
                            <a:off x="2057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4" name="Shape 143404"/>
                        <wps:cNvSpPr/>
                        <wps:spPr>
                          <a:xfrm>
                            <a:off x="2063496" y="0"/>
                            <a:ext cx="451104" cy="9144"/>
                          </a:xfrm>
                          <a:custGeom>
                            <a:avLst/>
                            <a:gdLst/>
                            <a:ahLst/>
                            <a:cxnLst/>
                            <a:rect l="0" t="0" r="0" b="0"/>
                            <a:pathLst>
                              <a:path w="451104" h="9144">
                                <a:moveTo>
                                  <a:pt x="0" y="0"/>
                                </a:moveTo>
                                <a:lnTo>
                                  <a:pt x="451104" y="0"/>
                                </a:lnTo>
                                <a:lnTo>
                                  <a:pt x="4511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5" name="Shape 143405"/>
                        <wps:cNvSpPr/>
                        <wps:spPr>
                          <a:xfrm>
                            <a:off x="25146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6" name="Shape 143406"/>
                        <wps:cNvSpPr/>
                        <wps:spPr>
                          <a:xfrm>
                            <a:off x="2520696" y="0"/>
                            <a:ext cx="1226820" cy="9144"/>
                          </a:xfrm>
                          <a:custGeom>
                            <a:avLst/>
                            <a:gdLst/>
                            <a:ahLst/>
                            <a:cxnLst/>
                            <a:rect l="0" t="0" r="0" b="0"/>
                            <a:pathLst>
                              <a:path w="1226820" h="9144">
                                <a:moveTo>
                                  <a:pt x="0" y="0"/>
                                </a:moveTo>
                                <a:lnTo>
                                  <a:pt x="1226820" y="0"/>
                                </a:lnTo>
                                <a:lnTo>
                                  <a:pt x="12268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7" name="Shape 143407"/>
                        <wps:cNvSpPr/>
                        <wps:spPr>
                          <a:xfrm>
                            <a:off x="374751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8" name="Shape 143408"/>
                        <wps:cNvSpPr/>
                        <wps:spPr>
                          <a:xfrm>
                            <a:off x="3753612" y="0"/>
                            <a:ext cx="2304288" cy="9144"/>
                          </a:xfrm>
                          <a:custGeom>
                            <a:avLst/>
                            <a:gdLst/>
                            <a:ahLst/>
                            <a:cxnLst/>
                            <a:rect l="0" t="0" r="0" b="0"/>
                            <a:pathLst>
                              <a:path w="2304288" h="9144">
                                <a:moveTo>
                                  <a:pt x="0" y="0"/>
                                </a:moveTo>
                                <a:lnTo>
                                  <a:pt x="2304288" y="0"/>
                                </a:lnTo>
                                <a:lnTo>
                                  <a:pt x="2304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09" name="Shape 143409"/>
                        <wps:cNvSpPr/>
                        <wps:spPr>
                          <a:xfrm>
                            <a:off x="0" y="257556"/>
                            <a:ext cx="1200912" cy="9144"/>
                          </a:xfrm>
                          <a:custGeom>
                            <a:avLst/>
                            <a:gdLst/>
                            <a:ahLst/>
                            <a:cxnLst/>
                            <a:rect l="0" t="0" r="0" b="0"/>
                            <a:pathLst>
                              <a:path w="1200912" h="9144">
                                <a:moveTo>
                                  <a:pt x="0" y="0"/>
                                </a:moveTo>
                                <a:lnTo>
                                  <a:pt x="1200912" y="0"/>
                                </a:lnTo>
                                <a:lnTo>
                                  <a:pt x="12009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0" name="Shape 143410"/>
                        <wps:cNvSpPr/>
                        <wps:spPr>
                          <a:xfrm>
                            <a:off x="1200912"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1" name="Shape 143411"/>
                        <wps:cNvSpPr/>
                        <wps:spPr>
                          <a:xfrm>
                            <a:off x="1207008" y="257556"/>
                            <a:ext cx="850392" cy="9144"/>
                          </a:xfrm>
                          <a:custGeom>
                            <a:avLst/>
                            <a:gdLst/>
                            <a:ahLst/>
                            <a:cxnLst/>
                            <a:rect l="0" t="0" r="0" b="0"/>
                            <a:pathLst>
                              <a:path w="850392" h="9144">
                                <a:moveTo>
                                  <a:pt x="0" y="0"/>
                                </a:moveTo>
                                <a:lnTo>
                                  <a:pt x="850392" y="0"/>
                                </a:lnTo>
                                <a:lnTo>
                                  <a:pt x="8503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2" name="Shape 143412"/>
                        <wps:cNvSpPr/>
                        <wps:spPr>
                          <a:xfrm>
                            <a:off x="2057400"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3" name="Shape 143413"/>
                        <wps:cNvSpPr/>
                        <wps:spPr>
                          <a:xfrm>
                            <a:off x="2063496" y="257556"/>
                            <a:ext cx="451104" cy="9144"/>
                          </a:xfrm>
                          <a:custGeom>
                            <a:avLst/>
                            <a:gdLst/>
                            <a:ahLst/>
                            <a:cxnLst/>
                            <a:rect l="0" t="0" r="0" b="0"/>
                            <a:pathLst>
                              <a:path w="451104" h="9144">
                                <a:moveTo>
                                  <a:pt x="0" y="0"/>
                                </a:moveTo>
                                <a:lnTo>
                                  <a:pt x="451104" y="0"/>
                                </a:lnTo>
                                <a:lnTo>
                                  <a:pt x="4511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4" name="Shape 143414"/>
                        <wps:cNvSpPr/>
                        <wps:spPr>
                          <a:xfrm>
                            <a:off x="2514600"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5" name="Shape 143415"/>
                        <wps:cNvSpPr/>
                        <wps:spPr>
                          <a:xfrm>
                            <a:off x="2520696" y="257556"/>
                            <a:ext cx="1226820" cy="9144"/>
                          </a:xfrm>
                          <a:custGeom>
                            <a:avLst/>
                            <a:gdLst/>
                            <a:ahLst/>
                            <a:cxnLst/>
                            <a:rect l="0" t="0" r="0" b="0"/>
                            <a:pathLst>
                              <a:path w="1226820" h="9144">
                                <a:moveTo>
                                  <a:pt x="0" y="0"/>
                                </a:moveTo>
                                <a:lnTo>
                                  <a:pt x="1226820" y="0"/>
                                </a:lnTo>
                                <a:lnTo>
                                  <a:pt x="12268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6" name="Shape 143416"/>
                        <wps:cNvSpPr/>
                        <wps:spPr>
                          <a:xfrm>
                            <a:off x="3747516"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7" name="Shape 143417"/>
                        <wps:cNvSpPr/>
                        <wps:spPr>
                          <a:xfrm>
                            <a:off x="3753612" y="257556"/>
                            <a:ext cx="2304288" cy="9144"/>
                          </a:xfrm>
                          <a:custGeom>
                            <a:avLst/>
                            <a:gdLst/>
                            <a:ahLst/>
                            <a:cxnLst/>
                            <a:rect l="0" t="0" r="0" b="0"/>
                            <a:pathLst>
                              <a:path w="2304288" h="9144">
                                <a:moveTo>
                                  <a:pt x="0" y="0"/>
                                </a:moveTo>
                                <a:lnTo>
                                  <a:pt x="2304288" y="0"/>
                                </a:lnTo>
                                <a:lnTo>
                                  <a:pt x="2304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C47E36" id="Group 105766" o:spid="_x0000_s1026" style="position:absolute;margin-left:13pt;margin-top:-.6pt;width:477pt;height:20.75pt;z-index:-251656192" coordsize="60579,2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bvjkQUAAKdDAAAOAAAAZHJzL2Uyb0RvYy54bWzsnN2OozYUx+8r9R0Q9zvBJJAPTWYvdtu5&#10;qdpVd/sAHgIBiS8Bk2TevsfH2HgmzhCCulS7novBIYfD8cE//41t5f7jKUutQ1jVSZFvbXLn2FaY&#10;B8Uuyfdb+59vv39Y2Vbd0HxH0yIPt/ZLWNsfH3795f5YbkK3iIt0F1YWOMnrzbHc2nHTlJvZrA7i&#10;MKP1XVGGOXwZFVVGG/hY7We7ih7Be5bOXMfxZ8ei2pVVEYR1DWc/8y/tB/QfRWHQ/BVFddhY6daG&#10;2Br8X+H/J/Z/9nBPN/uKlnEStGHQG6LIaJLDTaWrz7Sh1nOVnLnKkqAq6iJq7oIimxVRlAQh1gFq&#10;Q5w3tXmsiucS67LfHPelTBOk9k2ebnYb/Hn4UlnJDp6d4y1937ZymsFzwltb7TlI0rHcb8D2sSq/&#10;ll+q9sSef2L1PkVVxo5QI+uE6X2R6Q1PjRXASR/usHbgKQTwnevPfc/l+Q9ieEhnlwXxb+9fOBO3&#10;nbHoZDDHEppS3WWrHpetrzEtQ3wINcuAyNZivmBV4dlCG4vwc5gctJWpqjc1ZO3aPBFo2Gvi8jyt&#10;yWLBsiQrSzfBc908hgXmmx7+qBv4GlreTpRoLErBKRfFClB4F4KSNuw65ooVrSM0CRFIvLUxDvZl&#10;VhzCbwWaNW+eGcTYfZvmqpV0JZoF2AoLcSzRn2qpVF4YiSM3hicADq80Q9rlfaHA6omZlXWHk2p2&#10;05ylgbVYCn1TlNIGIc+SBjqtNMlYipYOtAP+gNIcvLHmx582lpqXNGTJSvO/wwhAQzjYibraP31K&#10;K+tAWdeEf+icpmVM27Ot39YUQ0U/7PooSVPpkuClOpc8staYXRdiryivdPiVQRsN7xqhg4FKiw4S&#10;kiIvwjsXeSOvz6FbxzCV2rLiU7F7wY4CEwI8sj7ke4FJNGASFiULASDuB1Ntha1KiG4MWxv2YUq7&#10;E/2f2nr+UzZ5FOPB5H56qZRmSp0FiuJokDRIXtRKkLMzrUT5H4Ik9LUwnhSNFbqldoCw8pz5+n8g&#10;mCKO8VgKT6KuUrY62eS4KYYGTVRIo5a6d4l3hrFzDZrzQWrpwsgeh8OiuXZocuFgI36leRq1hMGn&#10;MnpWUiPEVBxVs26cyYbWZgCrjqZ/rAHsQoMkvgZerZau488Xa3ifP0dy4RHiwB2mhlLEMV4thSdR&#10;14tqqRheydyVZgbNn+Xd0tOg6Q1TS48sfDZ5JJqrUUvojV6PEIT8iaMqgwZJM93zah5Wzlor87D+&#10;QCRBL/VqSVzXX7lsDvB1C/3uY1gZyHi9lK5ED3RRMFXLK7m70swo5s+imEuNYi4H4TlfLpYe0Q5m&#10;sbVNziaPYjyY3E8vldIMC2Lxga+3GMWEtQlcpjCzsRdnY2EW9Ww2djUQSW/us0VK0Vi7Qaw7dxbu&#10;Cm4xtWLKQMaDKV2J6l5UTNXS4GlmZC/u7nhnRnatwXM9CE/+dul6S8/DkXBHp1zZnJpOGch4OqWr&#10;XjpVS0OnofMGOgmw9VY84dytuwt0jPLx3dSA8ijG08n99KIpzbBgBrVmHXPYOibR7PqBcwO5lFsM&#10;dFyKxfapyRRxjGdTeOqlUzE0fBrdvEU3NVuA4AVyCJ/qPgMdn1xCpqaTRzGeTe6nl0xphgWjm0Y3&#10;B+qmZv8PGbr/p9tsoONSLLtPTaaIYzybwlMvnYqh4dPo5i26qdkMRAZuBlJ2HOj45BIyNZ08ivFs&#10;cj+9ZEozLBjdNLo5UDc1O4HI0J1A3bYDHZdy9X1qNGUg4+mUrnoBVS0No0Y7b9FOzdYg2Ecw5J1T&#10;3XugY5TLyNSA8ijG08n99KIpzbBgtNNo50Dt1OwJIkP3BHUbEHRcynX4qdGUgYynU7rqBVS1NIz+&#10;SNqJP3YAvwaBdWp/uYL93IT6Gcrq72s8/AsAAP//AwBQSwMEFAAGAAgAAAAhAMXG8TvgAAAACAEA&#10;AA8AAABkcnMvZG93bnJldi54bWxMj8FOwzAQRO9I/IO1SNxaOylUJWRTVRVwqpBokRA3N94mUeN1&#10;FLtJ+veYExxnZzXzJl9PthUD9b5xjJDMFQji0pmGK4TPw+tsBcIHzUa3jgnhSh7Wxe1NrjPjRv6g&#10;YR8qEUPYZxqhDqHLpPRlTVb7ueuIo3dyvdUhyr6SptdjDLetTJVaSqsbjg217mhbU3neXyzC26jH&#10;zSJ5GXbn0/b6fXh8/9olhHh/N22eQQSawt8z/OJHdCgi09Fd2HjRIqTLOCUgzJIURPSfVioejggP&#10;agGyyOX/AcUPAAAA//8DAFBLAQItABQABgAIAAAAIQC2gziS/gAAAOEBAAATAAAAAAAAAAAAAAAA&#10;AAAAAABbQ29udGVudF9UeXBlc10ueG1sUEsBAi0AFAAGAAgAAAAhADj9If/WAAAAlAEAAAsAAAAA&#10;AAAAAAAAAAAALwEAAF9yZWxzLy5yZWxzUEsBAi0AFAAGAAgAAAAhAHEhu+ORBQAAp0MAAA4AAAAA&#10;AAAAAAAAAAAALgIAAGRycy9lMm9Eb2MueG1sUEsBAi0AFAAGAAgAAAAhAMXG8TvgAAAACAEAAA8A&#10;AAAAAAAAAAAAAAAA6wcAAGRycy9kb3ducmV2LnhtbFBLBQYAAAAABAAEAPMAAAD4CAAAAAA=&#10;">
                <v:shape id="Shape 143400" o:spid="_x0000_s1027" style="position:absolute;width:12009;height:91;visibility:visible;mso-wrap-style:square;v-text-anchor:top" coordsize="12009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Sf48MA&#10;AADfAAAADwAAAGRycy9kb3ducmV2LnhtbERPTWvCQBC9F/wPyxR6q5u2UiR1FVEKhZxM1POYnSbB&#10;7GzY3cb47zuHQo+P973aTK5XI4XYeTbwMs9AEdfedtwYOFafz0tQMSFb7D2TgTtF2KxnDyvMrb/x&#10;gcYyNUpCOOZooE1pyLWOdUsO49wPxMJ9++AwCQyNtgFvEu56/Zpl79phx9LQ4kC7lupr+eMMFNXx&#10;XPRFrS/7cdiX91M4VMXFmKfHafsBKtGU/sV/7i8r8xdvi0weyB8Bo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Sf48MAAADfAAAADwAAAAAAAAAAAAAAAACYAgAAZHJzL2Rv&#10;d25yZXYueG1sUEsFBgAAAAAEAAQA9QAAAIgDAAAAAA==&#10;" path="m,l1200912,r,9144l,9144,,e" fillcolor="black" stroked="f" strokeweight="0">
                  <v:stroke miterlimit="83231f" joinstyle="miter"/>
                  <v:path arrowok="t" textboxrect="0,0,1200912,9144"/>
                </v:shape>
                <v:shape id="Shape 143401" o:spid="_x0000_s1028" style="position:absolute;left:1200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vLxMMA&#10;AADfAAAADwAAAGRycy9kb3ducmV2LnhtbERPTWsCMRC9F/wPYQRvNVEXLVujtIIggqC2hx6nm+nu&#10;0s1kTaKu/94IhR4f73u+7GwjLuRD7VjDaKhAEBfO1Fxq+PxYP7+ACBHZYOOYNNwowHLRe5pjbtyV&#10;D3Q5xlKkEA45aqhibHMpQ1GRxTB0LXHifpy3GBP0pTQeryncNnKs1FRarDk1VNjSqqLi93i2GtpT&#10;6b9Owbzz93m/nbHaULfLtB70u7dXEJG6+C/+c29Mmp9NMjWCx58E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vLxMMAAADfAAAADwAAAAAAAAAAAAAAAACYAgAAZHJzL2Rv&#10;d25yZXYueG1sUEsFBgAAAAAEAAQA9QAAAIgDAAAAAA==&#10;" path="m,l9144,r,9144l,9144,,e" fillcolor="black" stroked="f" strokeweight="0">
                  <v:stroke miterlimit="83231f" joinstyle="miter"/>
                  <v:path arrowok="t" textboxrect="0,0,9144,9144"/>
                </v:shape>
                <v:shape id="Shape 143402" o:spid="_x0000_s1029" style="position:absolute;left:12070;width:8504;height:91;visibility:visible;mso-wrap-style:square;v-text-anchor:top" coordsize="8503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6kqcQA&#10;AADfAAAADwAAAGRycy9kb3ducmV2LnhtbERPXWvCMBR9H/gfwhV8m6laZHRGGaJjsAfRDYZvl+a2&#10;DWtuSpPZbL/eCMIeD+d7tYm2FRfqvXGsYDbNQBCXThuuFXx+7B+fQPiArLF1TAp+ycNmPXpYYaHd&#10;wEe6nEItUgj7AhU0IXSFlL5syKKfuo44cZXrLYYE+1rqHocUbls5z7KltGg4NTTY0bah8vv0YxU4&#10;Z17/TLWLx+E9z8+xwsP5a6nUZBxfnkEEiuFffHe/6TQ/X+TZHG5/EgC5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upKnEAAAA3wAAAA8AAAAAAAAAAAAAAAAAmAIAAGRycy9k&#10;b3ducmV2LnhtbFBLBQYAAAAABAAEAPUAAACJAwAAAAA=&#10;" path="m,l850392,r,9144l,9144,,e" fillcolor="black" stroked="f" strokeweight="0">
                  <v:stroke miterlimit="83231f" joinstyle="miter"/>
                  <v:path arrowok="t" textboxrect="0,0,850392,9144"/>
                </v:shape>
                <v:shape id="Shape 143403" o:spid="_x0000_s1030" style="position:absolute;left:205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XwKMMA&#10;AADfAAAADwAAAGRycy9kb3ducmV2LnhtbERPTWsCMRC9F/wPYQreNGldrGyNYgVBBMGqB4/TzXR3&#10;6WayJlG3/74RhB4f73s672wjruRD7VjDy1CBIC6cqbnUcDysBhMQISIbbByThl8KMJ/1nqaYG3fj&#10;T7ruYylSCIccNVQxtrmUoajIYhi6ljhx385bjAn6UhqPtxRuG/mq1FharDk1VNjSsqLiZ3+xGtpz&#10;6U/nYD7467LbvLFaU7fNtO4/d4t3EJG6+C9+uNcmzc9GmRrB/U8CI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3XwKMMAAADfAAAADwAAAAAAAAAAAAAAAACYAgAAZHJzL2Rv&#10;d25yZXYueG1sUEsFBgAAAAAEAAQA9QAAAIgDAAAAAA==&#10;" path="m,l9144,r,9144l,9144,,e" fillcolor="black" stroked="f" strokeweight="0">
                  <v:stroke miterlimit="83231f" joinstyle="miter"/>
                  <v:path arrowok="t" textboxrect="0,0,9144,9144"/>
                </v:shape>
                <v:shape id="Shape 143404" o:spid="_x0000_s1031" style="position:absolute;left:20634;width:4512;height:91;visibility:visible;mso-wrap-style:square;v-text-anchor:top" coordsize="45110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w1TcUA&#10;AADfAAAADwAAAGRycy9kb3ducmV2LnhtbERPXWvCMBR9F/wP4Qp703RbJ1tnlCEIDhmo28N8uzTX&#10;pmtzU5Ko3b83g4GPh/M9W/S2FWfyoXas4H6SgSAuna65UvD1uRo/gwgRWWPrmBT8UoDFfDiYYaHd&#10;hXd03sdKpBAOBSowMXaFlKE0ZDFMXEecuKPzFmOCvpLa4yWF21Y+ZNlUWqw5NRjsaGmobPYnq8C3&#10;/qeJh5fq/eOw3ZjvaZc3xyel7kb92yuISH28if/da53m5495lsPfnwRA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vDVNxQAAAN8AAAAPAAAAAAAAAAAAAAAAAJgCAABkcnMv&#10;ZG93bnJldi54bWxQSwUGAAAAAAQABAD1AAAAigMAAAAA&#10;" path="m,l451104,r,9144l,9144,,e" fillcolor="black" stroked="f" strokeweight="0">
                  <v:stroke miterlimit="83231f" joinstyle="miter"/>
                  <v:path arrowok="t" textboxrect="0,0,451104,9144"/>
                </v:shape>
                <v:shape id="Shape 143405" o:spid="_x0000_s1032" style="position:absolute;left:25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DNx8MA&#10;AADfAAAADwAAAGRycy9kb3ducmV2LnhtbERPTWsCMRC9F/ofwhS8adK6VdkapRUEEYRWPXicbqa7&#10;SzeTNYm6/ntTEHp8vO/pvLONOJMPtWMNzwMFgrhwpuZSw3637E9AhIhssHFMGq4UYD57fJhibtyF&#10;v+i8jaVIIRxy1FDF2OZShqIii2HgWuLE/ThvMSboS2k8XlK4beSLUiNpsebUUGFLi4qK3+3JamiP&#10;pT8cg/ng79PnesxqRd0m07r31L2/gYjUxX/x3b0yaX42zNQr/P1JAO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DNx8MAAADfAAAADwAAAAAAAAAAAAAAAACYAgAAZHJzL2Rv&#10;d25yZXYueG1sUEsFBgAAAAAEAAQA9QAAAIgDAAAAAA==&#10;" path="m,l9144,r,9144l,9144,,e" fillcolor="black" stroked="f" strokeweight="0">
                  <v:stroke miterlimit="83231f" joinstyle="miter"/>
                  <v:path arrowok="t" textboxrect="0,0,9144,9144"/>
                </v:shape>
                <v:shape id="Shape 143406" o:spid="_x0000_s1033" style="position:absolute;left:25206;width:12269;height:91;visibility:visible;mso-wrap-style:square;v-text-anchor:top" coordsize="1226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3vMQA&#10;AADfAAAADwAAAGRycy9kb3ducmV2LnhtbERPyWrDMBC9F/IPYgK9lFhO6wTXtRxC04LJLcsHDNZ4&#10;IdbIWEri/H1VKPT4eHu+mUwvbjS6zrKCZRSDIK6s7rhRcD59L1IQziNr7C2Tggc52BSzpxwzbe98&#10;oNvRNyKEsMtQQev9kEnpqpYMusgOxIGr7WjQBzg2Uo94D+Gml69xvJYGOw4NLQ702VJ1OV6Ngu5r&#10;t1vVL4+kLNNln15pn77TXqnn+bT9AOFp8v/iP3epw/zkLYnX8PsnAJD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nd7zEAAAA3wAAAA8AAAAAAAAAAAAAAAAAmAIAAGRycy9k&#10;b3ducmV2LnhtbFBLBQYAAAAABAAEAPUAAACJAwAAAAA=&#10;" path="m,l1226820,r,9144l,9144,,e" fillcolor="black" stroked="f" strokeweight="0">
                  <v:stroke miterlimit="83231f" joinstyle="miter"/>
                  <v:path arrowok="t" textboxrect="0,0,1226820,9144"/>
                </v:shape>
                <v:shape id="Shape 143407" o:spid="_x0000_s1034" style="position:absolute;left:374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72K8MA&#10;AADfAAAADwAAAGRycy9kb3ducmV2LnhtbERPTWsCMRC9F/ofwgi91US7VFmNUgVBhEKrHjyOm3F3&#10;cTNZk6jrv28KhR4f73s672wjbuRD7VjDoK9AEBfO1Fxq2O9Wr2MQISIbbByThgcFmM+en6aYG3fn&#10;b7ptYylSCIccNVQxtrmUoajIYui7ljhxJ+ctxgR9KY3Hewq3jRwq9S4t1pwaKmxpWVFx3l6thvZS&#10;+sMlmAUfr1+bEas1dZ+Z1i+97mMCIlIX/8V/7rVJ87O3TI3g908CIG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72K8MAAADfAAAADwAAAAAAAAAAAAAAAACYAgAAZHJzL2Rv&#10;d25yZXYueG1sUEsFBgAAAAAEAAQA9QAAAIgDAAAAAA==&#10;" path="m,l9144,r,9144l,9144,,e" fillcolor="black" stroked="f" strokeweight="0">
                  <v:stroke miterlimit="83231f" joinstyle="miter"/>
                  <v:path arrowok="t" textboxrect="0,0,9144,9144"/>
                </v:shape>
                <v:shape id="Shape 143408" o:spid="_x0000_s1035" style="position:absolute;left:37536;width:23043;height:91;visibility:visible;mso-wrap-style:square;v-text-anchor:top" coordsize="2304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nVUsQA&#10;AADfAAAADwAAAGRycy9kb3ducmV2LnhtbERPS0vDQBC+C/6HZQRvdmMNUmK3pQo+DoJ9IT0O2WkS&#10;mp2N2TGN/945CB4/vvd8OYbWDNSnJrKD20kGhriMvuHKwX73fDMDkwTZYxuZHPxQguXi8mKOhY9n&#10;3tCwlcpoCKcCHdQiXWFtKmsKmCaxI1buGPuAorCvrO/xrOGhtdMsu7cBG9aGGjt6qqk8bb+DAzm9&#10;To9fw+aw/nj8fH/hmewk985dX42rBzBCo/yL/9xvXufnd3mmg/WPAr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Z1VLEAAAA3wAAAA8AAAAAAAAAAAAAAAAAmAIAAGRycy9k&#10;b3ducmV2LnhtbFBLBQYAAAAABAAEAPUAAACJAwAAAAA=&#10;" path="m,l2304288,r,9144l,9144,,e" fillcolor="black" stroked="f" strokeweight="0">
                  <v:stroke miterlimit="83231f" joinstyle="miter"/>
                  <v:path arrowok="t" textboxrect="0,0,2304288,9144"/>
                </v:shape>
                <v:shape id="Shape 143409" o:spid="_x0000_s1036" style="position:absolute;top:2575;width:12009;height:92;visibility:visible;mso-wrap-style:square;v-text-anchor:top" coordsize="12009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42fsMA&#10;AADfAAAADwAAAGRycy9kb3ducmV2LnhtbERPXWvCMBR9H/gfwhV8m6lTxHVGkYkw6JOt+nxt7tqy&#10;5qYksdZ/vwwGPh7O93o7mFb05HxjWcFsmoAgLq1uuFJwKg6vKxA+IGtsLZOCB3nYbkYva0y1vfOR&#10;+jxUIoawT1FBHUKXSunLmgz6qe2II/dtncEQoaukdniP4aaVb0mylAYbjg01dvRZU/mT34yCrDhd&#10;sjYr5XXfd/v8cXbHIrsqNRkPuw8QgYbwFP+7v3Scv5gvknf4+xMB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42fsMAAADfAAAADwAAAAAAAAAAAAAAAACYAgAAZHJzL2Rv&#10;d25yZXYueG1sUEsFBgAAAAAEAAQA9QAAAIgDAAAAAA==&#10;" path="m,l1200912,r,9144l,9144,,e" fillcolor="black" stroked="f" strokeweight="0">
                  <v:stroke miterlimit="83231f" joinstyle="miter"/>
                  <v:path arrowok="t" textboxrect="0,0,1200912,9144"/>
                </v:shape>
                <v:shape id="Shape 143410" o:spid="_x0000_s1037" style="position:absolute;left:12009;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74gsQA&#10;AADfAAAADwAAAGRycy9kb3ducmV2LnhtbERPS2vCQBC+C/6HZQq96cY2aEldxRYKUhB89NDjNDtN&#10;QrOzcXfV9N87B8Hjx/eeL3vXqjOF2Hg2MBlnoIhLbxuuDHwdPkYvoGJCtth6JgP/FGG5GA7mWFh/&#10;4R2d96lSEsKxQAN1Sl2hdSxrchjHviMW7tcHh0lgqLQNeJFw1+qnLJtqhw1LQ40dvddU/u1PzkB3&#10;rML3Mdo3/jltP2ecranf5MY8PvSrV1CJ+nQX39xrK/Pz53wiD+SPAN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ILEAAAA3wAAAA8AAAAAAAAAAAAAAAAAmAIAAGRycy9k&#10;b3ducmV2LnhtbFBLBQYAAAAABAAEAPUAAACJAwAAAAA=&#10;" path="m,l9144,r,9144l,9144,,e" fillcolor="black" stroked="f" strokeweight="0">
                  <v:stroke miterlimit="83231f" joinstyle="miter"/>
                  <v:path arrowok="t" textboxrect="0,0,9144,9144"/>
                </v:shape>
                <v:shape id="Shape 143411" o:spid="_x0000_s1038" style="position:absolute;left:12070;top:2575;width:8504;height:92;visibility:visible;mso-wrap-style:square;v-text-anchor:top" coordsize="8503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WsA8QA&#10;AADfAAAADwAAAGRycy9kb3ducmV2LnhtbERPXWvCMBR9F/Yfwh34pmlnkVGNImOTwR6GbiC+XZrb&#10;NtjclCbabL9+GQz2eDjf6220nbjR4I1jBfk8A0FcOW24UfD58TJ7BOEDssbOMSn4Ig/bzd1kjaV2&#10;Ix/odgyNSCHsS1TQhtCXUvqqJYt+7nrixNVusBgSHBqpBxxTuO3kQ5YtpUXDqaHFnp5aqi7Hq1Xg&#10;nNl/m/o5Hsa3ojjHGt/Pp6VS0/u4W4EIFMO/+M/9qtP8YlHkOfz+SQD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lrAPEAAAA3wAAAA8AAAAAAAAAAAAAAAAAmAIAAGRycy9k&#10;b3ducmV2LnhtbFBLBQYAAAAABAAEAPUAAACJAwAAAAA=&#10;" path="m,l850392,r,9144l,9144,,e" fillcolor="black" stroked="f" strokeweight="0">
                  <v:stroke miterlimit="83231f" joinstyle="miter"/>
                  <v:path arrowok="t" textboxrect="0,0,850392,9144"/>
                </v:shape>
                <v:shape id="Shape 143412" o:spid="_x0000_s1039" style="position:absolute;left:20574;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DDbsMA&#10;AADfAAAADwAAAGRycy9kb3ducmV2LnhtbERPW2vCMBR+H/gfwhF801RXdHRGcYOBCIKXPfh4bM7a&#10;YnNSk6j13xtB2OPHd5/OW1OLKzlfWVYwHCQgiHOrKy4U/O5/+h8gfEDWWFsmBXfyMJ913qaYaXvj&#10;LV13oRAxhH2GCsoQmkxKn5dk0A9sQxy5P+sMhghdIbXDWww3tRwlyVgarDg2lNjQd0n5aXcxCppz&#10;4Q5nr7/4eNmsJpwsqV2nSvW67eITRKA2/Itf7qWO89P3dDiC558I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DDbsMAAADfAAAADwAAAAAAAAAAAAAAAACYAgAAZHJzL2Rv&#10;d25yZXYueG1sUEsFBgAAAAAEAAQA9QAAAIgDAAAAAA==&#10;" path="m,l9144,r,9144l,9144,,e" fillcolor="black" stroked="f" strokeweight="0">
                  <v:stroke miterlimit="83231f" joinstyle="miter"/>
                  <v:path arrowok="t" textboxrect="0,0,9144,9144"/>
                </v:shape>
                <v:shape id="Shape 143413" o:spid="_x0000_s1040" style="position:absolute;left:20634;top:2575;width:4512;height:92;visibility:visible;mso-wrap-style:square;v-text-anchor:top" coordsize="45110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w75MUA&#10;AADfAAAADwAAAGRycy9kb3ducmV2LnhtbERPXWvCMBR9H/gfwhX2NlNnJ1qNIoPBxhg49UHfLs21&#10;qW1uSpJp9++XwWCPh/O9XPe2FVfyoXasYDzKQBCXTtdcKTjsXx5mIEJE1tg6JgXfFGC9GtwtsdDu&#10;xp903cVKpBAOBSowMXaFlKE0ZDGMXEecuLPzFmOCvpLa4y2F21Y+ZtlUWqw5NRjs6NlQ2ey+rALf&#10;+ksTT/Pq7eO0fTfHaZc35yel7of9ZgEiUh//xX/uV53m55N8PIHfPwm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DvkxQAAAN8AAAAPAAAAAAAAAAAAAAAAAJgCAABkcnMv&#10;ZG93bnJldi54bWxQSwUGAAAAAAQABAD1AAAAigMAAAAA&#10;" path="m,l451104,r,9144l,9144,,e" fillcolor="black" stroked="f" strokeweight="0">
                  <v:stroke miterlimit="83231f" joinstyle="miter"/>
                  <v:path arrowok="t" textboxrect="0,0,451104,9144"/>
                </v:shape>
                <v:shape id="Shape 143414" o:spid="_x0000_s1041" style="position:absolute;left:25146;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X+gcQA&#10;AADfAAAADwAAAGRycy9kb3ducmV2LnhtbERPXWvCMBR9F/Yfwh34pqlbcaMzLToYiCC4bg97vGvu&#10;2rLmpiZR6783guDj4XwvisF04kjOt5YVzKYJCOLK6pZrBd9fH5NXED4ga+wsk4IzeSjyh9ECM21P&#10;/EnHMtQihrDPUEETQp9J6auGDPqp7Ykj92edwRChq6V2eIrhppNPSTKXBluODQ329N5Q9V8ejIJ+&#10;X7ufvdcr/j3sNi+crGnYpkqNH4flG4hAQ7iLb+61jvPT53SWwvVPBCD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oHEAAAA3wAAAA8AAAAAAAAAAAAAAAAAmAIAAGRycy9k&#10;b3ducmV2LnhtbFBLBQYAAAAABAAEAPUAAACJAwAAAAA=&#10;" path="m,l9144,r,9144l,9144,,e" fillcolor="black" stroked="f" strokeweight="0">
                  <v:stroke miterlimit="83231f" joinstyle="miter"/>
                  <v:path arrowok="t" textboxrect="0,0,9144,9144"/>
                </v:shape>
                <v:shape id="Shape 143415" o:spid="_x0000_s1042" style="position:absolute;left:25206;top:2575;width:12269;height:92;visibility:visible;mso-wrap-style:square;v-text-anchor:top" coordsize="1226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x/FsMA&#10;AADfAAAADwAAAGRycy9kb3ducmV2LnhtbERPy4rCMBTdC/5DuIIbGdNqHTodo4gPKO505gMuzbUt&#10;NjeliVr/3ggDszyc93Ldm0bcqXO1ZQXxNAJBXFhdc6ng9+fwkYJwHlljY5kUPMnBejUcLDHT9sEn&#10;up99KUIIuwwVVN63mZSuqMigm9qWOHAX2xn0AXal1B0+Qrhp5CyKPqXBmkNDhS1tKyqu55tRUO93&#10;u8Vl8kzyPI2b9EbH9IuOSo1H/eYbhKfe/4v/3LkO85N5Ei/g/ScAkK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x/FsMAAADfAAAADwAAAAAAAAAAAAAAAACYAgAAZHJzL2Rv&#10;d25yZXYueG1sUEsFBgAAAAAEAAQA9QAAAIgDAAAAAA==&#10;" path="m,l1226820,r,9144l,9144,,e" fillcolor="black" stroked="f" strokeweight="0">
                  <v:stroke miterlimit="83231f" joinstyle="miter"/>
                  <v:path arrowok="t" textboxrect="0,0,1226820,9144"/>
                </v:shape>
                <v:shape id="Shape 143416" o:spid="_x0000_s1043" style="position:absolute;left:37475;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vFbcQA&#10;AADfAAAADwAAAGRycy9kb3ducmV2LnhtbERPXWvCMBR9H/gfwhX2NlNd0dGZFh0MZCDMugcfr81d&#10;W2xuahK1+/dmMNjj4Xwvi8F04krOt5YVTCcJCOLK6pZrBV/796cXED4ga+wsk4If8lDko4clZtre&#10;eEfXMtQihrDPUEETQp9J6auGDPqJ7Ykj922dwRChq6V2eIvhppOzJJlLgy3HhgZ7emuoOpUXo6A/&#10;1+5w9nrNx8vnx4KTDQ3bVKnH8bB6BRFoCP/iP/dGx/npczqdw++fCE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bxW3EAAAA3wAAAA8AAAAAAAAAAAAAAAAAmAIAAGRycy9k&#10;b3ducmV2LnhtbFBLBQYAAAAABAAEAPUAAACJAwAAAAA=&#10;" path="m,l9144,r,9144l,9144,,e" fillcolor="black" stroked="f" strokeweight="0">
                  <v:stroke miterlimit="83231f" joinstyle="miter"/>
                  <v:path arrowok="t" textboxrect="0,0,9144,9144"/>
                </v:shape>
                <v:shape id="Shape 143417" o:spid="_x0000_s1044" style="position:absolute;left:37536;top:2575;width:23043;height:92;visibility:visible;mso-wrap-style:square;v-text-anchor:top" coordsize="2304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X/cUA&#10;AADfAAAADwAAAGRycy9kb3ducmV2LnhtbERPTWvCQBC9F/wPywi91Y02tBJdxRZaPRSsWkqPQ3ZM&#10;gtnZNDuN8d+7hUKPj/c9X/auVh21ofJsYDxKQBHn3lZcGPg4vNxNQQVBtlh7JgMXCrBcDG7mmFl/&#10;5h11eylUDOGQoYFSpMm0DnlJDsPIN8SRO/rWoUTYFtq2eI7hrtaTJHnQDiuODSU29FxSftr/OANy&#10;Wk+O393u63379Pn2ylM5SGqNuR32qxkooV7+xX/ujY3z0/t0/Ai/fyIAv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39f9xQAAAN8AAAAPAAAAAAAAAAAAAAAAAJgCAABkcnMv&#10;ZG93bnJldi54bWxQSwUGAAAAAAQABAD1AAAAigMAAAAA&#10;" path="m,l2304288,r,9144l,9144,,e" fillcolor="black" stroked="f" strokeweight="0">
                  <v:stroke miterlimit="83231f" joinstyle="miter"/>
                  <v:path arrowok="t" textboxrect="0,0,2304288,9144"/>
                </v:shape>
              </v:group>
            </w:pict>
          </mc:Fallback>
        </mc:AlternateContent>
      </w:r>
      <w:r>
        <w:rPr>
          <w:rFonts w:ascii="Calibri" w:eastAsia="Calibri" w:hAnsi="Calibri" w:cs="Calibri"/>
          <w:sz w:val="22"/>
        </w:rPr>
        <w:tab/>
      </w:r>
      <w:r>
        <w:t xml:space="preserve">Theme </w:t>
      </w:r>
      <w:r>
        <w:tab/>
        <w:t xml:space="preserve">Group </w:t>
      </w:r>
      <w:r>
        <w:tab/>
      </w:r>
      <w:r>
        <w:rPr>
          <w:i/>
        </w:rPr>
        <w:t xml:space="preserve">n </w:t>
      </w:r>
      <w:r>
        <w:rPr>
          <w:i/>
        </w:rPr>
        <w:tab/>
      </w:r>
      <w:r>
        <w:t xml:space="preserve">Category </w:t>
      </w:r>
      <w:r>
        <w:tab/>
        <w:t xml:space="preserve">Example Responses </w:t>
      </w:r>
    </w:p>
    <w:tbl>
      <w:tblPr>
        <w:tblStyle w:val="TableGrid"/>
        <w:tblW w:w="9190" w:type="dxa"/>
        <w:tblInd w:w="555" w:type="dxa"/>
        <w:tblCellMar>
          <w:top w:w="0" w:type="dxa"/>
          <w:left w:w="0" w:type="dxa"/>
          <w:bottom w:w="0" w:type="dxa"/>
          <w:right w:w="0" w:type="dxa"/>
        </w:tblCellMar>
        <w:tblLook w:val="04A0" w:firstRow="1" w:lastRow="0" w:firstColumn="1" w:lastColumn="0" w:noHBand="0" w:noVBand="1"/>
      </w:tblPr>
      <w:tblGrid>
        <w:gridCol w:w="1889"/>
        <w:gridCol w:w="1351"/>
        <w:gridCol w:w="720"/>
        <w:gridCol w:w="1941"/>
        <w:gridCol w:w="3289"/>
      </w:tblGrid>
      <w:tr w:rsidR="0023438A">
        <w:trPr>
          <w:trHeight w:val="4003"/>
        </w:trPr>
        <w:tc>
          <w:tcPr>
            <w:tcW w:w="1889" w:type="dxa"/>
            <w:tcBorders>
              <w:top w:val="nil"/>
              <w:left w:val="nil"/>
              <w:bottom w:val="nil"/>
              <w:right w:val="nil"/>
            </w:tcBorders>
          </w:tcPr>
          <w:p w:rsidR="0023438A" w:rsidRDefault="00A02C86">
            <w:pPr>
              <w:spacing w:after="0" w:line="259" w:lineRule="auto"/>
              <w:ind w:left="0" w:firstLine="0"/>
            </w:pPr>
            <w:r>
              <w:t xml:space="preserve">Collaboration </w:t>
            </w:r>
          </w:p>
        </w:tc>
        <w:tc>
          <w:tcPr>
            <w:tcW w:w="1351" w:type="dxa"/>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720" w:type="dxa"/>
            <w:tcBorders>
              <w:top w:val="nil"/>
              <w:left w:val="nil"/>
              <w:bottom w:val="nil"/>
              <w:right w:val="nil"/>
            </w:tcBorders>
          </w:tcPr>
          <w:p w:rsidR="0023438A" w:rsidRDefault="00A02C86">
            <w:pPr>
              <w:spacing w:after="96" w:line="259" w:lineRule="auto"/>
              <w:ind w:left="0" w:firstLine="0"/>
            </w:pPr>
            <w:r>
              <w:t xml:space="preserve">39 </w:t>
            </w:r>
          </w:p>
          <w:p w:rsidR="0023438A" w:rsidRDefault="00A02C86">
            <w:pPr>
              <w:spacing w:after="0" w:line="259" w:lineRule="auto"/>
              <w:ind w:left="0" w:firstLine="0"/>
            </w:pPr>
            <w:r>
              <w:t xml:space="preserve">25 </w:t>
            </w:r>
          </w:p>
        </w:tc>
        <w:tc>
          <w:tcPr>
            <w:tcW w:w="1941" w:type="dxa"/>
            <w:tcBorders>
              <w:top w:val="nil"/>
              <w:left w:val="nil"/>
              <w:bottom w:val="nil"/>
              <w:right w:val="nil"/>
            </w:tcBorders>
          </w:tcPr>
          <w:p w:rsidR="0023438A" w:rsidRDefault="00A02C86">
            <w:pPr>
              <w:spacing w:after="0" w:line="259" w:lineRule="auto"/>
              <w:ind w:left="0" w:firstLine="0"/>
            </w:pPr>
            <w:r>
              <w:t xml:space="preserve">Partnerships </w:t>
            </w:r>
          </w:p>
        </w:tc>
        <w:tc>
          <w:tcPr>
            <w:tcW w:w="3289" w:type="dxa"/>
            <w:tcBorders>
              <w:top w:val="nil"/>
              <w:left w:val="nil"/>
              <w:bottom w:val="nil"/>
              <w:right w:val="nil"/>
            </w:tcBorders>
          </w:tcPr>
          <w:p w:rsidR="0023438A" w:rsidRDefault="00A02C86">
            <w:pPr>
              <w:spacing w:after="120" w:line="238" w:lineRule="auto"/>
              <w:ind w:left="0" w:firstLine="0"/>
              <w:jc w:val="both"/>
            </w:pPr>
            <w:r>
              <w:t xml:space="preserve">Build partnerships that will benefit both groups. </w:t>
            </w:r>
          </w:p>
          <w:p w:rsidR="0023438A" w:rsidRDefault="00A02C86">
            <w:pPr>
              <w:spacing w:after="120" w:line="238" w:lineRule="auto"/>
              <w:ind w:left="0" w:firstLine="0"/>
            </w:pPr>
            <w:r>
              <w:t xml:space="preserve">Work together on a more creative approach that allows an opportunity for apprenticeships that are college-connected and degree related in high growth/high wage industries. </w:t>
            </w:r>
          </w:p>
          <w:p w:rsidR="0023438A" w:rsidRDefault="00A02C86">
            <w:pPr>
              <w:spacing w:after="120" w:line="238" w:lineRule="auto"/>
              <w:ind w:left="0" w:firstLine="0"/>
            </w:pPr>
            <w:r>
              <w:t>Higher education should hold rou</w:t>
            </w:r>
            <w:r>
              <w:t xml:space="preserve">nd tables with employers… </w:t>
            </w:r>
          </w:p>
          <w:p w:rsidR="0023438A" w:rsidRDefault="00A02C86">
            <w:pPr>
              <w:spacing w:after="0" w:line="259" w:lineRule="auto"/>
              <w:ind w:left="0" w:firstLine="0"/>
            </w:pPr>
            <w:r>
              <w:t xml:space="preserve">Partner with Unions and employers on recruitment and placement… </w:t>
            </w:r>
          </w:p>
        </w:tc>
      </w:tr>
      <w:tr w:rsidR="0023438A">
        <w:trPr>
          <w:trHeight w:val="1896"/>
        </w:trPr>
        <w:tc>
          <w:tcPr>
            <w:tcW w:w="1889" w:type="dxa"/>
            <w:tcBorders>
              <w:top w:val="nil"/>
              <w:left w:val="nil"/>
              <w:bottom w:val="nil"/>
              <w:right w:val="nil"/>
            </w:tcBorders>
          </w:tcPr>
          <w:p w:rsidR="0023438A" w:rsidRDefault="00A02C86">
            <w:pPr>
              <w:spacing w:after="0" w:line="259" w:lineRule="auto"/>
              <w:ind w:left="0" w:firstLine="0"/>
            </w:pPr>
            <w:r>
              <w:lastRenderedPageBreak/>
              <w:t xml:space="preserve"> </w:t>
            </w:r>
          </w:p>
        </w:tc>
        <w:tc>
          <w:tcPr>
            <w:tcW w:w="1351" w:type="dxa"/>
            <w:tcBorders>
              <w:top w:val="nil"/>
              <w:left w:val="nil"/>
              <w:bottom w:val="nil"/>
              <w:right w:val="nil"/>
            </w:tcBorders>
          </w:tcPr>
          <w:p w:rsidR="0023438A" w:rsidRDefault="00A02C86">
            <w:pPr>
              <w:spacing w:after="0" w:line="259" w:lineRule="auto"/>
              <w:ind w:left="0" w:firstLine="0"/>
            </w:pPr>
            <w:r>
              <w:t xml:space="preserve"> </w:t>
            </w:r>
          </w:p>
        </w:tc>
        <w:tc>
          <w:tcPr>
            <w:tcW w:w="720" w:type="dxa"/>
            <w:tcBorders>
              <w:top w:val="nil"/>
              <w:left w:val="nil"/>
              <w:bottom w:val="nil"/>
              <w:right w:val="nil"/>
            </w:tcBorders>
          </w:tcPr>
          <w:p w:rsidR="0023438A" w:rsidRDefault="00A02C86">
            <w:pPr>
              <w:spacing w:after="0" w:line="259" w:lineRule="auto"/>
              <w:ind w:left="0" w:firstLine="0"/>
            </w:pPr>
            <w:r>
              <w:t xml:space="preserve"> </w:t>
            </w:r>
          </w:p>
        </w:tc>
        <w:tc>
          <w:tcPr>
            <w:tcW w:w="1941" w:type="dxa"/>
            <w:tcBorders>
              <w:top w:val="nil"/>
              <w:left w:val="nil"/>
              <w:bottom w:val="nil"/>
              <w:right w:val="nil"/>
            </w:tcBorders>
          </w:tcPr>
          <w:p w:rsidR="0023438A" w:rsidRDefault="00A02C86">
            <w:pPr>
              <w:spacing w:after="0" w:line="259" w:lineRule="auto"/>
              <w:ind w:left="0" w:right="230" w:firstLine="0"/>
            </w:pPr>
            <w:r>
              <w:t xml:space="preserve">Increased training </w:t>
            </w:r>
          </w:p>
        </w:tc>
        <w:tc>
          <w:tcPr>
            <w:tcW w:w="3289" w:type="dxa"/>
            <w:tcBorders>
              <w:top w:val="nil"/>
              <w:left w:val="nil"/>
              <w:bottom w:val="nil"/>
              <w:right w:val="nil"/>
            </w:tcBorders>
          </w:tcPr>
          <w:p w:rsidR="0023438A" w:rsidRDefault="00A02C86">
            <w:pPr>
              <w:spacing w:after="120" w:line="238" w:lineRule="auto"/>
              <w:ind w:left="0" w:firstLine="0"/>
            </w:pPr>
            <w:r>
              <w:t xml:space="preserve">Have workshops within the school for employers </w:t>
            </w:r>
          </w:p>
          <w:p w:rsidR="0023438A" w:rsidRDefault="00A02C86">
            <w:pPr>
              <w:spacing w:after="0" w:line="238" w:lineRule="auto"/>
              <w:ind w:left="0" w:firstLine="0"/>
            </w:pPr>
            <w:r>
              <w:t xml:space="preserve">Offer flexible targeted training programs that provide both the </w:t>
            </w:r>
          </w:p>
          <w:p w:rsidR="0023438A" w:rsidRDefault="00A02C86">
            <w:pPr>
              <w:spacing w:after="0" w:line="259" w:lineRule="auto"/>
              <w:ind w:left="0" w:firstLine="0"/>
            </w:pPr>
            <w:r>
              <w:t xml:space="preserve">employer and school beneficial </w:t>
            </w:r>
          </w:p>
          <w:p w:rsidR="0023438A" w:rsidRDefault="00A02C86">
            <w:pPr>
              <w:spacing w:after="0" w:line="259" w:lineRule="auto"/>
              <w:ind w:left="0" w:firstLine="0"/>
            </w:pPr>
            <w:proofErr w:type="gramStart"/>
            <w:r>
              <w:t>outcomes</w:t>
            </w:r>
            <w:proofErr w:type="gramEnd"/>
            <w:r>
              <w:t xml:space="preserve">… </w:t>
            </w:r>
          </w:p>
        </w:tc>
      </w:tr>
      <w:tr w:rsidR="0023438A">
        <w:trPr>
          <w:trHeight w:val="1711"/>
        </w:trPr>
        <w:tc>
          <w:tcPr>
            <w:tcW w:w="1889" w:type="dxa"/>
            <w:tcBorders>
              <w:top w:val="nil"/>
              <w:left w:val="nil"/>
              <w:bottom w:val="nil"/>
              <w:right w:val="nil"/>
            </w:tcBorders>
          </w:tcPr>
          <w:p w:rsidR="0023438A" w:rsidRDefault="00A02C86">
            <w:pPr>
              <w:spacing w:after="0" w:line="259" w:lineRule="auto"/>
              <w:ind w:left="0" w:firstLine="0"/>
            </w:pPr>
            <w:r>
              <w:t xml:space="preserve"> </w:t>
            </w:r>
          </w:p>
        </w:tc>
        <w:tc>
          <w:tcPr>
            <w:tcW w:w="1351" w:type="dxa"/>
            <w:tcBorders>
              <w:top w:val="nil"/>
              <w:left w:val="nil"/>
              <w:bottom w:val="nil"/>
              <w:right w:val="nil"/>
            </w:tcBorders>
          </w:tcPr>
          <w:p w:rsidR="0023438A" w:rsidRDefault="00A02C86">
            <w:pPr>
              <w:spacing w:after="0" w:line="259" w:lineRule="auto"/>
              <w:ind w:left="0" w:firstLine="0"/>
            </w:pPr>
            <w:r>
              <w:t xml:space="preserve"> </w:t>
            </w:r>
          </w:p>
        </w:tc>
        <w:tc>
          <w:tcPr>
            <w:tcW w:w="720" w:type="dxa"/>
            <w:tcBorders>
              <w:top w:val="nil"/>
              <w:left w:val="nil"/>
              <w:bottom w:val="nil"/>
              <w:right w:val="nil"/>
            </w:tcBorders>
          </w:tcPr>
          <w:p w:rsidR="0023438A" w:rsidRDefault="00A02C86">
            <w:pPr>
              <w:spacing w:after="0" w:line="259" w:lineRule="auto"/>
              <w:ind w:left="0" w:firstLine="0"/>
            </w:pPr>
            <w:r>
              <w:t xml:space="preserve"> </w:t>
            </w:r>
          </w:p>
        </w:tc>
        <w:tc>
          <w:tcPr>
            <w:tcW w:w="1941" w:type="dxa"/>
            <w:tcBorders>
              <w:top w:val="nil"/>
              <w:left w:val="nil"/>
              <w:bottom w:val="nil"/>
              <w:right w:val="nil"/>
            </w:tcBorders>
          </w:tcPr>
          <w:p w:rsidR="0023438A" w:rsidRDefault="00A02C86">
            <w:pPr>
              <w:spacing w:after="0" w:line="259" w:lineRule="auto"/>
              <w:ind w:left="0" w:firstLine="0"/>
            </w:pPr>
            <w:r>
              <w:t xml:space="preserve">Solutions </w:t>
            </w:r>
          </w:p>
        </w:tc>
        <w:tc>
          <w:tcPr>
            <w:tcW w:w="3289" w:type="dxa"/>
            <w:tcBorders>
              <w:top w:val="nil"/>
              <w:left w:val="nil"/>
              <w:bottom w:val="nil"/>
              <w:right w:val="nil"/>
            </w:tcBorders>
          </w:tcPr>
          <w:p w:rsidR="0023438A" w:rsidRDefault="00A02C86">
            <w:pPr>
              <w:spacing w:after="0" w:line="259" w:lineRule="auto"/>
              <w:ind w:left="0" w:right="16" w:firstLine="0"/>
            </w:pPr>
            <w:r>
              <w:t xml:space="preserve">Both are independent businesses and have their best interest in mind. They would have to be able to mutually benefit from this process, or no one would want to participate. </w:t>
            </w:r>
          </w:p>
        </w:tc>
      </w:tr>
    </w:tbl>
    <w:p w:rsidR="0023438A" w:rsidRDefault="00A02C86">
      <w:pPr>
        <w:spacing w:line="238" w:lineRule="auto"/>
        <w:ind w:left="6467" w:right="777"/>
      </w:pPr>
      <w:r>
        <w:t xml:space="preserve">Have a task force committee or advisory board that meets monthly to assess needs, implement strategies, and discuss outcomes (successes and failures).  </w:t>
      </w:r>
    </w:p>
    <w:p w:rsidR="0023438A" w:rsidRDefault="00A02C86">
      <w:pPr>
        <w:tabs>
          <w:tab w:val="center" w:pos="888"/>
          <w:tab w:val="center" w:pos="2749"/>
          <w:tab w:val="center" w:pos="3855"/>
          <w:tab w:val="center" w:pos="4953"/>
          <w:tab w:val="center" w:pos="7413"/>
        </w:tabs>
        <w:spacing w:line="259" w:lineRule="auto"/>
        <w:ind w:left="0" w:firstLine="0"/>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165100</wp:posOffset>
                </wp:positionH>
                <wp:positionV relativeFrom="paragraph">
                  <wp:posOffset>-7444</wp:posOffset>
                </wp:positionV>
                <wp:extent cx="6057900" cy="263652"/>
                <wp:effectExtent l="0" t="0" r="0" b="0"/>
                <wp:wrapNone/>
                <wp:docPr id="106802" name="Group 106802"/>
                <wp:cNvGraphicFramePr/>
                <a:graphic xmlns:a="http://schemas.openxmlformats.org/drawingml/2006/main">
                  <a:graphicData uri="http://schemas.microsoft.com/office/word/2010/wordprocessingGroup">
                    <wpg:wgp>
                      <wpg:cNvGrpSpPr/>
                      <wpg:grpSpPr>
                        <a:xfrm>
                          <a:off x="0" y="0"/>
                          <a:ext cx="6057900" cy="263652"/>
                          <a:chOff x="0" y="0"/>
                          <a:chExt cx="6057900" cy="263652"/>
                        </a:xfrm>
                      </wpg:grpSpPr>
                      <wps:wsp>
                        <wps:cNvPr id="143418" name="Shape 143418"/>
                        <wps:cNvSpPr/>
                        <wps:spPr>
                          <a:xfrm>
                            <a:off x="0" y="0"/>
                            <a:ext cx="1200912" cy="9144"/>
                          </a:xfrm>
                          <a:custGeom>
                            <a:avLst/>
                            <a:gdLst/>
                            <a:ahLst/>
                            <a:cxnLst/>
                            <a:rect l="0" t="0" r="0" b="0"/>
                            <a:pathLst>
                              <a:path w="1200912" h="9144">
                                <a:moveTo>
                                  <a:pt x="0" y="0"/>
                                </a:moveTo>
                                <a:lnTo>
                                  <a:pt x="1200912" y="0"/>
                                </a:lnTo>
                                <a:lnTo>
                                  <a:pt x="12009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19" name="Shape 143419"/>
                        <wps:cNvSpPr/>
                        <wps:spPr>
                          <a:xfrm>
                            <a:off x="12009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0" name="Shape 143420"/>
                        <wps:cNvSpPr/>
                        <wps:spPr>
                          <a:xfrm>
                            <a:off x="1207008" y="0"/>
                            <a:ext cx="850392" cy="9144"/>
                          </a:xfrm>
                          <a:custGeom>
                            <a:avLst/>
                            <a:gdLst/>
                            <a:ahLst/>
                            <a:cxnLst/>
                            <a:rect l="0" t="0" r="0" b="0"/>
                            <a:pathLst>
                              <a:path w="850392" h="9144">
                                <a:moveTo>
                                  <a:pt x="0" y="0"/>
                                </a:moveTo>
                                <a:lnTo>
                                  <a:pt x="850392" y="0"/>
                                </a:lnTo>
                                <a:lnTo>
                                  <a:pt x="8503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1" name="Shape 143421"/>
                        <wps:cNvSpPr/>
                        <wps:spPr>
                          <a:xfrm>
                            <a:off x="2057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2" name="Shape 143422"/>
                        <wps:cNvSpPr/>
                        <wps:spPr>
                          <a:xfrm>
                            <a:off x="2063496" y="0"/>
                            <a:ext cx="451104" cy="9144"/>
                          </a:xfrm>
                          <a:custGeom>
                            <a:avLst/>
                            <a:gdLst/>
                            <a:ahLst/>
                            <a:cxnLst/>
                            <a:rect l="0" t="0" r="0" b="0"/>
                            <a:pathLst>
                              <a:path w="451104" h="9144">
                                <a:moveTo>
                                  <a:pt x="0" y="0"/>
                                </a:moveTo>
                                <a:lnTo>
                                  <a:pt x="451104" y="0"/>
                                </a:lnTo>
                                <a:lnTo>
                                  <a:pt x="4511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3" name="Shape 143423"/>
                        <wps:cNvSpPr/>
                        <wps:spPr>
                          <a:xfrm>
                            <a:off x="25146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4" name="Shape 143424"/>
                        <wps:cNvSpPr/>
                        <wps:spPr>
                          <a:xfrm>
                            <a:off x="2520696" y="0"/>
                            <a:ext cx="1226820" cy="9144"/>
                          </a:xfrm>
                          <a:custGeom>
                            <a:avLst/>
                            <a:gdLst/>
                            <a:ahLst/>
                            <a:cxnLst/>
                            <a:rect l="0" t="0" r="0" b="0"/>
                            <a:pathLst>
                              <a:path w="1226820" h="9144">
                                <a:moveTo>
                                  <a:pt x="0" y="0"/>
                                </a:moveTo>
                                <a:lnTo>
                                  <a:pt x="1226820" y="0"/>
                                </a:lnTo>
                                <a:lnTo>
                                  <a:pt x="12268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5" name="Shape 143425"/>
                        <wps:cNvSpPr/>
                        <wps:spPr>
                          <a:xfrm>
                            <a:off x="374751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6" name="Shape 143426"/>
                        <wps:cNvSpPr/>
                        <wps:spPr>
                          <a:xfrm>
                            <a:off x="3753612" y="0"/>
                            <a:ext cx="2304288" cy="9144"/>
                          </a:xfrm>
                          <a:custGeom>
                            <a:avLst/>
                            <a:gdLst/>
                            <a:ahLst/>
                            <a:cxnLst/>
                            <a:rect l="0" t="0" r="0" b="0"/>
                            <a:pathLst>
                              <a:path w="2304288" h="9144">
                                <a:moveTo>
                                  <a:pt x="0" y="0"/>
                                </a:moveTo>
                                <a:lnTo>
                                  <a:pt x="2304288" y="0"/>
                                </a:lnTo>
                                <a:lnTo>
                                  <a:pt x="2304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7" name="Shape 143427"/>
                        <wps:cNvSpPr/>
                        <wps:spPr>
                          <a:xfrm>
                            <a:off x="0" y="257556"/>
                            <a:ext cx="1200912" cy="9144"/>
                          </a:xfrm>
                          <a:custGeom>
                            <a:avLst/>
                            <a:gdLst/>
                            <a:ahLst/>
                            <a:cxnLst/>
                            <a:rect l="0" t="0" r="0" b="0"/>
                            <a:pathLst>
                              <a:path w="1200912" h="9144">
                                <a:moveTo>
                                  <a:pt x="0" y="0"/>
                                </a:moveTo>
                                <a:lnTo>
                                  <a:pt x="1200912" y="0"/>
                                </a:lnTo>
                                <a:lnTo>
                                  <a:pt x="12009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8" name="Shape 143428"/>
                        <wps:cNvSpPr/>
                        <wps:spPr>
                          <a:xfrm>
                            <a:off x="1200912"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29" name="Shape 143429"/>
                        <wps:cNvSpPr/>
                        <wps:spPr>
                          <a:xfrm>
                            <a:off x="1207008" y="257556"/>
                            <a:ext cx="850392" cy="9144"/>
                          </a:xfrm>
                          <a:custGeom>
                            <a:avLst/>
                            <a:gdLst/>
                            <a:ahLst/>
                            <a:cxnLst/>
                            <a:rect l="0" t="0" r="0" b="0"/>
                            <a:pathLst>
                              <a:path w="850392" h="9144">
                                <a:moveTo>
                                  <a:pt x="0" y="0"/>
                                </a:moveTo>
                                <a:lnTo>
                                  <a:pt x="850392" y="0"/>
                                </a:lnTo>
                                <a:lnTo>
                                  <a:pt x="8503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0" name="Shape 143430"/>
                        <wps:cNvSpPr/>
                        <wps:spPr>
                          <a:xfrm>
                            <a:off x="2057400"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1" name="Shape 143431"/>
                        <wps:cNvSpPr/>
                        <wps:spPr>
                          <a:xfrm>
                            <a:off x="2063496" y="257556"/>
                            <a:ext cx="451104" cy="9144"/>
                          </a:xfrm>
                          <a:custGeom>
                            <a:avLst/>
                            <a:gdLst/>
                            <a:ahLst/>
                            <a:cxnLst/>
                            <a:rect l="0" t="0" r="0" b="0"/>
                            <a:pathLst>
                              <a:path w="451104" h="9144">
                                <a:moveTo>
                                  <a:pt x="0" y="0"/>
                                </a:moveTo>
                                <a:lnTo>
                                  <a:pt x="451104" y="0"/>
                                </a:lnTo>
                                <a:lnTo>
                                  <a:pt x="4511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2" name="Shape 143432"/>
                        <wps:cNvSpPr/>
                        <wps:spPr>
                          <a:xfrm>
                            <a:off x="2514600"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3" name="Shape 143433"/>
                        <wps:cNvSpPr/>
                        <wps:spPr>
                          <a:xfrm>
                            <a:off x="2520696" y="257556"/>
                            <a:ext cx="1226820" cy="9144"/>
                          </a:xfrm>
                          <a:custGeom>
                            <a:avLst/>
                            <a:gdLst/>
                            <a:ahLst/>
                            <a:cxnLst/>
                            <a:rect l="0" t="0" r="0" b="0"/>
                            <a:pathLst>
                              <a:path w="1226820" h="9144">
                                <a:moveTo>
                                  <a:pt x="0" y="0"/>
                                </a:moveTo>
                                <a:lnTo>
                                  <a:pt x="1226820" y="0"/>
                                </a:lnTo>
                                <a:lnTo>
                                  <a:pt x="12268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4" name="Shape 143434"/>
                        <wps:cNvSpPr/>
                        <wps:spPr>
                          <a:xfrm>
                            <a:off x="3747516" y="2575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35" name="Shape 143435"/>
                        <wps:cNvSpPr/>
                        <wps:spPr>
                          <a:xfrm>
                            <a:off x="3753612" y="257556"/>
                            <a:ext cx="2304288" cy="9144"/>
                          </a:xfrm>
                          <a:custGeom>
                            <a:avLst/>
                            <a:gdLst/>
                            <a:ahLst/>
                            <a:cxnLst/>
                            <a:rect l="0" t="0" r="0" b="0"/>
                            <a:pathLst>
                              <a:path w="2304288" h="9144">
                                <a:moveTo>
                                  <a:pt x="0" y="0"/>
                                </a:moveTo>
                                <a:lnTo>
                                  <a:pt x="2304288" y="0"/>
                                </a:lnTo>
                                <a:lnTo>
                                  <a:pt x="2304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96EC3E8" id="Group 106802" o:spid="_x0000_s1026" style="position:absolute;margin-left:13pt;margin-top:-.6pt;width:477pt;height:20.75pt;z-index:-251655168" coordsize="60579,2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yD1cgUAAKdDAAAOAAAAZHJzL2Uyb0RvYy54bWzsnFtvpDYUx98r9Tsg3pvhPhdlsg/dNi9V&#10;u9rdfgCHgQGJm4DMJN++x8fYuBNPgEEq1cZ5CB5zOBwf/PMfsMX9p5c8M05R3aRlsTftO8s0oiIs&#10;D2lx3Jt/f//9l41pNC0pDiQri2hvvkaN+enh55/uz9UucsqkzA5RbYCTotmdq72ZtG21W62aMIly&#10;0tyVVVTAzrisc9LCz/q4OtTkDN7zbOVYVrA6l/Whqsswahqo/cx2mg/oP46jsP0rjpuoNbK9CbG1&#10;+L/G/0/0/+rhnuyONamSNOzCIDdEkZO0gJMKV59JS4znOn3jKk/DumzKuL0Ly3xVxnEaRtgGaI1t&#10;XbTmsS6fK2zLcXc+ViJNkNqLPN3sNvzz9KU20gNcOyvYWI5pFCSH64SnNro6SNK5Ou7A9rGuvlVf&#10;6q7iyH7Rdr/EdU630CLjBdP7KtIbvbRGCJWB5a+3FlyFEPY5gRv4Dst/mMBFenNYmPz2/oErftoV&#10;jU4Ec66gKzV9tpp52fqWkCrCi9DQDPBsea5nQ99m2UIbw2Z1mBy0Falqdg1kbWyebOjYWxsuBc3T&#10;1vY8miXRWLILn5v2MSox3+T0R9PCbuh5B14iCS+FLwUv1oDCuxBUpKXHUVe0aJyhS/BAki4OujMv&#10;T9H3Es3ai2sGMfZ7s0K2Eq54twBbbsG3FfqTLaXGcyO+ZcbQmf6dI76bb2UzpF2cFwq0nZhZ0Xao&#10;lLObFTQNtMcSGJvijLQIeZ62MGhlaU5TtLagS7MLlBXgjXY/drWx1L5mEU1WVnyNYgAN4aAVTX18&#10;+jWrjROhQxP+oXOSVQnpaju/nSmGin7o8XGaZcKljYeqXLLIOmN6XISjojjSYkeGXTRsaIQBBhrN&#10;B0hIijgIz1wWrTi+gGEdw5RaS4tP5eEVBwpMCPBIx5D/CsytAswtjZKGABAPgyn3wk4l+DCGnXJx&#10;NlkU88FkfgapFGZY4N2dEa5ibaRZTw51pZGUx4cfCkkHxpNLrYS6iUjCWAuayzsrDEvdDcLGt9zt&#10;/0AweRzzseSeeFsBDY4Z3zJpkwxHMjfSTKP5QdTSsRVo2pPQdODO3qN39ry79mhib9NqeQ1fljON&#10;pL6BlZ8sHfEc3j9ZQt0UtXSswPW2gQpJz7dty1v+8ZLHMV8tuSc+/FxVS8lwJHMjzbRafhS1dBVq&#10;6U5D07e9QKslvItgt7DsFgHYHcnaSDON5EdBErTszbMlvjQd/brH8UEv1WppO06woY+vy7+N7QKZ&#10;r5eiTYOCKVuO5G6kmcbzo+DpK/D0Jymmu/bWvq28mcXetjibLIr5YDI/g1QKMyzot7F6gkQ1fXx9&#10;5tIBlN4oZjARSd8N6CQl76z9Kx/HtTxnAy9ql1ZMEch8MIUr3tyrj5iypcYTJ3U0nhPxXCvwXE/C&#10;k71XdPy17yPXPZ1iZnNpOkUg8+kUrgbplC01nZrOq2uv3hFPxbIfZzOJTrkXqhhl93dLA8qimE8n&#10;8zOIpjDDgr6p1ao5UTUVq36cyat+xBIDFZd8sn1pMnkc89nkngbplAw1n1o3b9BNF+5JLx86oW7a&#10;pGa/zkDFJ5OQpelkUcxnk/kZJFOYYUHrptbNabrpKtb/QN00LvvFBiou+bT70mTyOOazyT0N0ikZ&#10;aj61bt6im4rFQO7ExUDSigMVn0xClqaTRTGfTeZnkExhhgWtm1o3J+qmYiWQO3UlUL/sQMWlmH1f&#10;Gk0RyHw6hatBQGVLzajWzlu0U7E0yJ22NEhee6BilMnI0oCyKObTyfwMoinMsKC1U2vnRO1UrAly&#10;p64J6hcgqLgU8/BLoykCmU+ncDUIqGypGf2RtBM/dgBfg8A2dV+uoJ+bkH9DWf6+xsM/AAAA//8D&#10;AFBLAwQUAAYACAAAACEAxcbxO+AAAAAIAQAADwAAAGRycy9kb3ducmV2LnhtbEyPwU7DMBBE70j8&#10;g7VI3Fo7KVQlZFNVFXCqkGiREDc33iZR43UUu0n695gTHGdnNfMmX0+2FQP1vnGMkMwVCOLSmYYr&#10;hM/D62wFwgfNRreOCeFKHtbF7U2uM+NG/qBhHyoRQ9hnGqEOocuk9GVNVvu564ijd3K91SHKvpKm&#10;12MMt61MlVpKqxuODbXuaFtTed5fLMLbqMfNInkZdufT9vp9eHz/2iWEeH83bZ5BBJrC3zP84kd0&#10;KCLT0V3YeNEipMs4JSDMkhRE9J9WKh6OCA9qAbLI5f8BxQ8AAAD//wMAUEsBAi0AFAAGAAgAAAAh&#10;ALaDOJL+AAAA4QEAABMAAAAAAAAAAAAAAAAAAAAAAFtDb250ZW50X1R5cGVzXS54bWxQSwECLQAU&#10;AAYACAAAACEAOP0h/9YAAACUAQAACwAAAAAAAAAAAAAAAAAvAQAAX3JlbHMvLnJlbHNQSwECLQAU&#10;AAYACAAAACEAxNMg9XIFAACnQwAADgAAAAAAAAAAAAAAAAAuAgAAZHJzL2Uyb0RvYy54bWxQSwEC&#10;LQAUAAYACAAAACEAxcbxO+AAAAAIAQAADwAAAAAAAAAAAAAAAADMBwAAZHJzL2Rvd25yZXYueG1s&#10;UEsFBgAAAAAEAAQA8wAAANkIAAAAAA==&#10;">
                <v:shape id="Shape 143418" o:spid="_x0000_s1027" style="position:absolute;width:12009;height:91;visibility:visible;mso-wrap-style:square;v-text-anchor:top" coordsize="12009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sFOMMA&#10;AADfAAAADwAAAGRycy9kb3ducmV2LnhtbERPTWvCQBC9F/wPyxR6qxtbKSV1laIIQk4mtucxOybB&#10;7GzY3cb47zuHQo+P973aTK5XI4XYeTawmGegiGtvO24MnKr98zuomJAt9p7JwJ0ibNazhxXm1t/4&#10;SGOZGiUhHHM00KY05FrHuiWHce4HYuEuPjhMAkOjbcCbhLtev2TZm3bYsTS0ONC2pfpa/jgDRXX6&#10;Lvqi1ufdOOzK+1c4VsXZmKfH6fMDVKIp/Yv/3Acr85evy4UMlj8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sFOMMAAADfAAAADwAAAAAAAAAAAAAAAACYAgAAZHJzL2Rv&#10;d25yZXYueG1sUEsFBgAAAAAEAAQA9QAAAIgDAAAAAA==&#10;" path="m,l1200912,r,9144l,9144,,e" fillcolor="black" stroked="f" strokeweight="0">
                  <v:stroke miterlimit="83231f" joinstyle="miter"/>
                  <v:path arrowok="t" textboxrect="0,0,1200912,9144"/>
                </v:shape>
                <v:shape id="Shape 143419" o:spid="_x0000_s1028" style="position:absolute;left:1200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RRH8MA&#10;AADfAAAADwAAAGRycy9kb3ducmV2LnhtbERPXWvCMBR9F/wP4Qp7m6muuFmNooOBDATnfPDx2lzb&#10;YnNTk6jdvzfCwMfD+Z7OW1OLKzlfWVYw6CcgiHOrKy4U7H6/Xj9A+ICssbZMCv7Iw3zW7Uwx0/bG&#10;P3TdhkLEEPYZKihDaDIpfV6SQd+3DXHkjtYZDBG6QmqHtxhuajlMkpE0WHFsKLGhz5Ly0/ZiFDTn&#10;wu3PXi/5cNl8v3OyonadKvXSaxcTEIHa8BT/u1c6zk/f0sEYHn8iAD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0RRH8MAAADfAAAADwAAAAAAAAAAAAAAAACYAgAAZHJzL2Rv&#10;d25yZXYueG1sUEsFBgAAAAAEAAQA9QAAAIgDAAAAAA==&#10;" path="m,l9144,r,9144l,9144,,e" fillcolor="black" stroked="f" strokeweight="0">
                  <v:stroke miterlimit="83231f" joinstyle="miter"/>
                  <v:path arrowok="t" textboxrect="0,0,9144,9144"/>
                </v:shape>
                <v:shape id="Shape 143420" o:spid="_x0000_s1029" style="position:absolute;left:12070;width:8504;height:91;visibility:visible;mso-wrap-style:square;v-text-anchor:top" coordsize="8503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XDJcQA&#10;AADfAAAADwAAAGRycy9kb3ducmV2LnhtbERPS0vDQBC+C/0Pywje7MYaSondFikqggfpA6S3ITtJ&#10;FrOzIbs2q7/eOQgeP773ept9ry40RhfYwN28AEVcB+u4NXA6Pt+uQMWEbLEPTAa+KcJ2M7taY2XD&#10;xHu6HFKrJIRjhQa6lIZK61h35DHOw0AsXBNGj0ng2Go74iThvteLolhqj46locOBdh3Vn4cvbyAE&#10;9/Ljmqe8n97K8pwbfD9/LI25uc6PD6AS5fQv/nO/Wplf3pcLeSB/BID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FwyXEAAAA3wAAAA8AAAAAAAAAAAAAAAAAmAIAAGRycy9k&#10;b3ducmV2LnhtbFBLBQYAAAAABAAEAPUAAACJAwAAAAA=&#10;" path="m,l850392,r,9144l,9144,,e" fillcolor="black" stroked="f" strokeweight="0">
                  <v:stroke miterlimit="83231f" joinstyle="miter"/>
                  <v:path arrowok="t" textboxrect="0,0,850392,9144"/>
                </v:shape>
                <v:shape id="Shape 143421" o:spid="_x0000_s1030" style="position:absolute;left:205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6XpMMA&#10;AADfAAAADwAAAGRycy9kb3ducmV2LnhtbERPW2vCMBR+H/gfwhF801RXdHRGcYOBCIKXPfh4bM7a&#10;YnNSk6j13xtB2OPHd5/OW1OLKzlfWVYwHCQgiHOrKy4U/O5/+h8gfEDWWFsmBXfyMJ913qaYaXvj&#10;LV13oRAxhH2GCsoQmkxKn5dk0A9sQxy5P+sMhghdIbXDWww3tRwlyVgarDg2lNjQd0n5aXcxCppz&#10;4Q5nr7/4eNmsJpwsqV2nSvW67eITRKA2/Itf7qWO89P3dDSE558I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16XpMMAAADfAAAADwAAAAAAAAAAAAAAAACYAgAAZHJzL2Rv&#10;d25yZXYueG1sUEsFBgAAAAAEAAQA9QAAAIgDAAAAAA==&#10;" path="m,l9144,r,9144l,9144,,e" fillcolor="black" stroked="f" strokeweight="0">
                  <v:stroke miterlimit="83231f" joinstyle="miter"/>
                  <v:path arrowok="t" textboxrect="0,0,9144,9144"/>
                </v:shape>
                <v:shape id="Shape 143422" o:spid="_x0000_s1031" style="position:absolute;left:20634;width:4512;height:91;visibility:visible;mso-wrap-style:square;v-text-anchor:top" coordsize="45110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xUwsUA&#10;AADfAAAADwAAAGRycy9kb3ducmV2LnhtbERPXWvCMBR9F/Yfwh3sTdN1nczOKEMQHDLY3B707dJc&#10;m67NTUmidv/eDAZ7PJzv+XKwnTiTD41jBfeTDARx5XTDtYKvz/X4CUSIyBo7x6TghwIsFzejOZba&#10;XfiDzrtYixTCoUQFJsa+lDJUhiyGieuJE3d03mJM0NdSe7ykcNvJPMum0mLDqcFgTytDVbs7WQW+&#10;899tPMzq17fD+9bsp33RHh+VursdXp5BRBriv/jPvdFpfvFQ5Dn8/kkA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rFTCxQAAAN8AAAAPAAAAAAAAAAAAAAAAAJgCAABkcnMv&#10;ZG93bnJldi54bWxQSwUGAAAAAAQABAD1AAAAigMAAAAA&#10;" path="m,l451104,r,9144l,9144,,e" fillcolor="black" stroked="f" strokeweight="0">
                  <v:stroke miterlimit="83231f" joinstyle="miter"/>
                  <v:path arrowok="t" textboxrect="0,0,451104,9144"/>
                </v:shape>
                <v:shape id="Shape 143423" o:spid="_x0000_s1032" style="position:absolute;left:25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CsSMQA&#10;AADfAAAADwAAAGRycy9kb3ducmV2LnhtbERPXWvCMBR9F/wP4Qp7m6laNulMiw4GMhjMzgcfr81d&#10;W2xuahK1+/fLYODj4XyvisF04krOt5YVzKYJCOLK6pZrBfuvt8clCB+QNXaWScEPeSjy8WiFmbY3&#10;3tG1DLWIIewzVNCE0GdS+qohg35qe+LIfVtnMEToaqkd3mK46eQ8SZ6kwZZjQ4M9vTZUncqLUdCf&#10;a3c4e73h4+Xz/ZmTLQ0fqVIPk2H9AiLQEO7if/dWx/npIp0v4O9PBC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rEjEAAAA3wAAAA8AAAAAAAAAAAAAAAAAmAIAAGRycy9k&#10;b3ducmV2LnhtbFBLBQYAAAAABAAEAPUAAACJAwAAAAA=&#10;" path="m,l9144,r,9144l,9144,,e" fillcolor="black" stroked="f" strokeweight="0">
                  <v:stroke miterlimit="83231f" joinstyle="miter"/>
                  <v:path arrowok="t" textboxrect="0,0,9144,9144"/>
                </v:shape>
                <v:shape id="Shape 143424" o:spid="_x0000_s1033" style="position:absolute;left:25206;width:12269;height:91;visibility:visible;mso-wrap-style:square;v-text-anchor:top" coordsize="1226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wQMMIA&#10;AADfAAAADwAAAGRycy9kb3ducmV2LnhtbERPzYrCMBC+C/sOYRa8yJqq3aVWoyyrQulN1wcYmrEt&#10;NpPSRK1vbwTB48f3v1z3phFX6lxtWcFkHIEgLqyuuVRw/N99JSCcR9bYWCYFd3KwXn0Mlphqe+M9&#10;XQ++FCGEXYoKKu/bVEpXVGTQjW1LHLiT7Qz6ALtS6g5vIdw0chpFP9JgzaGhwpb+KirOh4tRUG83&#10;m+/T6B5nWTJpkgvlyZxypYaf/e8ChKfev8Uvd6bD/HgWT2N4/gkA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BAwwgAAAN8AAAAPAAAAAAAAAAAAAAAAAJgCAABkcnMvZG93&#10;bnJldi54bWxQSwUGAAAAAAQABAD1AAAAhwMAAAAA&#10;" path="m,l1226820,r,9144l,9144,,e" fillcolor="black" stroked="f" strokeweight="0">
                  <v:stroke miterlimit="83231f" joinstyle="miter"/>
                  <v:path arrowok="t" textboxrect="0,0,1226820,9144"/>
                </v:shape>
                <v:shape id="Shape 143425" o:spid="_x0000_s1034" style="position:absolute;left:374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WRp8MA&#10;AADfAAAADwAAAGRycy9kb3ducmV2LnhtbERPXWvCMBR9F/Yfwh34NtNp3aQaZRMEEQTnfPDx2lzb&#10;suamJlHrvzfCwMfD+Z7MWlOLCzlfWVbw3ktAEOdWV1wo2P0u3kYgfEDWWFsmBTfyMJu+dCaYaXvl&#10;H7psQyFiCPsMFZQhNJmUPi/JoO/ZhjhyR+sMhghdIbXDaww3tewnyYc0WHFsKLGheUn53/ZsFDSn&#10;wu1PXn/z4bxZfXKypHadKtV9bb/GIAK14Sn+dy91nJ8O0v4QHn8iAD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WRp8MAAADfAAAADwAAAAAAAAAAAAAAAACYAgAAZHJzL2Rv&#10;d25yZXYueG1sUEsFBgAAAAAEAAQA9QAAAIgDAAAAAA==&#10;" path="m,l9144,r,9144l,9144,,e" fillcolor="black" stroked="f" strokeweight="0">
                  <v:stroke miterlimit="83231f" joinstyle="miter"/>
                  <v:path arrowok="t" textboxrect="0,0,9144,9144"/>
                </v:shape>
                <v:shape id="Shape 143426" o:spid="_x0000_s1035" style="position:absolute;left:37536;width:23043;height:91;visibility:visible;mso-wrap-style:square;v-text-anchor:top" coordsize="2304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428UA&#10;AADfAAAADwAAAGRycy9kb3ducmV2LnhtbERPTWvCQBC9C/0PyxS86aYxiKSu0hbUHgqtWkqPQ3ZM&#10;gtnZNDvG9N93C4UeH+97uR5co3rqQu3ZwN00AUVceFtzaeD9uJksQAVBtth4JgPfFGC9uhktMbf+&#10;ynvqD1KqGMIhRwOVSJtrHYqKHIapb4kjd/KdQ4mwK7Xt8BrDXaPTJJlrhzXHhgpbeqqoOB8uzoCc&#10;d+npq99/vr0+frxseSFHyawx49vh4R6U0CD/4j/3s43zs1mWzuH3TwS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7jbxQAAAN8AAAAPAAAAAAAAAAAAAAAAAJgCAABkcnMv&#10;ZG93bnJldi54bWxQSwUGAAAAAAQABAD1AAAAigMAAAAA&#10;" path="m,l2304288,r,9144l,9144,,e" fillcolor="black" stroked="f" strokeweight="0">
                  <v:stroke miterlimit="83231f" joinstyle="miter"/>
                  <v:path arrowok="t" textboxrect="0,0,2304288,9144"/>
                </v:shape>
                <v:shape id="Shape 143427" o:spid="_x0000_s1036" style="position:absolute;top:2575;width:12009;height:92;visibility:visible;mso-wrap-style:square;v-text-anchor:top" coordsize="12009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hb98MA&#10;AADfAAAADwAAAGRycy9kb3ducmV2LnhtbERPXWvCMBR9F/Yfwh3sTdM50dEZRRRh0Cdb3fO1uWvL&#10;mpuSxFr//SIIPh7O93I9mFb05HxjWcH7JAFBXFrdcKXgWOzHnyB8QNbYWiYFN/KwXr2Mlphqe+UD&#10;9XmoRAxhn6KCOoQuldKXNRn0E9sRR+7XOoMhQldJ7fAaw00rp0kylwYbjg01drStqfzLL0ZBVhx/&#10;sjYr5XnXd7v8dnKHIjsr9fY6bL5ABBrCU/xwf+s4f/Yxmy7g/icC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mhb98MAAADfAAAADwAAAAAAAAAAAAAAAACYAgAAZHJzL2Rv&#10;d25yZXYueG1sUEsFBgAAAAAEAAQA9QAAAIgDAAAAAA==&#10;" path="m,l1200912,r,9144l,9144,,e" fillcolor="black" stroked="f" strokeweight="0">
                  <v:stroke miterlimit="83231f" joinstyle="miter"/>
                  <v:path arrowok="t" textboxrect="0,0,1200912,9144"/>
                </v:shape>
                <v:shape id="Shape 143428" o:spid="_x0000_s1037" style="position:absolute;left:12009;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Q+OcMA&#10;AADfAAAADwAAAGRycy9kb3ducmV2LnhtbERPTWvCQBC9F/wPywi96aY2aEldRQVBCkLVHnqcZqdJ&#10;aHY27q6a/nvnUOjx8b7ny9616kohNp4NPI0zUMSltw1XBj5O29ELqJiQLbaeycAvRVguBg9zLKy/&#10;8YGux1QpCeFYoIE6pa7QOpY1OYxj3xEL9+2DwyQwVNoGvEm4a/Uky6baYcPSUGNHm5rKn+PFGejO&#10;Vfg8R7vmr8v724yzHfX73JjHYb96BZWoT//iP/fOyvz8OZ/IYPkjAP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Q+OcMAAADfAAAADwAAAAAAAAAAAAAAAACYAgAAZHJzL2Rv&#10;d25yZXYueG1sUEsFBgAAAAAEAAQA9QAAAIgDAAAAAA==&#10;" path="m,l9144,r,9144l,9144,,e" fillcolor="black" stroked="f" strokeweight="0">
                  <v:stroke miterlimit="83231f" joinstyle="miter"/>
                  <v:path arrowok="t" textboxrect="0,0,9144,9144"/>
                </v:shape>
                <v:shape id="Shape 143429" o:spid="_x0000_s1038" style="position:absolute;left:12070;top:2575;width:8504;height:92;visibility:visible;mso-wrap-style:square;v-text-anchor:top" coordsize="8503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quMUA&#10;AADfAAAADwAAAGRycy9kb3ducmV2LnhtbERPXWvCMBR9F/Yfwh3sTdNpEVeNMsYcwh6GOhDfLs1t&#10;G9bclCazcb9+GQx8PJzv1SbaVlyo98axgsdJBoK4dNpwreDzuB0vQPiArLF1TAqu5GGzvhutsNBu&#10;4D1dDqEWKYR9gQqaELpCSl82ZNFPXEecuMr1FkOCfS11j0MKt62cZtlcWjScGhrs6KWh8uvwbRU4&#10;Z95+TPUa98N7np9jhR/n01yph/v4vAQRKIab+N+902l+PsunT/D3J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f2q4xQAAAN8AAAAPAAAAAAAAAAAAAAAAAJgCAABkcnMv&#10;ZG93bnJldi54bWxQSwUGAAAAAAQABAD1AAAAigMAAAAA&#10;" path="m,l850392,r,9144l,9144,,e" fillcolor="black" stroked="f" strokeweight="0">
                  <v:stroke miterlimit="83231f" joinstyle="miter"/>
                  <v:path arrowok="t" textboxrect="0,0,850392,9144"/>
                </v:shape>
                <v:shape id="Shape 143430" o:spid="_x0000_s1039" style="position:absolute;left:20574;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uk4sMA&#10;AADfAAAADwAAAGRycy9kb3ducmV2LnhtbERPTWvCQBC9F/wPywi96aY1aEldRQsFEYSqPfQ4zU6T&#10;0Oxs3F01/nvnUOjx8b7ny9616kIhNp4NPI0zUMSltw1XBj6P76MXUDEhW2w9k4EbRVguBg9zLKy/&#10;8p4uh1QpCeFYoIE6pa7QOpY1OYxj3xEL9+ODwyQwVNoGvEq4a/Vzlk21w4alocaO3moqfw9nZ6A7&#10;VeHrFO2av88f2xlnG+p3uTGPw371CipRn/7Ff+6Nlfn5JJ/IA/kjAP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uk4sMAAADfAAAADwAAAAAAAAAAAAAAAACYAgAAZHJzL2Rv&#10;d25yZXYueG1sUEsFBgAAAAAEAAQA9QAAAIgDAAAAAA==&#10;" path="m,l9144,r,9144l,9144,,e" fillcolor="black" stroked="f" strokeweight="0">
                  <v:stroke miterlimit="83231f" joinstyle="miter"/>
                  <v:path arrowok="t" textboxrect="0,0,9144,9144"/>
                </v:shape>
                <v:shape id="Shape 143431" o:spid="_x0000_s1040" style="position:absolute;left:20634;top:2575;width:4512;height:92;visibility:visible;mso-wrap-style:square;v-text-anchor:top" coordsize="45110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dcaMUA&#10;AADfAAAADwAAAGRycy9kb3ducmV2LnhtbERPXWvCMBR9H/gfwhX2NlNnJ1qNIoPBxhg49UHfLs21&#10;qW1uSpJp9++XwWCPh/O9XPe2FVfyoXasYDzKQBCXTtdcKTjsXx5mIEJE1tg6JgXfFGC9GtwtsdDu&#10;xp903cVKpBAOBSowMXaFlKE0ZDGMXEecuLPzFmOCvpLa4y2F21Y+ZtlUWqw5NRjs6NlQ2ey+rALf&#10;+ksTT/Pq7eO0fTfHaZc35yel7of9ZgEiUh//xX/uV53m55N8MobfPwm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p1xoxQAAAN8AAAAPAAAAAAAAAAAAAAAAAJgCAABkcnMv&#10;ZG93bnJldi54bWxQSwUGAAAAAAQABAD1AAAAigMAAAAA&#10;" path="m,l451104,r,9144l,9144,,e" fillcolor="black" stroked="f" strokeweight="0">
                  <v:stroke miterlimit="83231f" joinstyle="miter"/>
                  <v:path arrowok="t" textboxrect="0,0,451104,9144"/>
                </v:shape>
                <v:shape id="Shape 143432" o:spid="_x0000_s1041" style="position:absolute;left:25146;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WfDsQA&#10;AADfAAAADwAAAGRycy9kb3ducmV2LnhtbERPXWvCMBR9F/wP4Qp7m6laNulMiw4GMhjMzgcfr81d&#10;W2xuahK1+/fLYODj4XyvisF04krOt5YVzKYJCOLK6pZrBfuvt8clCB+QNXaWScEPeSjy8WiFmbY3&#10;3tG1DLWIIewzVNCE0GdS+qohg35qe+LIfVtnMEToaqkd3mK46eQ8SZ6kwZZjQ4M9vTZUncqLUdCf&#10;a3c4e73h4+Xz/ZmTLQ0fqVIPk2H9AiLQEO7if/dWx/npIl3M4e9PBC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Vnw7EAAAA3wAAAA8AAAAAAAAAAAAAAAAAmAIAAGRycy9k&#10;b3ducmV2LnhtbFBLBQYAAAAABAAEAPUAAACJAwAAAAA=&#10;" path="m,l9144,r,9144l,9144,,e" fillcolor="black" stroked="f" strokeweight="0">
                  <v:stroke miterlimit="83231f" joinstyle="miter"/>
                  <v:path arrowok="t" textboxrect="0,0,9144,9144"/>
                </v:shape>
                <v:shape id="Shape 143433" o:spid="_x0000_s1042" style="position:absolute;left:25206;top:2575;width:12269;height:92;visibility:visible;mso-wrap-style:square;v-text-anchor:top" coordsize="1226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wemcMA&#10;AADfAAAADwAAAGRycy9kb3ducmV2LnhtbERPy4rCMBTdD/gP4QqzGTR1WqVWo4g6UNz5+IBLc22L&#10;zU1pota/NwMDszyc93Ldm0Y8qHO1ZQWTcQSCuLC65lLB5fwzSkE4j6yxsUwKXuRgvRp8LDHT9slH&#10;epx8KUIIuwwVVN63mZSuqMigG9uWOHBX2xn0AXal1B0+Q7hp5HcUzaTBmkNDhS1tKypup7tRUO93&#10;u+n165XkeTpp0jsd0jkdlPoc9psFCE+9/xf/uXMd5idxEsfw+ycAkK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wemcMAAADfAAAADwAAAAAAAAAAAAAAAACYAgAAZHJzL2Rv&#10;d25yZXYueG1sUEsFBgAAAAAEAAQA9QAAAIgDAAAAAA==&#10;" path="m,l1226820,r,9144l,9144,,e" fillcolor="black" stroked="f" strokeweight="0">
                  <v:stroke miterlimit="83231f" joinstyle="miter"/>
                  <v:path arrowok="t" textboxrect="0,0,1226820,9144"/>
                </v:shape>
                <v:shape id="Shape 143434" o:spid="_x0000_s1043" style="position:absolute;left:37475;top:257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Ci4cYA&#10;AADfAAAADwAAAGRycy9kb3ducmV2LnhtbESPS4sCMRCE7wv+h9DC3jTjg1VGo6ggyIKwPg4e20k7&#10;MzjpjEnU2X+/EYSlTx9VXV09nTemEg9yvrSsoNdNQBBnVpecKzge1p0xCB+QNVaWScEveZjPWh9T&#10;TLV98o4e+5CLGMI+RQVFCHUqpc8KMui7tiaO2sU6gyGiy6V2+IzhppL9JPmSBkuOFwqsaVVQdt3f&#10;jYL6lrvTzesln+8/3yNONtRsh0p9tpvFBESgJvyb39sbHesPB3Hg9U8E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Ci4cYAAADfAAAADwAAAAAAAAAAAAAAAACYAgAAZHJz&#10;L2Rvd25yZXYueG1sUEsFBgAAAAAEAAQA9QAAAIsDAAAAAA==&#10;" path="m,l9144,r,9144l,9144,,e" fillcolor="black" stroked="f" strokeweight="0">
                  <v:stroke miterlimit="83231f" joinstyle="miter"/>
                  <v:path arrowok="t" textboxrect="0,0,9144,9144"/>
                </v:shape>
                <v:shape id="Shape 143435" o:spid="_x0000_s1044" style="position:absolute;left:37536;top:2575;width:23043;height:92;visibility:visible;mso-wrap-style:square;v-text-anchor:top" coordsize="2304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wccUA&#10;AADfAAAADwAAAGRycy9kb3ducmV2LnhtbERPS2vCQBC+F/wPywi91Y2aFomu0gp9HApWLaXHITsm&#10;wexszE5j/PduodDjx/derHpXq47aUHk2MB4loIhzbysuDHzun+9moIIgW6w9k4ELBVgtBzcLzKw/&#10;85a6nRQqhnDI0EAp0mRah7wkh2HkG+LIHXzrUCJsC21bPMdwV+tJkjxohxXHhhIbWpeUH3c/zoAc&#10;XyeHU7f9/tg8fb2/8Ez2klpjbof94xyUUC//4j/3m43z02k6vYffPxGAX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LBxxQAAAN8AAAAPAAAAAAAAAAAAAAAAAJgCAABkcnMv&#10;ZG93bnJldi54bWxQSwUGAAAAAAQABAD1AAAAigMAAAAA&#10;" path="m,l2304288,r,9144l,9144,,e" fillcolor="black" stroked="f" strokeweight="0">
                  <v:stroke miterlimit="83231f" joinstyle="miter"/>
                  <v:path arrowok="t" textboxrect="0,0,2304288,9144"/>
                </v:shape>
              </v:group>
            </w:pict>
          </mc:Fallback>
        </mc:AlternateContent>
      </w:r>
      <w:r>
        <w:rPr>
          <w:rFonts w:ascii="Calibri" w:eastAsia="Calibri" w:hAnsi="Calibri" w:cs="Calibri"/>
          <w:sz w:val="22"/>
        </w:rPr>
        <w:tab/>
      </w:r>
      <w:r>
        <w:t xml:space="preserve">Theme </w:t>
      </w:r>
      <w:r>
        <w:tab/>
        <w:t xml:space="preserve">Group </w:t>
      </w:r>
      <w:r>
        <w:tab/>
      </w:r>
      <w:r>
        <w:rPr>
          <w:i/>
        </w:rPr>
        <w:t xml:space="preserve">n </w:t>
      </w:r>
      <w:r>
        <w:rPr>
          <w:i/>
        </w:rPr>
        <w:tab/>
      </w:r>
      <w:r>
        <w:t xml:space="preserve">Category </w:t>
      </w:r>
      <w:r>
        <w:tab/>
        <w:t xml:space="preserve">Example Responses </w:t>
      </w:r>
    </w:p>
    <w:tbl>
      <w:tblPr>
        <w:tblStyle w:val="TableGrid"/>
        <w:tblW w:w="9144" w:type="dxa"/>
        <w:tblInd w:w="555" w:type="dxa"/>
        <w:tblCellMar>
          <w:top w:w="0" w:type="dxa"/>
          <w:left w:w="0" w:type="dxa"/>
          <w:bottom w:w="0" w:type="dxa"/>
          <w:right w:w="0" w:type="dxa"/>
        </w:tblCellMar>
        <w:tblLook w:val="04A0" w:firstRow="1" w:lastRow="0" w:firstColumn="1" w:lastColumn="0" w:noHBand="0" w:noVBand="1"/>
      </w:tblPr>
      <w:tblGrid>
        <w:gridCol w:w="45"/>
        <w:gridCol w:w="1813"/>
        <w:gridCol w:w="257"/>
        <w:gridCol w:w="1079"/>
        <w:gridCol w:w="67"/>
        <w:gridCol w:w="578"/>
        <w:gridCol w:w="257"/>
        <w:gridCol w:w="1596"/>
        <w:gridCol w:w="257"/>
        <w:gridCol w:w="2895"/>
        <w:gridCol w:w="300"/>
      </w:tblGrid>
      <w:tr w:rsidR="0023438A">
        <w:trPr>
          <w:gridBefore w:val="1"/>
          <w:gridAfter w:val="1"/>
          <w:wBefore w:w="52" w:type="dxa"/>
          <w:wAfter w:w="357" w:type="dxa"/>
          <w:trHeight w:val="1159"/>
        </w:trPr>
        <w:tc>
          <w:tcPr>
            <w:tcW w:w="1889" w:type="dxa"/>
            <w:tcBorders>
              <w:top w:val="nil"/>
              <w:left w:val="nil"/>
              <w:bottom w:val="nil"/>
              <w:right w:val="nil"/>
            </w:tcBorders>
            <w:vAlign w:val="bottom"/>
          </w:tcPr>
          <w:p w:rsidR="0023438A" w:rsidRDefault="0023438A">
            <w:pPr>
              <w:spacing w:after="160" w:line="259" w:lineRule="auto"/>
              <w:ind w:left="0" w:firstLine="0"/>
            </w:pPr>
          </w:p>
        </w:tc>
        <w:tc>
          <w:tcPr>
            <w:tcW w:w="1351" w:type="dxa"/>
            <w:gridSpan w:val="2"/>
            <w:tcBorders>
              <w:top w:val="nil"/>
              <w:left w:val="nil"/>
              <w:bottom w:val="nil"/>
              <w:right w:val="nil"/>
            </w:tcBorders>
            <w:vAlign w:val="bottom"/>
          </w:tcPr>
          <w:p w:rsidR="0023438A" w:rsidRDefault="0023438A">
            <w:pPr>
              <w:spacing w:after="160" w:line="259" w:lineRule="auto"/>
              <w:ind w:left="0" w:firstLine="0"/>
            </w:pPr>
          </w:p>
        </w:tc>
        <w:tc>
          <w:tcPr>
            <w:tcW w:w="720" w:type="dxa"/>
            <w:gridSpan w:val="2"/>
            <w:tcBorders>
              <w:top w:val="nil"/>
              <w:left w:val="nil"/>
              <w:bottom w:val="nil"/>
              <w:right w:val="nil"/>
            </w:tcBorders>
            <w:vAlign w:val="center"/>
          </w:tcPr>
          <w:p w:rsidR="0023438A" w:rsidRDefault="0023438A">
            <w:pPr>
              <w:spacing w:after="160" w:line="259" w:lineRule="auto"/>
              <w:ind w:left="0" w:firstLine="0"/>
            </w:pPr>
          </w:p>
        </w:tc>
        <w:tc>
          <w:tcPr>
            <w:tcW w:w="1942" w:type="dxa"/>
            <w:gridSpan w:val="2"/>
            <w:tcBorders>
              <w:top w:val="nil"/>
              <w:left w:val="nil"/>
              <w:bottom w:val="nil"/>
              <w:right w:val="nil"/>
            </w:tcBorders>
          </w:tcPr>
          <w:p w:rsidR="0023438A" w:rsidRDefault="0023438A">
            <w:pPr>
              <w:spacing w:after="160" w:line="259" w:lineRule="auto"/>
              <w:ind w:left="0" w:firstLine="0"/>
            </w:pPr>
          </w:p>
        </w:tc>
        <w:tc>
          <w:tcPr>
            <w:tcW w:w="3243" w:type="dxa"/>
            <w:gridSpan w:val="2"/>
            <w:tcBorders>
              <w:top w:val="nil"/>
              <w:left w:val="nil"/>
              <w:bottom w:val="nil"/>
              <w:right w:val="nil"/>
            </w:tcBorders>
          </w:tcPr>
          <w:p w:rsidR="0023438A" w:rsidRDefault="00A02C86">
            <w:pPr>
              <w:spacing w:after="0" w:line="259" w:lineRule="auto"/>
              <w:ind w:left="0" w:firstLine="0"/>
            </w:pPr>
            <w:r>
              <w:t>Host informational sessions with employers. Most em</w:t>
            </w:r>
            <w:r>
              <w:t xml:space="preserve">ployers are unaware of how qualified apprenticeship programs work. </w:t>
            </w:r>
          </w:p>
        </w:tc>
      </w:tr>
      <w:tr w:rsidR="0023438A">
        <w:trPr>
          <w:gridBefore w:val="1"/>
          <w:gridAfter w:val="1"/>
          <w:wBefore w:w="52" w:type="dxa"/>
          <w:wAfter w:w="357" w:type="dxa"/>
          <w:trHeight w:val="3948"/>
        </w:trPr>
        <w:tc>
          <w:tcPr>
            <w:tcW w:w="1889" w:type="dxa"/>
            <w:tcBorders>
              <w:top w:val="nil"/>
              <w:left w:val="nil"/>
              <w:bottom w:val="nil"/>
              <w:right w:val="nil"/>
            </w:tcBorders>
          </w:tcPr>
          <w:p w:rsidR="0023438A" w:rsidRDefault="00A02C86">
            <w:pPr>
              <w:spacing w:after="0" w:line="259" w:lineRule="auto"/>
              <w:ind w:left="0" w:firstLine="0"/>
            </w:pPr>
            <w:r>
              <w:rPr>
                <w:sz w:val="22"/>
              </w:rPr>
              <w:t xml:space="preserve">Communication </w:t>
            </w:r>
          </w:p>
        </w:tc>
        <w:tc>
          <w:tcPr>
            <w:tcW w:w="1351" w:type="dxa"/>
            <w:gridSpan w:val="2"/>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720" w:type="dxa"/>
            <w:gridSpan w:val="2"/>
            <w:tcBorders>
              <w:top w:val="nil"/>
              <w:left w:val="nil"/>
              <w:bottom w:val="nil"/>
              <w:right w:val="nil"/>
            </w:tcBorders>
          </w:tcPr>
          <w:p w:rsidR="0023438A" w:rsidRDefault="00A02C86">
            <w:pPr>
              <w:spacing w:after="96" w:line="259" w:lineRule="auto"/>
              <w:ind w:left="0" w:firstLine="0"/>
            </w:pPr>
            <w:r>
              <w:t xml:space="preserve">10 </w:t>
            </w:r>
          </w:p>
          <w:p w:rsidR="0023438A" w:rsidRDefault="00A02C86">
            <w:pPr>
              <w:spacing w:after="0" w:line="259" w:lineRule="auto"/>
              <w:ind w:left="0" w:firstLine="0"/>
            </w:pPr>
            <w:r>
              <w:t xml:space="preserve">40 </w:t>
            </w:r>
          </w:p>
        </w:tc>
        <w:tc>
          <w:tcPr>
            <w:tcW w:w="1942" w:type="dxa"/>
            <w:gridSpan w:val="2"/>
            <w:tcBorders>
              <w:top w:val="nil"/>
              <w:left w:val="nil"/>
              <w:bottom w:val="nil"/>
              <w:right w:val="nil"/>
            </w:tcBorders>
          </w:tcPr>
          <w:p w:rsidR="0023438A" w:rsidRDefault="00A02C86">
            <w:pPr>
              <w:spacing w:after="0" w:line="259" w:lineRule="auto"/>
              <w:ind w:left="0" w:firstLine="0"/>
            </w:pPr>
            <w:r>
              <w:t xml:space="preserve">Importance </w:t>
            </w:r>
          </w:p>
        </w:tc>
        <w:tc>
          <w:tcPr>
            <w:tcW w:w="3243" w:type="dxa"/>
            <w:gridSpan w:val="2"/>
            <w:tcBorders>
              <w:top w:val="nil"/>
              <w:left w:val="nil"/>
              <w:bottom w:val="nil"/>
              <w:right w:val="nil"/>
            </w:tcBorders>
          </w:tcPr>
          <w:p w:rsidR="0023438A" w:rsidRDefault="00A02C86">
            <w:pPr>
              <w:spacing w:after="120" w:line="238" w:lineRule="auto"/>
              <w:ind w:left="0" w:firstLine="0"/>
            </w:pPr>
            <w:r>
              <w:t xml:space="preserve">Communication is always an important factor.  </w:t>
            </w:r>
          </w:p>
          <w:p w:rsidR="0023438A" w:rsidRDefault="00A02C86">
            <w:pPr>
              <w:spacing w:after="0" w:line="238" w:lineRule="auto"/>
              <w:ind w:left="0" w:firstLine="0"/>
            </w:pPr>
            <w:r>
              <w:t xml:space="preserve">Creating local networking social events to allow </w:t>
            </w:r>
          </w:p>
          <w:p w:rsidR="0023438A" w:rsidRDefault="00A02C86">
            <w:pPr>
              <w:spacing w:after="120" w:line="238" w:lineRule="auto"/>
              <w:ind w:left="0" w:firstLine="0"/>
            </w:pPr>
            <w:r>
              <w:t xml:space="preserve">Employer/School/Instructor interaction in a relaxed setting. This will create channels of communication and allow for churn within the Employer structures. </w:t>
            </w:r>
          </w:p>
          <w:p w:rsidR="0023438A" w:rsidRDefault="00A02C86">
            <w:pPr>
              <w:spacing w:after="0" w:line="259" w:lineRule="auto"/>
              <w:ind w:left="0" w:firstLine="0"/>
            </w:pPr>
            <w:r>
              <w:t xml:space="preserve">Improved communication as to the expectations, benefits and investment required… </w:t>
            </w:r>
          </w:p>
        </w:tc>
      </w:tr>
      <w:tr w:rsidR="0023438A">
        <w:trPr>
          <w:gridBefore w:val="1"/>
          <w:gridAfter w:val="1"/>
          <w:wBefore w:w="52" w:type="dxa"/>
          <w:wAfter w:w="357" w:type="dxa"/>
          <w:trHeight w:val="1860"/>
        </w:trPr>
        <w:tc>
          <w:tcPr>
            <w:tcW w:w="1889" w:type="dxa"/>
            <w:tcBorders>
              <w:top w:val="nil"/>
              <w:left w:val="nil"/>
              <w:bottom w:val="nil"/>
              <w:right w:val="nil"/>
            </w:tcBorders>
          </w:tcPr>
          <w:p w:rsidR="0023438A" w:rsidRDefault="00A02C86">
            <w:pPr>
              <w:spacing w:after="0" w:line="259" w:lineRule="auto"/>
              <w:ind w:left="0" w:firstLine="0"/>
            </w:pPr>
            <w:r>
              <w:t xml:space="preserve"> </w:t>
            </w:r>
          </w:p>
        </w:tc>
        <w:tc>
          <w:tcPr>
            <w:tcW w:w="1351" w:type="dxa"/>
            <w:gridSpan w:val="2"/>
            <w:tcBorders>
              <w:top w:val="nil"/>
              <w:left w:val="nil"/>
              <w:bottom w:val="nil"/>
              <w:right w:val="nil"/>
            </w:tcBorders>
          </w:tcPr>
          <w:p w:rsidR="0023438A" w:rsidRDefault="00A02C86">
            <w:pPr>
              <w:spacing w:after="0" w:line="259" w:lineRule="auto"/>
              <w:ind w:left="0" w:firstLine="0"/>
            </w:pPr>
            <w:r>
              <w:t xml:space="preserve"> </w:t>
            </w:r>
          </w:p>
        </w:tc>
        <w:tc>
          <w:tcPr>
            <w:tcW w:w="720" w:type="dxa"/>
            <w:gridSpan w:val="2"/>
            <w:tcBorders>
              <w:top w:val="nil"/>
              <w:left w:val="nil"/>
              <w:bottom w:val="nil"/>
              <w:right w:val="nil"/>
            </w:tcBorders>
          </w:tcPr>
          <w:p w:rsidR="0023438A" w:rsidRDefault="00A02C86">
            <w:pPr>
              <w:spacing w:after="0" w:line="259" w:lineRule="auto"/>
              <w:ind w:left="0" w:firstLine="0"/>
            </w:pPr>
            <w:r>
              <w:t xml:space="preserve"> </w:t>
            </w:r>
          </w:p>
        </w:tc>
        <w:tc>
          <w:tcPr>
            <w:tcW w:w="1942" w:type="dxa"/>
            <w:gridSpan w:val="2"/>
            <w:tcBorders>
              <w:top w:val="nil"/>
              <w:left w:val="nil"/>
              <w:bottom w:val="nil"/>
              <w:right w:val="nil"/>
            </w:tcBorders>
          </w:tcPr>
          <w:p w:rsidR="0023438A" w:rsidRDefault="00A02C86">
            <w:pPr>
              <w:spacing w:after="0" w:line="259" w:lineRule="auto"/>
              <w:ind w:left="0" w:firstLine="0"/>
            </w:pPr>
            <w:r>
              <w:t xml:space="preserve">Frequency </w:t>
            </w:r>
          </w:p>
        </w:tc>
        <w:tc>
          <w:tcPr>
            <w:tcW w:w="3243" w:type="dxa"/>
            <w:gridSpan w:val="2"/>
            <w:tcBorders>
              <w:top w:val="nil"/>
              <w:left w:val="nil"/>
              <w:bottom w:val="nil"/>
              <w:right w:val="nil"/>
            </w:tcBorders>
          </w:tcPr>
          <w:p w:rsidR="0023438A" w:rsidRDefault="00A02C86">
            <w:pPr>
              <w:spacing w:after="96" w:line="259" w:lineRule="auto"/>
              <w:ind w:left="0" w:firstLine="0"/>
            </w:pPr>
            <w:r>
              <w:t xml:space="preserve">Provide more communication </w:t>
            </w:r>
          </w:p>
          <w:p w:rsidR="0023438A" w:rsidRDefault="00A02C86">
            <w:pPr>
              <w:spacing w:after="120" w:line="238" w:lineRule="auto"/>
              <w:ind w:left="0" w:firstLine="0"/>
            </w:pPr>
            <w:r>
              <w:t xml:space="preserve">More surveys and concise communication </w:t>
            </w:r>
          </w:p>
          <w:p w:rsidR="0023438A" w:rsidRDefault="00A02C86">
            <w:pPr>
              <w:spacing w:after="96" w:line="259" w:lineRule="auto"/>
              <w:ind w:left="0" w:firstLine="0"/>
            </w:pPr>
            <w:r>
              <w:t xml:space="preserve">Communicate more frequently </w:t>
            </w:r>
          </w:p>
          <w:p w:rsidR="0023438A" w:rsidRDefault="00A02C86">
            <w:pPr>
              <w:spacing w:after="0" w:line="259" w:lineRule="auto"/>
              <w:ind w:left="0" w:firstLine="0"/>
            </w:pPr>
            <w:r>
              <w:t xml:space="preserve"> </w:t>
            </w:r>
          </w:p>
        </w:tc>
      </w:tr>
      <w:tr w:rsidR="0023438A">
        <w:trPr>
          <w:gridBefore w:val="1"/>
          <w:gridAfter w:val="1"/>
          <w:wBefore w:w="52" w:type="dxa"/>
          <w:wAfter w:w="357" w:type="dxa"/>
          <w:trHeight w:val="1896"/>
        </w:trPr>
        <w:tc>
          <w:tcPr>
            <w:tcW w:w="1889" w:type="dxa"/>
            <w:tcBorders>
              <w:top w:val="nil"/>
              <w:left w:val="nil"/>
              <w:bottom w:val="nil"/>
              <w:right w:val="nil"/>
            </w:tcBorders>
          </w:tcPr>
          <w:p w:rsidR="0023438A" w:rsidRDefault="00A02C86">
            <w:pPr>
              <w:spacing w:after="0" w:line="259" w:lineRule="auto"/>
              <w:ind w:left="0" w:firstLine="0"/>
            </w:pPr>
            <w:r>
              <w:lastRenderedPageBreak/>
              <w:t xml:space="preserve"> </w:t>
            </w:r>
          </w:p>
        </w:tc>
        <w:tc>
          <w:tcPr>
            <w:tcW w:w="1351" w:type="dxa"/>
            <w:gridSpan w:val="2"/>
            <w:tcBorders>
              <w:top w:val="nil"/>
              <w:left w:val="nil"/>
              <w:bottom w:val="nil"/>
              <w:right w:val="nil"/>
            </w:tcBorders>
          </w:tcPr>
          <w:p w:rsidR="0023438A" w:rsidRDefault="00A02C86">
            <w:pPr>
              <w:spacing w:after="0" w:line="259" w:lineRule="auto"/>
              <w:ind w:left="0" w:firstLine="0"/>
            </w:pPr>
            <w:r>
              <w:t xml:space="preserve"> </w:t>
            </w:r>
          </w:p>
        </w:tc>
        <w:tc>
          <w:tcPr>
            <w:tcW w:w="720" w:type="dxa"/>
            <w:gridSpan w:val="2"/>
            <w:tcBorders>
              <w:top w:val="nil"/>
              <w:left w:val="nil"/>
              <w:bottom w:val="nil"/>
              <w:right w:val="nil"/>
            </w:tcBorders>
          </w:tcPr>
          <w:p w:rsidR="0023438A" w:rsidRDefault="00A02C86">
            <w:pPr>
              <w:spacing w:after="0" w:line="259" w:lineRule="auto"/>
              <w:ind w:left="0" w:firstLine="0"/>
            </w:pPr>
            <w:r>
              <w:t xml:space="preserve"> </w:t>
            </w:r>
          </w:p>
        </w:tc>
        <w:tc>
          <w:tcPr>
            <w:tcW w:w="1942" w:type="dxa"/>
            <w:gridSpan w:val="2"/>
            <w:tcBorders>
              <w:top w:val="nil"/>
              <w:left w:val="nil"/>
              <w:bottom w:val="nil"/>
              <w:right w:val="nil"/>
            </w:tcBorders>
          </w:tcPr>
          <w:p w:rsidR="0023438A" w:rsidRDefault="00A02C86">
            <w:pPr>
              <w:spacing w:after="0" w:line="259" w:lineRule="auto"/>
              <w:ind w:left="0" w:firstLine="0"/>
            </w:pPr>
            <w:r>
              <w:t xml:space="preserve">Responsibility </w:t>
            </w:r>
          </w:p>
        </w:tc>
        <w:tc>
          <w:tcPr>
            <w:tcW w:w="3243" w:type="dxa"/>
            <w:gridSpan w:val="2"/>
            <w:tcBorders>
              <w:top w:val="nil"/>
              <w:left w:val="nil"/>
              <w:bottom w:val="nil"/>
              <w:right w:val="nil"/>
            </w:tcBorders>
          </w:tcPr>
          <w:p w:rsidR="0023438A" w:rsidRDefault="00A02C86">
            <w:pPr>
              <w:spacing w:after="120" w:line="238" w:lineRule="auto"/>
              <w:ind w:left="0" w:firstLine="0"/>
            </w:pPr>
            <w:r>
              <w:t xml:space="preserve">Higher education should do more outreach to employers to educate them on apprenticeship. </w:t>
            </w:r>
          </w:p>
          <w:p w:rsidR="0023438A" w:rsidRDefault="00A02C86">
            <w:pPr>
              <w:spacing w:after="0" w:line="259" w:lineRule="auto"/>
              <w:ind w:left="0" w:firstLine="0"/>
            </w:pPr>
            <w:r>
              <w:t xml:space="preserve">Create dialogues to better understand existing processes for training and share feedback. </w:t>
            </w:r>
          </w:p>
        </w:tc>
      </w:tr>
      <w:tr w:rsidR="0023438A">
        <w:trPr>
          <w:gridBefore w:val="1"/>
          <w:gridAfter w:val="1"/>
          <w:wBefore w:w="52" w:type="dxa"/>
          <w:wAfter w:w="357" w:type="dxa"/>
          <w:trHeight w:val="2964"/>
        </w:trPr>
        <w:tc>
          <w:tcPr>
            <w:tcW w:w="1889" w:type="dxa"/>
            <w:tcBorders>
              <w:top w:val="nil"/>
              <w:left w:val="nil"/>
              <w:bottom w:val="nil"/>
              <w:right w:val="nil"/>
            </w:tcBorders>
          </w:tcPr>
          <w:p w:rsidR="0023438A" w:rsidRDefault="00A02C86">
            <w:pPr>
              <w:spacing w:after="0" w:line="259" w:lineRule="auto"/>
              <w:ind w:left="0" w:firstLine="0"/>
            </w:pPr>
            <w:r>
              <w:t xml:space="preserve">Knowledge </w:t>
            </w:r>
          </w:p>
        </w:tc>
        <w:tc>
          <w:tcPr>
            <w:tcW w:w="1351" w:type="dxa"/>
            <w:gridSpan w:val="2"/>
            <w:tcBorders>
              <w:top w:val="nil"/>
              <w:left w:val="nil"/>
              <w:bottom w:val="nil"/>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720" w:type="dxa"/>
            <w:gridSpan w:val="2"/>
            <w:tcBorders>
              <w:top w:val="nil"/>
              <w:left w:val="nil"/>
              <w:bottom w:val="nil"/>
              <w:right w:val="nil"/>
            </w:tcBorders>
          </w:tcPr>
          <w:p w:rsidR="0023438A" w:rsidRDefault="00A02C86">
            <w:pPr>
              <w:spacing w:after="96" w:line="259" w:lineRule="auto"/>
              <w:ind w:left="0" w:firstLine="0"/>
            </w:pPr>
            <w:r>
              <w:t xml:space="preserve">10 </w:t>
            </w:r>
          </w:p>
          <w:p w:rsidR="0023438A" w:rsidRDefault="00A02C86">
            <w:pPr>
              <w:spacing w:after="0" w:line="259" w:lineRule="auto"/>
              <w:ind w:left="0" w:firstLine="0"/>
            </w:pPr>
            <w:r>
              <w:t xml:space="preserve">21 </w:t>
            </w:r>
          </w:p>
        </w:tc>
        <w:tc>
          <w:tcPr>
            <w:tcW w:w="1942" w:type="dxa"/>
            <w:gridSpan w:val="2"/>
            <w:tcBorders>
              <w:top w:val="nil"/>
              <w:left w:val="nil"/>
              <w:bottom w:val="nil"/>
              <w:right w:val="nil"/>
            </w:tcBorders>
          </w:tcPr>
          <w:p w:rsidR="0023438A" w:rsidRDefault="00A02C86">
            <w:pPr>
              <w:spacing w:after="0" w:line="259" w:lineRule="auto"/>
              <w:ind w:left="0" w:firstLine="0"/>
            </w:pPr>
            <w:r>
              <w:t xml:space="preserve">Understand </w:t>
            </w:r>
          </w:p>
          <w:p w:rsidR="0023438A" w:rsidRDefault="00A02C86">
            <w:pPr>
              <w:spacing w:after="0" w:line="259" w:lineRule="auto"/>
              <w:ind w:left="0" w:firstLine="0"/>
            </w:pPr>
            <w:r>
              <w:t xml:space="preserve">PWRA </w:t>
            </w:r>
          </w:p>
        </w:tc>
        <w:tc>
          <w:tcPr>
            <w:tcW w:w="3243" w:type="dxa"/>
            <w:gridSpan w:val="2"/>
            <w:tcBorders>
              <w:top w:val="nil"/>
              <w:left w:val="nil"/>
              <w:bottom w:val="nil"/>
              <w:right w:val="nil"/>
            </w:tcBorders>
          </w:tcPr>
          <w:p w:rsidR="0023438A" w:rsidRDefault="00A02C86">
            <w:pPr>
              <w:spacing w:after="120" w:line="238" w:lineRule="auto"/>
              <w:ind w:left="0" w:firstLine="0"/>
            </w:pPr>
            <w:r>
              <w:t xml:space="preserve">Learn more about the various industries. </w:t>
            </w:r>
          </w:p>
          <w:p w:rsidR="0023438A" w:rsidRDefault="00A02C86">
            <w:pPr>
              <w:spacing w:after="120" w:line="238" w:lineRule="auto"/>
              <w:ind w:left="0" w:firstLine="0"/>
            </w:pPr>
            <w:r>
              <w:t xml:space="preserve">More education to employers about apprenticeships </w:t>
            </w:r>
          </w:p>
          <w:p w:rsidR="0023438A" w:rsidRDefault="00A02C86">
            <w:pPr>
              <w:spacing w:after="120" w:line="238" w:lineRule="auto"/>
              <w:ind w:left="0" w:firstLine="0"/>
            </w:pPr>
            <w:r>
              <w:t xml:space="preserve">Understanding that non-trade occupations fit apprenticeship models, and the willingness to support and hire apprentices </w:t>
            </w:r>
          </w:p>
          <w:p w:rsidR="0023438A" w:rsidRDefault="00A02C86">
            <w:pPr>
              <w:spacing w:after="0" w:line="259" w:lineRule="auto"/>
              <w:ind w:left="0" w:firstLine="0"/>
            </w:pPr>
            <w:r>
              <w:t xml:space="preserve"> </w:t>
            </w:r>
          </w:p>
        </w:tc>
      </w:tr>
      <w:tr w:rsidR="0023438A">
        <w:trPr>
          <w:gridBefore w:val="1"/>
          <w:gridAfter w:val="1"/>
          <w:wBefore w:w="52" w:type="dxa"/>
          <w:wAfter w:w="357" w:type="dxa"/>
          <w:trHeight w:val="607"/>
        </w:trPr>
        <w:tc>
          <w:tcPr>
            <w:tcW w:w="1889" w:type="dxa"/>
            <w:tcBorders>
              <w:top w:val="nil"/>
              <w:left w:val="nil"/>
              <w:bottom w:val="nil"/>
              <w:right w:val="nil"/>
            </w:tcBorders>
          </w:tcPr>
          <w:p w:rsidR="0023438A" w:rsidRDefault="00A02C86">
            <w:pPr>
              <w:spacing w:after="0" w:line="259" w:lineRule="auto"/>
              <w:ind w:left="0" w:firstLine="0"/>
            </w:pPr>
            <w:r>
              <w:t xml:space="preserve"> </w:t>
            </w:r>
          </w:p>
        </w:tc>
        <w:tc>
          <w:tcPr>
            <w:tcW w:w="1351" w:type="dxa"/>
            <w:gridSpan w:val="2"/>
            <w:tcBorders>
              <w:top w:val="nil"/>
              <w:left w:val="nil"/>
              <w:bottom w:val="nil"/>
              <w:right w:val="nil"/>
            </w:tcBorders>
          </w:tcPr>
          <w:p w:rsidR="0023438A" w:rsidRDefault="00A02C86">
            <w:pPr>
              <w:spacing w:after="0" w:line="259" w:lineRule="auto"/>
              <w:ind w:left="0" w:firstLine="0"/>
            </w:pPr>
            <w:r>
              <w:t xml:space="preserve"> </w:t>
            </w:r>
          </w:p>
        </w:tc>
        <w:tc>
          <w:tcPr>
            <w:tcW w:w="720" w:type="dxa"/>
            <w:gridSpan w:val="2"/>
            <w:tcBorders>
              <w:top w:val="nil"/>
              <w:left w:val="nil"/>
              <w:bottom w:val="nil"/>
              <w:right w:val="nil"/>
            </w:tcBorders>
          </w:tcPr>
          <w:p w:rsidR="0023438A" w:rsidRDefault="00A02C86">
            <w:pPr>
              <w:spacing w:after="0" w:line="259" w:lineRule="auto"/>
              <w:ind w:left="0" w:firstLine="0"/>
            </w:pPr>
            <w:r>
              <w:t xml:space="preserve"> </w:t>
            </w:r>
          </w:p>
        </w:tc>
        <w:tc>
          <w:tcPr>
            <w:tcW w:w="1942" w:type="dxa"/>
            <w:gridSpan w:val="2"/>
            <w:tcBorders>
              <w:top w:val="nil"/>
              <w:left w:val="nil"/>
              <w:bottom w:val="nil"/>
              <w:right w:val="nil"/>
            </w:tcBorders>
          </w:tcPr>
          <w:p w:rsidR="0023438A" w:rsidRDefault="00A02C86">
            <w:pPr>
              <w:spacing w:after="0" w:line="259" w:lineRule="auto"/>
              <w:ind w:left="0" w:firstLine="0"/>
            </w:pPr>
            <w:r>
              <w:t xml:space="preserve">Non Traditional </w:t>
            </w:r>
            <w:r>
              <w:t xml:space="preserve"> </w:t>
            </w:r>
          </w:p>
        </w:tc>
        <w:tc>
          <w:tcPr>
            <w:tcW w:w="3243" w:type="dxa"/>
            <w:gridSpan w:val="2"/>
            <w:tcBorders>
              <w:top w:val="nil"/>
              <w:left w:val="nil"/>
              <w:bottom w:val="nil"/>
              <w:right w:val="nil"/>
            </w:tcBorders>
          </w:tcPr>
          <w:p w:rsidR="0023438A" w:rsidRDefault="00A02C86">
            <w:pPr>
              <w:spacing w:after="0" w:line="259" w:lineRule="auto"/>
              <w:ind w:left="0" w:firstLine="0"/>
            </w:pPr>
            <w:r>
              <w:t xml:space="preserve">Be willing to think outside of the traditional 'box', do things a </w:t>
            </w:r>
          </w:p>
        </w:tc>
      </w:tr>
      <w:tr w:rsidR="0023438A">
        <w:tblPrEx>
          <w:tblCellMar>
            <w:right w:w="105" w:type="dxa"/>
          </w:tblCellMar>
        </w:tblPrEx>
        <w:trPr>
          <w:trHeight w:val="406"/>
        </w:trPr>
        <w:tc>
          <w:tcPr>
            <w:tcW w:w="2198" w:type="dxa"/>
            <w:gridSpan w:val="3"/>
            <w:tcBorders>
              <w:top w:val="single" w:sz="4" w:space="0" w:color="000000"/>
              <w:left w:val="nil"/>
              <w:bottom w:val="single" w:sz="4" w:space="0" w:color="000000"/>
              <w:right w:val="nil"/>
            </w:tcBorders>
          </w:tcPr>
          <w:p w:rsidR="0023438A" w:rsidRDefault="00A02C86">
            <w:pPr>
              <w:spacing w:after="0" w:line="259" w:lineRule="auto"/>
              <w:ind w:left="310" w:firstLine="0"/>
            </w:pPr>
            <w:r>
              <w:t xml:space="preserve">Theme </w:t>
            </w:r>
          </w:p>
        </w:tc>
        <w:tc>
          <w:tcPr>
            <w:tcW w:w="1164"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Group </w:t>
            </w:r>
          </w:p>
        </w:tc>
        <w:tc>
          <w:tcPr>
            <w:tcW w:w="907" w:type="dxa"/>
            <w:gridSpan w:val="2"/>
            <w:tcBorders>
              <w:top w:val="single" w:sz="4" w:space="0" w:color="000000"/>
              <w:left w:val="nil"/>
              <w:bottom w:val="single" w:sz="4" w:space="0" w:color="000000"/>
              <w:right w:val="nil"/>
            </w:tcBorders>
          </w:tcPr>
          <w:p w:rsidR="0023438A" w:rsidRDefault="00A02C86">
            <w:pPr>
              <w:spacing w:after="0" w:line="259" w:lineRule="auto"/>
              <w:ind w:left="187" w:firstLine="0"/>
            </w:pPr>
            <w:r>
              <w:rPr>
                <w:i/>
              </w:rPr>
              <w:t xml:space="preserve">n </w:t>
            </w:r>
          </w:p>
        </w:tc>
        <w:tc>
          <w:tcPr>
            <w:tcW w:w="1942"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Category </w:t>
            </w:r>
          </w:p>
        </w:tc>
        <w:tc>
          <w:tcPr>
            <w:tcW w:w="3343" w:type="dxa"/>
            <w:gridSpan w:val="2"/>
            <w:tcBorders>
              <w:top w:val="single" w:sz="4" w:space="0" w:color="000000"/>
              <w:left w:val="nil"/>
              <w:bottom w:val="single" w:sz="4" w:space="0" w:color="000000"/>
              <w:right w:val="nil"/>
            </w:tcBorders>
          </w:tcPr>
          <w:p w:rsidR="0023438A" w:rsidRDefault="00A02C86">
            <w:pPr>
              <w:spacing w:after="0" w:line="259" w:lineRule="auto"/>
              <w:ind w:left="0" w:firstLine="0"/>
            </w:pPr>
            <w:r>
              <w:t xml:space="preserve">Example Responses </w:t>
            </w:r>
          </w:p>
        </w:tc>
      </w:tr>
      <w:tr w:rsidR="0023438A">
        <w:tblPrEx>
          <w:tblCellMar>
            <w:right w:w="105" w:type="dxa"/>
          </w:tblCellMar>
        </w:tblPrEx>
        <w:trPr>
          <w:trHeight w:val="2656"/>
        </w:trPr>
        <w:tc>
          <w:tcPr>
            <w:tcW w:w="2198" w:type="dxa"/>
            <w:gridSpan w:val="3"/>
            <w:tcBorders>
              <w:top w:val="single" w:sz="4" w:space="0" w:color="000000"/>
              <w:left w:val="nil"/>
              <w:bottom w:val="nil"/>
              <w:right w:val="nil"/>
            </w:tcBorders>
          </w:tcPr>
          <w:p w:rsidR="0023438A" w:rsidRDefault="0023438A">
            <w:pPr>
              <w:spacing w:after="160" w:line="259" w:lineRule="auto"/>
              <w:ind w:left="0" w:firstLine="0"/>
            </w:pPr>
          </w:p>
        </w:tc>
        <w:tc>
          <w:tcPr>
            <w:tcW w:w="1164" w:type="dxa"/>
            <w:gridSpan w:val="2"/>
            <w:tcBorders>
              <w:top w:val="single" w:sz="4" w:space="0" w:color="000000"/>
              <w:left w:val="nil"/>
              <w:bottom w:val="nil"/>
              <w:right w:val="nil"/>
            </w:tcBorders>
          </w:tcPr>
          <w:p w:rsidR="0023438A" w:rsidRDefault="0023438A">
            <w:pPr>
              <w:spacing w:after="160" w:line="259" w:lineRule="auto"/>
              <w:ind w:left="0" w:firstLine="0"/>
            </w:pPr>
          </w:p>
        </w:tc>
        <w:tc>
          <w:tcPr>
            <w:tcW w:w="907" w:type="dxa"/>
            <w:gridSpan w:val="2"/>
            <w:tcBorders>
              <w:top w:val="single" w:sz="4" w:space="0" w:color="000000"/>
              <w:left w:val="nil"/>
              <w:bottom w:val="nil"/>
              <w:right w:val="nil"/>
            </w:tcBorders>
          </w:tcPr>
          <w:p w:rsidR="0023438A" w:rsidRDefault="0023438A">
            <w:pPr>
              <w:spacing w:after="160" w:line="259" w:lineRule="auto"/>
              <w:ind w:left="0" w:firstLine="0"/>
            </w:pPr>
          </w:p>
        </w:tc>
        <w:tc>
          <w:tcPr>
            <w:tcW w:w="1942" w:type="dxa"/>
            <w:gridSpan w:val="2"/>
            <w:tcBorders>
              <w:top w:val="single" w:sz="4" w:space="0" w:color="000000"/>
              <w:left w:val="nil"/>
              <w:bottom w:val="nil"/>
              <w:right w:val="nil"/>
            </w:tcBorders>
          </w:tcPr>
          <w:p w:rsidR="0023438A" w:rsidRDefault="0023438A">
            <w:pPr>
              <w:spacing w:after="160" w:line="259" w:lineRule="auto"/>
              <w:ind w:left="0" w:firstLine="0"/>
            </w:pPr>
          </w:p>
        </w:tc>
        <w:tc>
          <w:tcPr>
            <w:tcW w:w="3343" w:type="dxa"/>
            <w:gridSpan w:val="2"/>
            <w:tcBorders>
              <w:top w:val="single" w:sz="4" w:space="0" w:color="000000"/>
              <w:left w:val="nil"/>
              <w:bottom w:val="nil"/>
              <w:right w:val="nil"/>
            </w:tcBorders>
          </w:tcPr>
          <w:p w:rsidR="0023438A" w:rsidRDefault="00A02C86">
            <w:pPr>
              <w:spacing w:after="120" w:line="238" w:lineRule="auto"/>
              <w:ind w:left="0" w:firstLine="0"/>
            </w:pPr>
            <w:r>
              <w:t xml:space="preserve">different and new way to meet the needs of the ever changing workforce </w:t>
            </w:r>
          </w:p>
          <w:p w:rsidR="0023438A" w:rsidRDefault="00A02C86">
            <w:pPr>
              <w:spacing w:after="0" w:line="259" w:lineRule="auto"/>
              <w:ind w:left="0" w:firstLine="0"/>
            </w:pPr>
            <w:r>
              <w:t xml:space="preserve">Institutions of Higher education should do more outreach to employers and educate them on apprenticeship opportunities and how to best implement them by industry </w:t>
            </w:r>
          </w:p>
        </w:tc>
      </w:tr>
      <w:tr w:rsidR="0023438A">
        <w:tblPrEx>
          <w:tblCellMar>
            <w:right w:w="105" w:type="dxa"/>
          </w:tblCellMar>
        </w:tblPrEx>
        <w:trPr>
          <w:trHeight w:val="1688"/>
        </w:trPr>
        <w:tc>
          <w:tcPr>
            <w:tcW w:w="2198" w:type="dxa"/>
            <w:gridSpan w:val="3"/>
            <w:tcBorders>
              <w:top w:val="nil"/>
              <w:left w:val="nil"/>
              <w:bottom w:val="single" w:sz="4" w:space="0" w:color="000000"/>
              <w:right w:val="nil"/>
            </w:tcBorders>
          </w:tcPr>
          <w:p w:rsidR="0023438A" w:rsidRDefault="00A02C86">
            <w:pPr>
              <w:spacing w:after="0" w:line="259" w:lineRule="auto"/>
              <w:ind w:left="310" w:firstLine="0"/>
            </w:pPr>
            <w:r>
              <w:t xml:space="preserve">Grant funding </w:t>
            </w:r>
          </w:p>
        </w:tc>
        <w:tc>
          <w:tcPr>
            <w:tcW w:w="1164" w:type="dxa"/>
            <w:gridSpan w:val="2"/>
            <w:tcBorders>
              <w:top w:val="nil"/>
              <w:left w:val="nil"/>
              <w:bottom w:val="single" w:sz="4" w:space="0" w:color="000000"/>
              <w:right w:val="nil"/>
            </w:tcBorders>
          </w:tcPr>
          <w:p w:rsidR="0023438A" w:rsidRDefault="00A02C86">
            <w:pPr>
              <w:spacing w:after="96" w:line="259" w:lineRule="auto"/>
              <w:ind w:left="0" w:firstLine="0"/>
            </w:pPr>
            <w:r>
              <w:t xml:space="preserve">Educator </w:t>
            </w:r>
          </w:p>
          <w:p w:rsidR="0023438A" w:rsidRDefault="00A02C86">
            <w:pPr>
              <w:spacing w:after="0" w:line="259" w:lineRule="auto"/>
              <w:ind w:left="0" w:firstLine="0"/>
            </w:pPr>
            <w:r>
              <w:t>Employer</w:t>
            </w:r>
            <w:r>
              <w:t xml:space="preserve"> </w:t>
            </w:r>
          </w:p>
        </w:tc>
        <w:tc>
          <w:tcPr>
            <w:tcW w:w="907" w:type="dxa"/>
            <w:gridSpan w:val="2"/>
            <w:tcBorders>
              <w:top w:val="nil"/>
              <w:left w:val="nil"/>
              <w:bottom w:val="single" w:sz="4" w:space="0" w:color="000000"/>
              <w:right w:val="nil"/>
            </w:tcBorders>
          </w:tcPr>
          <w:p w:rsidR="0023438A" w:rsidRDefault="00A02C86">
            <w:pPr>
              <w:spacing w:after="96" w:line="259" w:lineRule="auto"/>
              <w:ind w:left="0" w:firstLine="0"/>
            </w:pPr>
            <w:r>
              <w:t xml:space="preserve">4 </w:t>
            </w:r>
          </w:p>
          <w:p w:rsidR="0023438A" w:rsidRDefault="00A02C86">
            <w:pPr>
              <w:spacing w:after="0" w:line="259" w:lineRule="auto"/>
              <w:ind w:left="0" w:firstLine="0"/>
            </w:pPr>
            <w:r>
              <w:t xml:space="preserve">9 </w:t>
            </w:r>
          </w:p>
        </w:tc>
        <w:tc>
          <w:tcPr>
            <w:tcW w:w="1942" w:type="dxa"/>
            <w:gridSpan w:val="2"/>
            <w:tcBorders>
              <w:top w:val="nil"/>
              <w:left w:val="nil"/>
              <w:bottom w:val="single" w:sz="4" w:space="0" w:color="000000"/>
              <w:right w:val="nil"/>
            </w:tcBorders>
          </w:tcPr>
          <w:p w:rsidR="0023438A" w:rsidRDefault="00A02C86">
            <w:pPr>
              <w:spacing w:after="0" w:line="259" w:lineRule="auto"/>
              <w:ind w:left="0" w:firstLine="0"/>
            </w:pPr>
            <w:r>
              <w:t xml:space="preserve">Training costs </w:t>
            </w:r>
          </w:p>
        </w:tc>
        <w:tc>
          <w:tcPr>
            <w:tcW w:w="3343" w:type="dxa"/>
            <w:gridSpan w:val="2"/>
            <w:tcBorders>
              <w:top w:val="nil"/>
              <w:left w:val="nil"/>
              <w:bottom w:val="single" w:sz="4" w:space="0" w:color="000000"/>
              <w:right w:val="nil"/>
            </w:tcBorders>
          </w:tcPr>
          <w:p w:rsidR="0023438A" w:rsidRDefault="00A02C86">
            <w:pPr>
              <w:spacing w:after="96" w:line="259" w:lineRule="auto"/>
              <w:ind w:left="0" w:firstLine="0"/>
            </w:pPr>
            <w:r>
              <w:t xml:space="preserve">More funding for trade schools </w:t>
            </w:r>
          </w:p>
          <w:p w:rsidR="0023438A" w:rsidRDefault="00A02C86">
            <w:pPr>
              <w:spacing w:after="0" w:line="238" w:lineRule="auto"/>
              <w:ind w:left="0" w:firstLine="0"/>
            </w:pPr>
            <w:r>
              <w:t xml:space="preserve">Come up with a way to curve the costs, so it would not be a huge expense to the employer and </w:t>
            </w:r>
          </w:p>
          <w:p w:rsidR="0023438A" w:rsidRDefault="00A02C86">
            <w:pPr>
              <w:spacing w:after="0" w:line="259" w:lineRule="auto"/>
              <w:ind w:left="0" w:firstLine="0"/>
            </w:pPr>
            <w:r>
              <w:t xml:space="preserve">student </w:t>
            </w:r>
          </w:p>
        </w:tc>
      </w:tr>
    </w:tbl>
    <w:p w:rsidR="0023438A" w:rsidRDefault="00A02C86">
      <w:pPr>
        <w:spacing w:after="369" w:line="259" w:lineRule="auto"/>
        <w:ind w:left="1160" w:firstLine="0"/>
      </w:pPr>
      <w:r>
        <w:t xml:space="preserve"> </w:t>
      </w:r>
    </w:p>
    <w:p w:rsidR="0023438A" w:rsidRDefault="00A02C86">
      <w:pPr>
        <w:ind w:left="425" w:right="896" w:firstLine="720"/>
      </w:pPr>
      <w:r>
        <w:t>Figure 3 displays the frequencies of the themes represented that were associated with the responses. The frequencies displayed are a combined total from both questionnaires. Each response was only coded once into its respective category. Some respondents c</w:t>
      </w:r>
      <w:r>
        <w:t xml:space="preserve">hose not to respond or indicated Not Applicable.  </w:t>
      </w:r>
    </w:p>
    <w:p w:rsidR="0023438A" w:rsidRDefault="00A02C86">
      <w:pPr>
        <w:spacing w:after="0" w:line="259" w:lineRule="auto"/>
        <w:ind w:left="433" w:firstLine="0"/>
      </w:pPr>
      <w:r>
        <w:rPr>
          <w:rFonts w:ascii="Calibri" w:eastAsia="Calibri" w:hAnsi="Calibri" w:cs="Calibri"/>
          <w:noProof/>
          <w:sz w:val="22"/>
        </w:rPr>
        <w:lastRenderedPageBreak/>
        <mc:AlternateContent>
          <mc:Choice Requires="wpg">
            <w:drawing>
              <wp:inline distT="0" distB="0" distL="0" distR="0">
                <wp:extent cx="5660071" cy="3040022"/>
                <wp:effectExtent l="0" t="0" r="0" b="0"/>
                <wp:docPr id="102445" name="Group 102445"/>
                <wp:cNvGraphicFramePr/>
                <a:graphic xmlns:a="http://schemas.openxmlformats.org/drawingml/2006/main">
                  <a:graphicData uri="http://schemas.microsoft.com/office/word/2010/wordprocessingGroup">
                    <wpg:wgp>
                      <wpg:cNvGrpSpPr/>
                      <wpg:grpSpPr>
                        <a:xfrm>
                          <a:off x="0" y="0"/>
                          <a:ext cx="5660071" cy="3040022"/>
                          <a:chOff x="0" y="0"/>
                          <a:chExt cx="5660071" cy="3040022"/>
                        </a:xfrm>
                      </wpg:grpSpPr>
                      <wps:wsp>
                        <wps:cNvPr id="5381" name="Rectangle 5381"/>
                        <wps:cNvSpPr/>
                        <wps:spPr>
                          <a:xfrm>
                            <a:off x="5623565" y="2878002"/>
                            <a:ext cx="48552" cy="215487"/>
                          </a:xfrm>
                          <a:prstGeom prst="rect">
                            <a:avLst/>
                          </a:prstGeom>
                          <a:ln>
                            <a:noFill/>
                          </a:ln>
                        </wps:spPr>
                        <wps:txbx>
                          <w:txbxContent>
                            <w:p w:rsidR="0023438A" w:rsidRDefault="00A02C86">
                              <w:pPr>
                                <w:spacing w:after="160" w:line="259" w:lineRule="auto"/>
                                <w:ind w:left="0" w:firstLine="0"/>
                              </w:pPr>
                              <w:r>
                                <w:rPr>
                                  <w:sz w:val="23"/>
                                </w:rPr>
                                <w:t xml:space="preserve"> </w:t>
                              </w:r>
                            </w:p>
                          </w:txbxContent>
                        </wps:txbx>
                        <wps:bodyPr horzOverflow="overflow" vert="horz" lIns="0" tIns="0" rIns="0" bIns="0" rtlCol="0">
                          <a:noAutofit/>
                        </wps:bodyPr>
                      </wps:wsp>
                      <wps:wsp>
                        <wps:cNvPr id="143436" name="Shape 143436"/>
                        <wps:cNvSpPr/>
                        <wps:spPr>
                          <a:xfrm>
                            <a:off x="367284" y="2225040"/>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37" name="Shape 143437"/>
                        <wps:cNvSpPr/>
                        <wps:spPr>
                          <a:xfrm>
                            <a:off x="367284" y="2029968"/>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38" name="Shape 143438"/>
                        <wps:cNvSpPr/>
                        <wps:spPr>
                          <a:xfrm>
                            <a:off x="367284" y="1834896"/>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39" name="Shape 143439"/>
                        <wps:cNvSpPr/>
                        <wps:spPr>
                          <a:xfrm>
                            <a:off x="367284" y="1639824"/>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0" name="Shape 143440"/>
                        <wps:cNvSpPr/>
                        <wps:spPr>
                          <a:xfrm>
                            <a:off x="367284" y="1443228"/>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1" name="Shape 143441"/>
                        <wps:cNvSpPr/>
                        <wps:spPr>
                          <a:xfrm>
                            <a:off x="367284" y="1248156"/>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2" name="Shape 143442"/>
                        <wps:cNvSpPr/>
                        <wps:spPr>
                          <a:xfrm>
                            <a:off x="367284" y="1053084"/>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3" name="Shape 143443"/>
                        <wps:cNvSpPr/>
                        <wps:spPr>
                          <a:xfrm>
                            <a:off x="367284" y="858012"/>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4" name="Shape 143444"/>
                        <wps:cNvSpPr/>
                        <wps:spPr>
                          <a:xfrm>
                            <a:off x="367284" y="662940"/>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5" name="Shape 143445"/>
                        <wps:cNvSpPr/>
                        <wps:spPr>
                          <a:xfrm>
                            <a:off x="367284" y="466344"/>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43446" name="Shape 143446"/>
                        <wps:cNvSpPr/>
                        <wps:spPr>
                          <a:xfrm>
                            <a:off x="3176016" y="2337816"/>
                            <a:ext cx="341376" cy="86868"/>
                          </a:xfrm>
                          <a:custGeom>
                            <a:avLst/>
                            <a:gdLst/>
                            <a:ahLst/>
                            <a:cxnLst/>
                            <a:rect l="0" t="0" r="0" b="0"/>
                            <a:pathLst>
                              <a:path w="341376" h="86868">
                                <a:moveTo>
                                  <a:pt x="0" y="0"/>
                                </a:moveTo>
                                <a:lnTo>
                                  <a:pt x="341376" y="0"/>
                                </a:lnTo>
                                <a:lnTo>
                                  <a:pt x="341376" y="86868"/>
                                </a:lnTo>
                                <a:lnTo>
                                  <a:pt x="0" y="86868"/>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47" name="Shape 143447"/>
                        <wps:cNvSpPr/>
                        <wps:spPr>
                          <a:xfrm>
                            <a:off x="2325624" y="2220468"/>
                            <a:ext cx="339852" cy="204215"/>
                          </a:xfrm>
                          <a:custGeom>
                            <a:avLst/>
                            <a:gdLst/>
                            <a:ahLst/>
                            <a:cxnLst/>
                            <a:rect l="0" t="0" r="0" b="0"/>
                            <a:pathLst>
                              <a:path w="339852" h="204215">
                                <a:moveTo>
                                  <a:pt x="0" y="0"/>
                                </a:moveTo>
                                <a:lnTo>
                                  <a:pt x="339852" y="0"/>
                                </a:lnTo>
                                <a:lnTo>
                                  <a:pt x="339852" y="204215"/>
                                </a:lnTo>
                                <a:lnTo>
                                  <a:pt x="0" y="20421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48" name="Shape 143448"/>
                        <wps:cNvSpPr/>
                        <wps:spPr>
                          <a:xfrm>
                            <a:off x="4027932" y="2209800"/>
                            <a:ext cx="339852" cy="214884"/>
                          </a:xfrm>
                          <a:custGeom>
                            <a:avLst/>
                            <a:gdLst/>
                            <a:ahLst/>
                            <a:cxnLst/>
                            <a:rect l="0" t="0" r="0" b="0"/>
                            <a:pathLst>
                              <a:path w="339852" h="214884">
                                <a:moveTo>
                                  <a:pt x="0" y="0"/>
                                </a:moveTo>
                                <a:lnTo>
                                  <a:pt x="339852" y="0"/>
                                </a:lnTo>
                                <a:lnTo>
                                  <a:pt x="339852" y="214884"/>
                                </a:lnTo>
                                <a:lnTo>
                                  <a:pt x="0" y="21488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49" name="Shape 143449"/>
                        <wps:cNvSpPr/>
                        <wps:spPr>
                          <a:xfrm>
                            <a:off x="621792" y="2043684"/>
                            <a:ext cx="341376" cy="381000"/>
                          </a:xfrm>
                          <a:custGeom>
                            <a:avLst/>
                            <a:gdLst/>
                            <a:ahLst/>
                            <a:cxnLst/>
                            <a:rect l="0" t="0" r="0" b="0"/>
                            <a:pathLst>
                              <a:path w="341376" h="381000">
                                <a:moveTo>
                                  <a:pt x="0" y="0"/>
                                </a:moveTo>
                                <a:lnTo>
                                  <a:pt x="341376" y="0"/>
                                </a:lnTo>
                                <a:lnTo>
                                  <a:pt x="341376" y="381000"/>
                                </a:lnTo>
                                <a:lnTo>
                                  <a:pt x="0" y="3810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50" name="Shape 143450"/>
                        <wps:cNvSpPr/>
                        <wps:spPr>
                          <a:xfrm>
                            <a:off x="1473708" y="2034540"/>
                            <a:ext cx="339852" cy="390144"/>
                          </a:xfrm>
                          <a:custGeom>
                            <a:avLst/>
                            <a:gdLst/>
                            <a:ahLst/>
                            <a:cxnLst/>
                            <a:rect l="0" t="0" r="0" b="0"/>
                            <a:pathLst>
                              <a:path w="339852" h="390144">
                                <a:moveTo>
                                  <a:pt x="0" y="0"/>
                                </a:moveTo>
                                <a:lnTo>
                                  <a:pt x="339852" y="0"/>
                                </a:lnTo>
                                <a:lnTo>
                                  <a:pt x="339852" y="390144"/>
                                </a:lnTo>
                                <a:lnTo>
                                  <a:pt x="0" y="390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51" name="Shape 143451"/>
                        <wps:cNvSpPr/>
                        <wps:spPr>
                          <a:xfrm>
                            <a:off x="4879849" y="1146048"/>
                            <a:ext cx="339852" cy="1278636"/>
                          </a:xfrm>
                          <a:custGeom>
                            <a:avLst/>
                            <a:gdLst/>
                            <a:ahLst/>
                            <a:cxnLst/>
                            <a:rect l="0" t="0" r="0" b="0"/>
                            <a:pathLst>
                              <a:path w="339852" h="1278636">
                                <a:moveTo>
                                  <a:pt x="0" y="0"/>
                                </a:moveTo>
                                <a:lnTo>
                                  <a:pt x="339852" y="0"/>
                                </a:lnTo>
                                <a:lnTo>
                                  <a:pt x="339852" y="1278636"/>
                                </a:lnTo>
                                <a:lnTo>
                                  <a:pt x="0" y="1278636"/>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43452" name="Shape 143452"/>
                        <wps:cNvSpPr/>
                        <wps:spPr>
                          <a:xfrm>
                            <a:off x="3176016" y="2298192"/>
                            <a:ext cx="341376" cy="39624"/>
                          </a:xfrm>
                          <a:custGeom>
                            <a:avLst/>
                            <a:gdLst/>
                            <a:ahLst/>
                            <a:cxnLst/>
                            <a:rect l="0" t="0" r="0" b="0"/>
                            <a:pathLst>
                              <a:path w="341376" h="39624">
                                <a:moveTo>
                                  <a:pt x="0" y="0"/>
                                </a:moveTo>
                                <a:lnTo>
                                  <a:pt x="341376" y="0"/>
                                </a:lnTo>
                                <a:lnTo>
                                  <a:pt x="341376" y="39624"/>
                                </a:lnTo>
                                <a:lnTo>
                                  <a:pt x="0" y="39624"/>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3" name="Shape 143453"/>
                        <wps:cNvSpPr/>
                        <wps:spPr>
                          <a:xfrm>
                            <a:off x="4027932" y="2161032"/>
                            <a:ext cx="339852" cy="48768"/>
                          </a:xfrm>
                          <a:custGeom>
                            <a:avLst/>
                            <a:gdLst/>
                            <a:ahLst/>
                            <a:cxnLst/>
                            <a:rect l="0" t="0" r="0" b="0"/>
                            <a:pathLst>
                              <a:path w="339852" h="48768">
                                <a:moveTo>
                                  <a:pt x="0" y="0"/>
                                </a:moveTo>
                                <a:lnTo>
                                  <a:pt x="339852" y="0"/>
                                </a:lnTo>
                                <a:lnTo>
                                  <a:pt x="339852" y="48768"/>
                                </a:lnTo>
                                <a:lnTo>
                                  <a:pt x="0" y="48768"/>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4" name="Shape 143454"/>
                        <wps:cNvSpPr/>
                        <wps:spPr>
                          <a:xfrm>
                            <a:off x="2325624" y="2122932"/>
                            <a:ext cx="339852" cy="97537"/>
                          </a:xfrm>
                          <a:custGeom>
                            <a:avLst/>
                            <a:gdLst/>
                            <a:ahLst/>
                            <a:cxnLst/>
                            <a:rect l="0" t="0" r="0" b="0"/>
                            <a:pathLst>
                              <a:path w="339852" h="97537">
                                <a:moveTo>
                                  <a:pt x="0" y="0"/>
                                </a:moveTo>
                                <a:lnTo>
                                  <a:pt x="339852" y="0"/>
                                </a:lnTo>
                                <a:lnTo>
                                  <a:pt x="339852" y="97537"/>
                                </a:lnTo>
                                <a:lnTo>
                                  <a:pt x="0" y="97537"/>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5" name="Shape 143455"/>
                        <wps:cNvSpPr/>
                        <wps:spPr>
                          <a:xfrm>
                            <a:off x="1473708" y="1937004"/>
                            <a:ext cx="339852" cy="97536"/>
                          </a:xfrm>
                          <a:custGeom>
                            <a:avLst/>
                            <a:gdLst/>
                            <a:ahLst/>
                            <a:cxnLst/>
                            <a:rect l="0" t="0" r="0" b="0"/>
                            <a:pathLst>
                              <a:path w="339852" h="97536">
                                <a:moveTo>
                                  <a:pt x="0" y="0"/>
                                </a:moveTo>
                                <a:lnTo>
                                  <a:pt x="339852" y="0"/>
                                </a:lnTo>
                                <a:lnTo>
                                  <a:pt x="339852" y="97536"/>
                                </a:lnTo>
                                <a:lnTo>
                                  <a:pt x="0" y="97536"/>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6" name="Shape 143456"/>
                        <wps:cNvSpPr/>
                        <wps:spPr>
                          <a:xfrm>
                            <a:off x="621792" y="1799844"/>
                            <a:ext cx="341376" cy="243839"/>
                          </a:xfrm>
                          <a:custGeom>
                            <a:avLst/>
                            <a:gdLst/>
                            <a:ahLst/>
                            <a:cxnLst/>
                            <a:rect l="0" t="0" r="0" b="0"/>
                            <a:pathLst>
                              <a:path w="341376" h="243839">
                                <a:moveTo>
                                  <a:pt x="0" y="0"/>
                                </a:moveTo>
                                <a:lnTo>
                                  <a:pt x="341376" y="0"/>
                                </a:lnTo>
                                <a:lnTo>
                                  <a:pt x="341376" y="243839"/>
                                </a:lnTo>
                                <a:lnTo>
                                  <a:pt x="0" y="243839"/>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7" name="Shape 143457"/>
                        <wps:cNvSpPr/>
                        <wps:spPr>
                          <a:xfrm>
                            <a:off x="4879849" y="617220"/>
                            <a:ext cx="339852" cy="528828"/>
                          </a:xfrm>
                          <a:custGeom>
                            <a:avLst/>
                            <a:gdLst/>
                            <a:ahLst/>
                            <a:cxnLst/>
                            <a:rect l="0" t="0" r="0" b="0"/>
                            <a:pathLst>
                              <a:path w="339852" h="528828">
                                <a:moveTo>
                                  <a:pt x="0" y="0"/>
                                </a:moveTo>
                                <a:lnTo>
                                  <a:pt x="339852" y="0"/>
                                </a:lnTo>
                                <a:lnTo>
                                  <a:pt x="339852" y="528828"/>
                                </a:lnTo>
                                <a:lnTo>
                                  <a:pt x="0" y="528828"/>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143458" name="Shape 143458"/>
                        <wps:cNvSpPr/>
                        <wps:spPr>
                          <a:xfrm>
                            <a:off x="367284" y="2420112"/>
                            <a:ext cx="5108448" cy="9144"/>
                          </a:xfrm>
                          <a:custGeom>
                            <a:avLst/>
                            <a:gdLst/>
                            <a:ahLst/>
                            <a:cxnLst/>
                            <a:rect l="0" t="0" r="0" b="0"/>
                            <a:pathLst>
                              <a:path w="5108448" h="9144">
                                <a:moveTo>
                                  <a:pt x="0" y="0"/>
                                </a:moveTo>
                                <a:lnTo>
                                  <a:pt x="5108448" y="0"/>
                                </a:lnTo>
                                <a:lnTo>
                                  <a:pt x="51084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5406" name="Rectangle 5406"/>
                        <wps:cNvSpPr/>
                        <wps:spPr>
                          <a:xfrm>
                            <a:off x="202693" y="2370962"/>
                            <a:ext cx="77074"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0</w:t>
                              </w:r>
                            </w:p>
                          </w:txbxContent>
                        </wps:txbx>
                        <wps:bodyPr horzOverflow="overflow" vert="horz" lIns="0" tIns="0" rIns="0" bIns="0" rtlCol="0">
                          <a:noAutofit/>
                        </wps:bodyPr>
                      </wps:wsp>
                      <wps:wsp>
                        <wps:cNvPr id="5407" name="Rectangle 5407"/>
                        <wps:cNvSpPr/>
                        <wps:spPr>
                          <a:xfrm>
                            <a:off x="144781" y="2175890"/>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20</w:t>
                              </w:r>
                            </w:p>
                          </w:txbxContent>
                        </wps:txbx>
                        <wps:bodyPr horzOverflow="overflow" vert="horz" lIns="0" tIns="0" rIns="0" bIns="0" rtlCol="0">
                          <a:noAutofit/>
                        </wps:bodyPr>
                      </wps:wsp>
                      <wps:wsp>
                        <wps:cNvPr id="5408" name="Rectangle 5408"/>
                        <wps:cNvSpPr/>
                        <wps:spPr>
                          <a:xfrm>
                            <a:off x="144781" y="1980818"/>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40</w:t>
                              </w:r>
                            </w:p>
                          </w:txbxContent>
                        </wps:txbx>
                        <wps:bodyPr horzOverflow="overflow" vert="horz" lIns="0" tIns="0" rIns="0" bIns="0" rtlCol="0">
                          <a:noAutofit/>
                        </wps:bodyPr>
                      </wps:wsp>
                      <wps:wsp>
                        <wps:cNvPr id="5409" name="Rectangle 5409"/>
                        <wps:cNvSpPr/>
                        <wps:spPr>
                          <a:xfrm>
                            <a:off x="144781" y="1785745"/>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60</w:t>
                              </w:r>
                            </w:p>
                          </w:txbxContent>
                        </wps:txbx>
                        <wps:bodyPr horzOverflow="overflow" vert="horz" lIns="0" tIns="0" rIns="0" bIns="0" rtlCol="0">
                          <a:noAutofit/>
                        </wps:bodyPr>
                      </wps:wsp>
                      <wps:wsp>
                        <wps:cNvPr id="5410" name="Rectangle 5410"/>
                        <wps:cNvSpPr/>
                        <wps:spPr>
                          <a:xfrm>
                            <a:off x="144781" y="1590674"/>
                            <a:ext cx="1541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80</w:t>
                              </w:r>
                            </w:p>
                          </w:txbxContent>
                        </wps:txbx>
                        <wps:bodyPr horzOverflow="overflow" vert="horz" lIns="0" tIns="0" rIns="0" bIns="0" rtlCol="0">
                          <a:noAutofit/>
                        </wps:bodyPr>
                      </wps:wsp>
                      <wps:wsp>
                        <wps:cNvPr id="5411" name="Rectangle 5411"/>
                        <wps:cNvSpPr/>
                        <wps:spPr>
                          <a:xfrm>
                            <a:off x="86869" y="1394077"/>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100</w:t>
                              </w:r>
                            </w:p>
                          </w:txbxContent>
                        </wps:txbx>
                        <wps:bodyPr horzOverflow="overflow" vert="horz" lIns="0" tIns="0" rIns="0" bIns="0" rtlCol="0">
                          <a:noAutofit/>
                        </wps:bodyPr>
                      </wps:wsp>
                      <wps:wsp>
                        <wps:cNvPr id="5412" name="Rectangle 5412"/>
                        <wps:cNvSpPr/>
                        <wps:spPr>
                          <a:xfrm>
                            <a:off x="86869" y="1199005"/>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120</w:t>
                              </w:r>
                            </w:p>
                          </w:txbxContent>
                        </wps:txbx>
                        <wps:bodyPr horzOverflow="overflow" vert="horz" lIns="0" tIns="0" rIns="0" bIns="0" rtlCol="0">
                          <a:noAutofit/>
                        </wps:bodyPr>
                      </wps:wsp>
                      <wps:wsp>
                        <wps:cNvPr id="5413" name="Rectangle 5413"/>
                        <wps:cNvSpPr/>
                        <wps:spPr>
                          <a:xfrm>
                            <a:off x="86869" y="1003933"/>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140</w:t>
                              </w:r>
                            </w:p>
                          </w:txbxContent>
                        </wps:txbx>
                        <wps:bodyPr horzOverflow="overflow" vert="horz" lIns="0" tIns="0" rIns="0" bIns="0" rtlCol="0">
                          <a:noAutofit/>
                        </wps:bodyPr>
                      </wps:wsp>
                      <wps:wsp>
                        <wps:cNvPr id="5414" name="Rectangle 5414"/>
                        <wps:cNvSpPr/>
                        <wps:spPr>
                          <a:xfrm>
                            <a:off x="86869" y="808861"/>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160</w:t>
                              </w:r>
                            </w:p>
                          </w:txbxContent>
                        </wps:txbx>
                        <wps:bodyPr horzOverflow="overflow" vert="horz" lIns="0" tIns="0" rIns="0" bIns="0" rtlCol="0">
                          <a:noAutofit/>
                        </wps:bodyPr>
                      </wps:wsp>
                      <wps:wsp>
                        <wps:cNvPr id="5415" name="Rectangle 5415"/>
                        <wps:cNvSpPr/>
                        <wps:spPr>
                          <a:xfrm>
                            <a:off x="86869" y="613789"/>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180</w:t>
                              </w:r>
                            </w:p>
                          </w:txbxContent>
                        </wps:txbx>
                        <wps:bodyPr horzOverflow="overflow" vert="horz" lIns="0" tIns="0" rIns="0" bIns="0" rtlCol="0">
                          <a:noAutofit/>
                        </wps:bodyPr>
                      </wps:wsp>
                      <wps:wsp>
                        <wps:cNvPr id="5416" name="Rectangle 5416"/>
                        <wps:cNvSpPr/>
                        <wps:spPr>
                          <a:xfrm>
                            <a:off x="86869" y="417192"/>
                            <a:ext cx="231170"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200</w:t>
                              </w:r>
                            </w:p>
                          </w:txbxContent>
                        </wps:txbx>
                        <wps:bodyPr horzOverflow="overflow" vert="horz" lIns="0" tIns="0" rIns="0" bIns="0" rtlCol="0">
                          <a:noAutofit/>
                        </wps:bodyPr>
                      </wps:wsp>
                      <wps:wsp>
                        <wps:cNvPr id="18250" name="Rectangle 18250"/>
                        <wps:cNvSpPr/>
                        <wps:spPr>
                          <a:xfrm>
                            <a:off x="478537" y="2520314"/>
                            <a:ext cx="3023985" cy="152019"/>
                          </a:xfrm>
                          <a:prstGeom prst="rect">
                            <a:avLst/>
                          </a:prstGeom>
                          <a:ln>
                            <a:noFill/>
                          </a:ln>
                        </wps:spPr>
                        <wps:txbx>
                          <w:txbxContent>
                            <w:p w:rsidR="0023438A" w:rsidRDefault="00A02C86">
                              <w:pPr>
                                <w:spacing w:after="160" w:line="259" w:lineRule="auto"/>
                                <w:ind w:left="0" w:firstLine="0"/>
                              </w:pPr>
                              <w:proofErr w:type="spellStart"/>
                              <w:r>
                                <w:rPr>
                                  <w:rFonts w:ascii="Calibri" w:eastAsia="Calibri" w:hAnsi="Calibri" w:cs="Calibri"/>
                                  <w:color w:val="595959"/>
                                  <w:sz w:val="18"/>
                                </w:rPr>
                                <w:t>CollaborationCommunicationKnowledge</w:t>
                              </w:r>
                              <w:proofErr w:type="spellEnd"/>
                            </w:p>
                          </w:txbxContent>
                        </wps:txbx>
                        <wps:bodyPr horzOverflow="overflow" vert="horz" lIns="0" tIns="0" rIns="0" bIns="0" rtlCol="0">
                          <a:noAutofit/>
                        </wps:bodyPr>
                      </wps:wsp>
                      <wps:wsp>
                        <wps:cNvPr id="18266" name="Rectangle 18266"/>
                        <wps:cNvSpPr/>
                        <wps:spPr>
                          <a:xfrm>
                            <a:off x="4105058" y="2520314"/>
                            <a:ext cx="24413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N/A</w:t>
                              </w:r>
                            </w:p>
                          </w:txbxContent>
                        </wps:txbx>
                        <wps:bodyPr horzOverflow="overflow" vert="horz" lIns="0" tIns="0" rIns="0" bIns="0" rtlCol="0">
                          <a:noAutofit/>
                        </wps:bodyPr>
                      </wps:wsp>
                      <wps:wsp>
                        <wps:cNvPr id="18276" name="Rectangle 18276"/>
                        <wps:cNvSpPr/>
                        <wps:spPr>
                          <a:xfrm>
                            <a:off x="4931142" y="2520314"/>
                            <a:ext cx="312407"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Total</w:t>
                              </w:r>
                            </w:p>
                          </w:txbxContent>
                        </wps:txbx>
                        <wps:bodyPr horzOverflow="overflow" vert="horz" lIns="0" tIns="0" rIns="0" bIns="0" rtlCol="0">
                          <a:noAutofit/>
                        </wps:bodyPr>
                      </wps:wsp>
                      <wps:wsp>
                        <wps:cNvPr id="18253" name="Rectangle 18253"/>
                        <wps:cNvSpPr/>
                        <wps:spPr>
                          <a:xfrm>
                            <a:off x="3213500" y="2520314"/>
                            <a:ext cx="352955"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Grant</w:t>
                              </w:r>
                            </w:p>
                          </w:txbxContent>
                        </wps:txbx>
                        <wps:bodyPr horzOverflow="overflow" vert="horz" lIns="0" tIns="0" rIns="0" bIns="0" rtlCol="0">
                          <a:noAutofit/>
                        </wps:bodyPr>
                      </wps:wsp>
                      <wps:wsp>
                        <wps:cNvPr id="5418" name="Rectangle 5418"/>
                        <wps:cNvSpPr/>
                        <wps:spPr>
                          <a:xfrm>
                            <a:off x="1661162" y="131442"/>
                            <a:ext cx="3051586" cy="237150"/>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28"/>
                                </w:rPr>
                                <w:t>Open-ended Recommendations</w:t>
                              </w:r>
                            </w:p>
                          </w:txbxContent>
                        </wps:txbx>
                        <wps:bodyPr horzOverflow="overflow" vert="horz" lIns="0" tIns="0" rIns="0" bIns="0" rtlCol="0">
                          <a:noAutofit/>
                        </wps:bodyPr>
                      </wps:wsp>
                      <wps:wsp>
                        <wps:cNvPr id="143459" name="Shape 143459"/>
                        <wps:cNvSpPr/>
                        <wps:spPr>
                          <a:xfrm>
                            <a:off x="2209800" y="2795016"/>
                            <a:ext cx="64008" cy="64008"/>
                          </a:xfrm>
                          <a:custGeom>
                            <a:avLst/>
                            <a:gdLst/>
                            <a:ahLst/>
                            <a:cxnLst/>
                            <a:rect l="0" t="0" r="0" b="0"/>
                            <a:pathLst>
                              <a:path w="64008" h="64008">
                                <a:moveTo>
                                  <a:pt x="0" y="0"/>
                                </a:moveTo>
                                <a:lnTo>
                                  <a:pt x="64008" y="0"/>
                                </a:lnTo>
                                <a:lnTo>
                                  <a:pt x="64008" y="64008"/>
                                </a:lnTo>
                                <a:lnTo>
                                  <a:pt x="0" y="64008"/>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420" name="Rectangle 5420"/>
                        <wps:cNvSpPr/>
                        <wps:spPr>
                          <a:xfrm>
                            <a:off x="2299719" y="2773298"/>
                            <a:ext cx="647222"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Employers</w:t>
                              </w:r>
                            </w:p>
                          </w:txbxContent>
                        </wps:txbx>
                        <wps:bodyPr horzOverflow="overflow" vert="horz" lIns="0" tIns="0" rIns="0" bIns="0" rtlCol="0">
                          <a:noAutofit/>
                        </wps:bodyPr>
                      </wps:wsp>
                      <wps:wsp>
                        <wps:cNvPr id="143460" name="Shape 143460"/>
                        <wps:cNvSpPr/>
                        <wps:spPr>
                          <a:xfrm>
                            <a:off x="2903220" y="2795016"/>
                            <a:ext cx="62484" cy="64008"/>
                          </a:xfrm>
                          <a:custGeom>
                            <a:avLst/>
                            <a:gdLst/>
                            <a:ahLst/>
                            <a:cxnLst/>
                            <a:rect l="0" t="0" r="0" b="0"/>
                            <a:pathLst>
                              <a:path w="62484" h="64008">
                                <a:moveTo>
                                  <a:pt x="0" y="0"/>
                                </a:moveTo>
                                <a:lnTo>
                                  <a:pt x="62484" y="0"/>
                                </a:lnTo>
                                <a:lnTo>
                                  <a:pt x="62484" y="64008"/>
                                </a:lnTo>
                                <a:lnTo>
                                  <a:pt x="0" y="64008"/>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5422" name="Rectangle 5422"/>
                        <wps:cNvSpPr/>
                        <wps:spPr>
                          <a:xfrm>
                            <a:off x="2993139" y="2773298"/>
                            <a:ext cx="614686" cy="152019"/>
                          </a:xfrm>
                          <a:prstGeom prst="rect">
                            <a:avLst/>
                          </a:prstGeom>
                          <a:ln>
                            <a:noFill/>
                          </a:ln>
                        </wps:spPr>
                        <wps:txbx>
                          <w:txbxContent>
                            <w:p w:rsidR="0023438A" w:rsidRDefault="00A02C86">
                              <w:pPr>
                                <w:spacing w:after="160" w:line="259" w:lineRule="auto"/>
                                <w:ind w:left="0" w:firstLine="0"/>
                              </w:pPr>
                              <w:r>
                                <w:rPr>
                                  <w:rFonts w:ascii="Calibri" w:eastAsia="Calibri" w:hAnsi="Calibri" w:cs="Calibri"/>
                                  <w:color w:val="595959"/>
                                  <w:sz w:val="18"/>
                                </w:rPr>
                                <w:t>Educators</w:t>
                              </w:r>
                            </w:p>
                          </w:txbxContent>
                        </wps:txbx>
                        <wps:bodyPr horzOverflow="overflow" vert="horz" lIns="0" tIns="0" rIns="0" bIns="0" rtlCol="0">
                          <a:noAutofit/>
                        </wps:bodyPr>
                      </wps:wsp>
                      <wps:wsp>
                        <wps:cNvPr id="5423" name="Shape 5423"/>
                        <wps:cNvSpPr/>
                        <wps:spPr>
                          <a:xfrm>
                            <a:off x="0" y="0"/>
                            <a:ext cx="2811018" cy="3015996"/>
                          </a:xfrm>
                          <a:custGeom>
                            <a:avLst/>
                            <a:gdLst/>
                            <a:ahLst/>
                            <a:cxnLst/>
                            <a:rect l="0" t="0" r="0" b="0"/>
                            <a:pathLst>
                              <a:path w="2811018" h="3015996">
                                <a:moveTo>
                                  <a:pt x="1524" y="0"/>
                                </a:moveTo>
                                <a:lnTo>
                                  <a:pt x="2811018" y="0"/>
                                </a:lnTo>
                                <a:lnTo>
                                  <a:pt x="2811018" y="6096"/>
                                </a:lnTo>
                                <a:lnTo>
                                  <a:pt x="10668" y="6096"/>
                                </a:lnTo>
                                <a:lnTo>
                                  <a:pt x="10668" y="3006852"/>
                                </a:lnTo>
                                <a:lnTo>
                                  <a:pt x="2811018" y="3006852"/>
                                </a:lnTo>
                                <a:lnTo>
                                  <a:pt x="2811018" y="3015996"/>
                                </a:lnTo>
                                <a:lnTo>
                                  <a:pt x="4572" y="3015996"/>
                                </a:lnTo>
                                <a:cubicBezTo>
                                  <a:pt x="3048" y="3015996"/>
                                  <a:pt x="0" y="3012948"/>
                                  <a:pt x="0" y="3011424"/>
                                </a:cubicBezTo>
                                <a:lnTo>
                                  <a:pt x="0" y="1524"/>
                                </a:lnTo>
                                <a:lnTo>
                                  <a:pt x="1524"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5424" name="Shape 5424"/>
                        <wps:cNvSpPr/>
                        <wps:spPr>
                          <a:xfrm>
                            <a:off x="2811018" y="0"/>
                            <a:ext cx="2809494" cy="3015996"/>
                          </a:xfrm>
                          <a:custGeom>
                            <a:avLst/>
                            <a:gdLst/>
                            <a:ahLst/>
                            <a:cxnLst/>
                            <a:rect l="0" t="0" r="0" b="0"/>
                            <a:pathLst>
                              <a:path w="2809494" h="3015996">
                                <a:moveTo>
                                  <a:pt x="0" y="0"/>
                                </a:moveTo>
                                <a:lnTo>
                                  <a:pt x="2807970" y="0"/>
                                </a:lnTo>
                                <a:lnTo>
                                  <a:pt x="2809494" y="1524"/>
                                </a:lnTo>
                                <a:lnTo>
                                  <a:pt x="2809494" y="3011424"/>
                                </a:lnTo>
                                <a:cubicBezTo>
                                  <a:pt x="2809494" y="3012948"/>
                                  <a:pt x="2806446" y="3015996"/>
                                  <a:pt x="2804922" y="3015996"/>
                                </a:cubicBezTo>
                                <a:lnTo>
                                  <a:pt x="0" y="3015996"/>
                                </a:lnTo>
                                <a:lnTo>
                                  <a:pt x="0" y="3006852"/>
                                </a:lnTo>
                                <a:lnTo>
                                  <a:pt x="2800350" y="3006852"/>
                                </a:lnTo>
                                <a:lnTo>
                                  <a:pt x="2800350" y="6096"/>
                                </a:lnTo>
                                <a:lnTo>
                                  <a:pt x="0" y="6096"/>
                                </a:lnTo>
                                <a:lnTo>
                                  <a:pt x="0" y="0"/>
                                </a:lnTo>
                                <a:close/>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w:pict>
              <v:group id="Group 102445" o:spid="_x0000_s1093" style="width:445.65pt;height:239.35pt;mso-position-horizontal-relative:char;mso-position-vertical-relative:line" coordsize="56600,30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it7gsAALGKAAAOAAAAZHJzL2Uyb0RvYy54bWzsXW2PnDgS/n7S/YdWf7+MzTujTFa3ySU6&#10;6XS7yu79AIahXyS6QUDSk/3195SNjaGZNPQk3aOBXSlmTGHKLp6qcrnsfvvL4y5dfE2Kcpvt75b8&#10;DVsukn2cPWz367vl//78+I9guSiraP8Qpdk+uVt+S8rlL+/+/re3h/w2sbJNlj4kxQKN7MvbQ363&#10;3FRVfntzU8abZBeVb7I82ePmKit2UYU/i/XNQxEd0PouvbEY824OWfGQF1mclCVqP8iby3ei/dUq&#10;iavfVqsyqRbp3RK8VeLfQvx7T//evHsb3a6LKN9s45qN6AwudtF2j5fqpj5EVbT4UmyPmtpt4yIr&#10;s1X1Js52N9lqtY0T0Qf0hrNObz4V2Zdc9GV9e1jnepgwtJ1xOrvZ+L9ffy8W2wfIjlmO4y4X+2gH&#10;OYlXL+o6DNIhX9+C9lOR/5H/XtQVa/kX9ftxVeyoRI8Wj2J4v+nhTR6rRYxK1/MY8/lyEeOezRzG&#10;LEsKIN5ASkfPxZt/nXjyRr34hvjT7BxyfExlM17l88brj02UJ0IMJY1BPV6uHaArcrQ+4zuL9us0&#10;WYhaMTyCVg9WeVti3HpGyvUs2/Uw7hgTK/ADDIocEzVqTuC6lhwzi7tO4NNt3fHoNi/K6lOS7RZ0&#10;cbcswIr4EqOv/ykrSapI6PXpnv7dZx+3aSrvUg3GT3FIV9Xj/aP4KBxOb6Oq++zhG3q+yYq/fgPe&#10;V2l2uFtm9dWSVABeTneXi/Tfe4w4oU1dFOriXl0UVfo+E5iU7PzzS5WttoLf5m01XxCl5OGny5Q7&#10;tmN7SqpC7ou6rh4GyP+0TG3PtwJHitSyXHzpbZG6nAWOA81IQAi543REGn+RIqWhUWKEanmQAkXd&#10;Rl3Fj3t1SYL/rpbLo4qeo0bpcgH5aUY2NR90cwep/pkJsqqDSXx2zd10b1LpphTuQasoVJmL9kxK&#10;o/OKSJWSGF9Re4zUbVWaZGKY9XtxQf0UYNF9R6U5uumehgEviSMYn1UaSezsthWsUrrdQS1aPmNN&#10;w0dQKatvaUKDle4/JyuARmg/qiiL9f37tFh8jeg7F/9JYKb5Jqpra8HXpIJV0Q49vwJCdZNcPNpq&#10;8kNI/9ct1MT0XCLMnn6SySfjmhtp+2BB0GllATEo+iHx5mxf6ef3sNviJUJFyN42ECUVQn8dLotR&#10;vwejQjESL6Mxyqww9ALqJAZCmZwZo6ShhoNvIJQbKJH2mDFqKozXhVF8PdI7MuyoANk5GOWB7QSh&#10;N2OUdNRsR2kUotmODptG9s9fhF8b9mBUuBRnYdSzw8ASzuxsR2eMzhgdEep5GqOYPB7ZUTmhPAuj&#10;jmNb1uzrGvPbeT46z0cHhWO/g1EdCWx83SZ0NnY+yi0n4O7s684YpaDRHDMas2TyHYwiiN6djzoi&#10;1n6WHWWujSDuPB+d56MzRss3o9Yfv4NRuwejNoHsHIwGbsB4ZzVNO3vz0kuz7qTWUlRprqnMYd15&#10;6UUteVPICIuVx2ZU2MFzIOp5Vjivjj61jjoQewPJ5pUX8lX0QmdrqfZVrbw0WTzGbNQ914o6ngfU&#10;z47u7OjOju6Pc3R7kowcEfEZbkW57zGOdrBEb9m2H+AajnKz8mI73PZxnzzdwMP/dBsL7ipVz8yD&#10;+alZRooRJBlJPojLJo/I9DaVjWrutn1S1RS6pEgVgSplcwah2XdFpErz3UPp2i9+7RkMzseA//qh&#10;/nSmlWXk9GQZoW7MbNSyLSR46lRA5nTTjGwsmer0TuYgw/NqKK05AUotycgzYFq3dRqmDWH9Uqmj&#10;FD5VaeJ0MOEMVGEOXn86ICWqHYV2x6UaOczyQxshYrKmFguRh01ANKypCVTuBDL2exVzagBVMnJh&#10;oJq9VwBVZQuoQwlnoE4FqD35Rs64fCPP4n5Y45QhWb+7BqMcP7HHJOA0Z7m+24utImry1Hi2JlQU&#10;k83dNqBUr04b1NrpB2H90tMGdTCh4lLyNnu+rzZ31+3JOUIdPqXB01Pu+LbPZAa5xWzH7YZ5Tc/X&#10;DlmzGnH5+WljUGtGLmtQW71XuFelqSUGE85AnYhBdXsSj1A3BqjYURgGMMLk+XLueAzeNJ7v93yx&#10;GyrwsENOGpVrIlVxclmoqrfK/iuMqtLE6nDKGaxTAWtPBhJiP2PAaptBXysMOFzhNliNoK8dUujp&#10;WlCtGUE4SfLxDKA2Pm0bK80OU4k8w0s2+67gqUoTpkPp2i9+7a7ve4ZNy9MM+ro9KUioGwPSViyJ&#10;e5whrtQGqRFLgvm94spM4/lKPp4B0rqp0zPUhtDsuwKnKk2QDqWbQToVS9qThOQKUzd4ftpameGW&#10;RcHfJ0Ea+q7dPXfjcsunDUglH5cFqdl3BU5VmiAdSjeDdCog1YcJNWlI7rg0JDOIxEPEk5gAef/c&#10;lD7AlzAzlXxcHqSq7wqcquyCdAjdDNKpgLQnEUluPRtsSY0VGSzNIJbUxagxJbUcO7DVmTWXDx81&#10;c9KakWeg9IxJaav3Cp6qNGE6mHDG6VRw2pOL5I7LRcIsSgd6Pe4jy+Fph9e1gkDuEr9yhkPNyDNw&#10;2kw322A5Ch41hK3eK3yq0sTpYML2q+fw0etdOe1JRXLHpSKZpwc6OBV03sI2749B9si8E/xH7DJF&#10;GoL2eI1TW6l2TIjXYpYXIlKMaKeFaSkWWtq21PeZjxgVJSFxFxjuurzqRNafc2irYIb890kc2gqR&#10;aueoJdJx7hESULCHQoqU+24QdtwjnL2LMOHVZKqXIKYiU21IWzIdZ0oNmXKk9Aa8k9pwZZnqiPVU&#10;ZKrTP1syHZcAasrUD1wfux1bcfsry1QHOCciU65TBU2ZonaMOTVl6obMg+18STLVvsFUZKqzyloy&#10;HZdXRtvp6qwyG3v8fWGNm8i9ZXPu49u5koukfYOpiFTnHrVEqj3FQWeUGSLlYchYR/NeWaTaNZiK&#10;SHWmSkuk2lEcK1LG7NAWT78YlGrPYCoi1XkNLZFqP3GkSOHxBp7Q2i9Fos0mgqlIVC+CtySqvcSR&#10;EvWwpT8QqHgxEtVewVQk2hs/kocvDF4zbSypw/2jJN7rGtImJXkSEuUBfqFH7R9uQCqrx0xiED6i&#10;LDERE0TMz+adSYzNLFpiupbL2ySxTkWsXg9SIVZUjxIrRzI0lnCelCt+No3TzvHrzGSatMepiJXO&#10;tOn+7BrEiupRYg0xAcX5r0+K1cYxzBRYvpJYtYcwFbE2ifdtJTxuPmNb3HaxVPa0WF0rRBbitcSq&#10;P9JJiBVLJr1hfBmHH+wtcc/jHEtsJFQOuyqPbW48YJu53A2gFgirWI/jcpphpK781PW2Jg9nEkKl&#10;U0BdHck3cnv1bH3QpEadsiKQ6ocunWXWCvp6+IFQfD0kU3mJu4ZIL5Z/X/OBjWzy6vxcpLoldKid&#10;D9RNRWro5JXsuEpAUqWZiDSUrv3e156HNNGzy1xkDR27SKJ2jIeEPTEh5qbSlPq+je2mXYAiifB6&#10;ju+04r2kdT0t1kbrom6UUEPsRqTPgyxlr9bFj4/UmSumUrl4rja2LhMfP0LrypZOa11NZ3ZcaVtV&#10;zlr31O/STnTzMPQrdGF3YipqxwEUE1NskZAA7dO6OKND+bqXzy2D41f3ZhK+LsSnV9mkzhU1YwQq&#10;da3Q0s2MxQo4ZzQ3Iu/WZtzFDxDTwF7Dv9W80FENNSt9Pi4+NihkQ40+dViZbtCgVepTlVKNmpQe&#10;sijrIVBEqpTEnHnYKU8MjCC1GfPogFU5tqpBVR5zMZ7elJ1qV5Wyfcf15dxVjW6bmfjL/Tb+NfnL&#10;zHK26RQe6qrxiPrdV/lB4QZ+OqH2yOR79A3EtUTsGV9Tu/E2X5JeiLXNUZvsSO7qdpxmZSKfnH9o&#10;neZ0hJry1fyUADSdXo7Wum/cUrSJ7yMNyEInrD1N4yu/jgaseTmhAQ1VDjafVn/MDym1aYD6q98L&#10;ypMwtIKGGONlYFzjsUeRdJ7qqgzc9hwcPP+EqsFtJyS3pq2JBumVtkwVj6psa6whOhrpKbROJzgZ&#10;R3/SXMhmB5K1QyjQsLMWTOLqc7K6+A+q3Bzy9e1hnQu3aV1E+WYbf4iqyPwb14f8NrGyTZY+JMW7&#10;/wMAAP//AwBQSwMEFAAGAAgAAAAhAOsPSMXeAAAABQEAAA8AAABkcnMvZG93bnJldi54bWxMj0FL&#10;w0AQhe9C/8MyBW92k1ZtTLMppainItgK4m2anSah2dmQ3Sbpv3f1opeBx3u89022Hk0jeupcbVlB&#10;PItAEBdW11wq+Di83CUgnEfW2FgmBVdysM4nNxmm2g78Tv3elyKUsEtRQeV9m0rpiooMupltiYN3&#10;sp1BH2RXSt3hEMpNI+dR9CgN1hwWKmxpW1Fx3l+MgtcBh80ifu5359P2+nV4ePvcxaTU7XTcrEB4&#10;Gv1fGH7wAzrkgeloL6ydaBSER/zvDV7yFC9AHBXcL5MlyDyT/+nzbwAAAP//AwBQSwECLQAUAAYA&#10;CAAAACEAtoM4kv4AAADhAQAAEwAAAAAAAAAAAAAAAAAAAAAAW0NvbnRlbnRfVHlwZXNdLnhtbFBL&#10;AQItABQABgAIAAAAIQA4/SH/1gAAAJQBAAALAAAAAAAAAAAAAAAAAC8BAABfcmVscy8ucmVsc1BL&#10;AQItABQABgAIAAAAIQD/CKit7gsAALGKAAAOAAAAAAAAAAAAAAAAAC4CAABkcnMvZTJvRG9jLnht&#10;bFBLAQItABQABgAIAAAAIQDrD0jF3gAAAAUBAAAPAAAAAAAAAAAAAAAAAEgOAABkcnMvZG93bnJl&#10;di54bWxQSwUGAAAAAAQABADzAAAAUw8AAAAA&#10;">
                <v:rect id="Rectangle 5381" o:spid="_x0000_s1094" style="position:absolute;left:56235;top:28780;width:486;height:2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QRvsYA&#10;AADdAAAADwAAAGRycy9kb3ducmV2LnhtbESPT2vCQBTE70K/w/IK3nRjpRKjq0hV9OifgvX2yL4m&#10;odm3Ibua1E/vCoLHYWZ+w0znrSnFlWpXWFYw6EcgiFOrC84UfB/XvRiE88gaS8uk4J8czGdvnSkm&#10;2ja8p+vBZyJA2CWoIPe+SqR0aU4GXd9WxMH7tbVBH2SdSV1jE+CmlB9RNJIGCw4LOVb0lVP6d7gY&#10;BZu4Wvxs7a3JytV5c9qdxsvj2CvVfW8XExCeWv8KP9tbreBzGA/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3QRvsYAAADdAAAADwAAAAAAAAAAAAAAAACYAgAAZHJz&#10;L2Rvd25yZXYueG1sUEsFBgAAAAAEAAQA9QAAAIsDAAAAAA==&#10;" filled="f" stroked="f">
                  <v:textbox inset="0,0,0,0">
                    <w:txbxContent>
                      <w:p w:rsidR="0023438A" w:rsidRDefault="00A02C86">
                        <w:pPr>
                          <w:spacing w:after="160" w:line="259" w:lineRule="auto"/>
                          <w:ind w:left="0" w:firstLine="0"/>
                        </w:pPr>
                        <w:r>
                          <w:rPr>
                            <w:sz w:val="23"/>
                          </w:rPr>
                          <w:t xml:space="preserve"> </w:t>
                        </w:r>
                      </w:p>
                    </w:txbxContent>
                  </v:textbox>
                </v:rect>
                <v:shape id="Shape 143436" o:spid="_x0000_s1095" style="position:absolute;left:3672;top:22250;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rTisQA&#10;AADfAAAADwAAAGRycy9kb3ducmV2LnhtbERP3WrCMBS+H+wdwhnsZmjqKmVUo8hgQ9SbdT7AsTk2&#10;xeakJFE7n94MBrv8+P7ny8F24kI+tI4VTMYZCOLa6ZYbBfvvj9EbiBCRNXaOScEPBVguHh/mWGp3&#10;5S+6VLERKYRDiQpMjH0pZagNWQxj1xMn7ui8xZigb6T2eE3htpOvWVZIiy2nBoM9vRuqT9XZKvC7&#10;m8nPq2pn3fr0+bJtiv1hslHq+WlYzUBEGuK/+M+91mn+NJ/mBfz+SQD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604rEAAAA3wAAAA8AAAAAAAAAAAAAAAAAmAIAAGRycy9k&#10;b3ducmV2LnhtbFBLBQYAAAAABAAEAPUAAACJAwAAAAA=&#10;" path="m,l5108448,r,9144l,9144,,e" fillcolor="#d9d9d9" stroked="f" strokeweight="0">
                  <v:stroke miterlimit="83231f" joinstyle="miter"/>
                  <v:path arrowok="t" textboxrect="0,0,5108448,9144"/>
                </v:shape>
                <v:shape id="Shape 143437" o:spid="_x0000_s1096" style="position:absolute;left:3672;top:20299;width:51085;height:92;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Z2EcUA&#10;AADfAAAADwAAAGRycy9kb3ducmV2LnhtbERP3WrCMBS+F/YO4Qx2I5q6io5qFBlMZPNmnQ9w1hyb&#10;YnNSkqh1T78MBl5+fP/LdW9bcSEfGscKJuMMBHHldMO1gsPX2+gFRIjIGlvHpOBGAdarh8ESC+2u&#10;/EmXMtYihXAoUIGJsSukDJUhi2HsOuLEHZ23GBP0tdQerynctvI5y2bSYsOpwWBHr4aqU3m2Cvz+&#10;x+TnTbm3bnfaDj/q2eF78q7U02O/WYCI1Me7+N+902n+NJ/mc/j7kw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dnYRxQAAAN8AAAAPAAAAAAAAAAAAAAAAAJgCAABkcnMv&#10;ZG93bnJldi54bWxQSwUGAAAAAAQABAD1AAAAigMAAAAA&#10;" path="m,l5108448,r,9144l,9144,,e" fillcolor="#d9d9d9" stroked="f" strokeweight="0">
                  <v:stroke miterlimit="83231f" joinstyle="miter"/>
                  <v:path arrowok="t" textboxrect="0,0,5108448,9144"/>
                </v:shape>
                <v:shape id="Shape 143438" o:spid="_x0000_s1097" style="position:absolute;left:3672;top:18348;width:51085;height:92;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niY8UA&#10;AADfAAAADwAAAGRycy9kb3ducmV2LnhtbERPzUoDMRC+C75DGKEXsdm6pcjatBRBKdpL1z7AuBk3&#10;SzeTJUnbrU/vHASPH9//cj36Xp0ppi6wgdm0AEXcBNtxa+Dw+frwBCplZIt9YDJwpQTr1e3NEisb&#10;Lrync51bJSGcKjTgch4qrVPjyGOahoFYuO8QPWaBsdU24kXCfa8fi2KhPXYsDQ4HenHUHOuTNxB3&#10;P648beqdD9vj2/1Huzh8zd6NmdyNm2dQmcb8L/5zb63Mn5fzUgbLHwG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6eJjxQAAAN8AAAAPAAAAAAAAAAAAAAAAAJgCAABkcnMv&#10;ZG93bnJldi54bWxQSwUGAAAAAAQABAD1AAAAigMAAAAA&#10;" path="m,l5108448,r,9144l,9144,,e" fillcolor="#d9d9d9" stroked="f" strokeweight="0">
                  <v:stroke miterlimit="83231f" joinstyle="miter"/>
                  <v:path arrowok="t" textboxrect="0,0,5108448,9144"/>
                </v:shape>
                <v:shape id="Shape 143439" o:spid="_x0000_s1098" style="position:absolute;left:3672;top:16398;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VH+MUA&#10;AADfAAAADwAAAGRycy9kb3ducmV2LnhtbERP3WrCMBS+F/YO4Qx2I5q6irhqFBlMZPNmnQ9w1hyb&#10;YnNSkqh1T78MBl5+fP/LdW9bcSEfGscKJuMMBHHldMO1gsPX22gOIkRkja1jUnCjAOvVw2CJhXZX&#10;/qRLGWuRQjgUqMDE2BVShsqQxTB2HXHijs5bjAn6WmqP1xRuW/mcZTNpseHUYLCjV0PVqTxbBX7/&#10;Y/Lzptxbtztthx/17PA9eVfq6bHfLEBE6uNd/O/e6TR/mk/zF/j7kw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pUf4xQAAAN8AAAAPAAAAAAAAAAAAAAAAAJgCAABkcnMv&#10;ZG93bnJldi54bWxQSwUGAAAAAAQABAD1AAAAigMAAAAA&#10;" path="m,l5108448,r,9144l,9144,,e" fillcolor="#d9d9d9" stroked="f" strokeweight="0">
                  <v:stroke miterlimit="83231f" joinstyle="miter"/>
                  <v:path arrowok="t" textboxrect="0,0,5108448,9144"/>
                </v:shape>
                <v:shape id="Shape 143440" o:spid="_x0000_s1099" style="position:absolute;left:3672;top:14432;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dGMUA&#10;AADfAAAADwAAAGRycy9kb3ducmV2LnhtbERPzUoDMRC+C75DGKEXsdnapcjatBRBKdpL1z7AuBk3&#10;SzeTJUnbrU/vHASPH9//cj36Xp0ppi6wgdm0AEXcBNtxa+Dw+frwBCplZIt9YDJwpQTr1e3NEisb&#10;Lrync51bJSGcKjTgch4qrVPjyGOahoFYuO8QPWaBsdU24kXCfa8fi2KhPXYsDQ4HenHUHOuTNxB3&#10;P25+2tQ7H7bHt/uPdnH4mr0bM7kbN8+gMo35X/zn3lqZX87LUh7IHwG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mZ0YxQAAAN8AAAAPAAAAAAAAAAAAAAAAAJgCAABkcnMv&#10;ZG93bnJldi54bWxQSwUGAAAAAAQABAD1AAAAigMAAAAA&#10;" path="m,l5108448,r,9144l,9144,,e" fillcolor="#d9d9d9" stroked="f" strokeweight="0">
                  <v:stroke miterlimit="83231f" joinstyle="miter"/>
                  <v:path arrowok="t" textboxrect="0,0,5108448,9144"/>
                </v:shape>
                <v:shape id="Shape 143441" o:spid="_x0000_s1100" style="position:absolute;left:3672;top:12481;width:51085;height:92;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U4g8QA&#10;AADfAAAADwAAAGRycy9kb3ducmV2LnhtbERP3WrCMBS+H+wdwhl4MzTtLDKqUWSwIc6bdT7AsTk2&#10;xeakJFGrT78MBrv8+P4Xq8F24kI+tI4V5JMMBHHtdMuNgv33+/gVRIjIGjvHpOBGAVbLx4cFltpd&#10;+YsuVWxECuFQogITY19KGWpDFsPE9cSJOzpvMSboG6k9XlO47eRLls2kxZZTg8Ge3gzVp+psFfjd&#10;3UzP62pn3eb08fzZzPaHfKvU6GlYz0FEGuK/+M+90Wl+MS2KHH7/JAB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VOIPEAAAA3wAAAA8AAAAAAAAAAAAAAAAAmAIAAGRycy9k&#10;b3ducmV2LnhtbFBLBQYAAAAABAAEAPUAAACJAwAAAAA=&#10;" path="m,l5108448,r,9144l,9144,,e" fillcolor="#d9d9d9" stroked="f" strokeweight="0">
                  <v:stroke miterlimit="83231f" joinstyle="miter"/>
                  <v:path arrowok="t" textboxrect="0,0,5108448,9144"/>
                </v:shape>
                <v:shape id="Shape 143442" o:spid="_x0000_s1101" style="position:absolute;left:3672;top:10530;width:51085;height:92;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em9MQA&#10;AADfAAAADwAAAGRycy9kb3ducmV2LnhtbERP3WrCMBS+H+wdwhF2M2aqFhnVKDJQZPNmXR/g2Byb&#10;YnNSkqjdnn4ZDLz8+P6X68F24ko+tI4VTMYZCOLa6ZYbBdXX9uUVRIjIGjvHpOCbAqxXjw9LLLS7&#10;8Sddy9iIFMKhQAUmxr6QMtSGLIax64kTd3LeYkzQN1J7vKVw28lpls2lxZZTg8Ge3gzV5/JiFfjD&#10;j5ldNuXBuv159/zRzKvj5F2pp9GwWYCINMS7+N+912l+PsvzKfz9SQD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HpvTEAAAA3wAAAA8AAAAAAAAAAAAAAAAAmAIAAGRycy9k&#10;b3ducmV2LnhtbFBLBQYAAAAABAAEAPUAAACJAwAAAAA=&#10;" path="m,l5108448,r,9144l,9144,,e" fillcolor="#d9d9d9" stroked="f" strokeweight="0">
                  <v:stroke miterlimit="83231f" joinstyle="miter"/>
                  <v:path arrowok="t" textboxrect="0,0,5108448,9144"/>
                </v:shape>
                <v:shape id="Shape 143443" o:spid="_x0000_s1102" style="position:absolute;left:3672;top:8580;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sDb8QA&#10;AADfAAAADwAAAGRycy9kb3ducmV2LnhtbERP3WrCMBS+F/YO4Qx2IzN1LTKqUWSwIdObdT7AWXNs&#10;is1JSaJ2e3ojCLv8+P4Xq8F24kw+tI4VTCcZCOLa6ZYbBfvv9+dXECEia+wck4JfCrBaPowWWGp3&#10;4S86V7ERKYRDiQpMjH0pZagNWQwT1xMn7uC8xZigb6T2eEnhtpMvWTaTFltODQZ7ejNUH6uTVeB3&#10;fyY/rauddZvjx3jbzPY/00+lnh6H9RxEpCH+i+/ujU7zi7wocrj9SQD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LA2/EAAAA3wAAAA8AAAAAAAAAAAAAAAAAmAIAAGRycy9k&#10;b3ducmV2LnhtbFBLBQYAAAAABAAEAPUAAACJAwAAAAA=&#10;" path="m,l5108448,r,9144l,9144,,e" fillcolor="#d9d9d9" stroked="f" strokeweight="0">
                  <v:stroke miterlimit="83231f" joinstyle="miter"/>
                  <v:path arrowok="t" textboxrect="0,0,5108448,9144"/>
                </v:shape>
                <v:shape id="Shape 143444" o:spid="_x0000_s1103" style="position:absolute;left:3672;top:6629;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KbG8QA&#10;AADfAAAADwAAAGRycy9kb3ducmV2LnhtbERP3WrCMBS+H+wdwhl4MzRVi4zOKDKYiPPGzgc4NmdN&#10;sTkpSdTq0y+DgZcf3/982dtWXMiHxrGC8SgDQVw53XCt4PD9OXwDESKyxtYxKbhRgOXi+WmOhXZX&#10;3tOljLVIIRwKVGBi7AopQ2XIYhi5jjhxP85bjAn6WmqP1xRuWznJspm02HBqMNjRh6HqVJ6tAr+7&#10;m+l5Ve6s25zWr1/17HAcb5UavPSrdxCR+vgQ/7s3Os3Pp3mew9+fB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imxvEAAAA3wAAAA8AAAAAAAAAAAAAAAAAmAIAAGRycy9k&#10;b3ducmV2LnhtbFBLBQYAAAAABAAEAPUAAACJAwAAAAA=&#10;" path="m,l5108448,r,9144l,9144,,e" fillcolor="#d9d9d9" stroked="f" strokeweight="0">
                  <v:stroke miterlimit="83231f" joinstyle="miter"/>
                  <v:path arrowok="t" textboxrect="0,0,5108448,9144"/>
                </v:shape>
                <v:shape id="Shape 143445" o:spid="_x0000_s1104" style="position:absolute;left:3672;top:4663;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4+gMUA&#10;AADfAAAADwAAAGRycy9kb3ducmV2LnhtbERP3WrCMBS+H+wdwhnsZmjq7GR0RpHBhqg3qz7AWXPW&#10;FJuTkkTtfHojCF5+fP/TeW9bcSQfGscKRsMMBHHldMO1gt32a/AOIkRkja1jUvBPAeazx4cpFtqd&#10;+IeOZaxFCuFQoAITY1dIGSpDFsPQdcSJ+3PeYkzQ11J7PKVw28rXLJtIiw2nBoMdfRqq9uXBKvCb&#10;sxkfFuXGuuX++2VdT3a/o5VSz0/94gNEpD7exTf3Uqf5+TjP3+D6JwG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7j6AxQAAAN8AAAAPAAAAAAAAAAAAAAAAAJgCAABkcnMv&#10;ZG93bnJldi54bWxQSwUGAAAAAAQABAD1AAAAigMAAAAA&#10;" path="m,l5108448,r,9144l,9144,,e" fillcolor="#d9d9d9" stroked="f" strokeweight="0">
                  <v:stroke miterlimit="83231f" joinstyle="miter"/>
                  <v:path arrowok="t" textboxrect="0,0,5108448,9144"/>
                </v:shape>
                <v:shape id="Shape 143446" o:spid="_x0000_s1105" style="position:absolute;left:31760;top:23378;width:3413;height:868;visibility:visible;mso-wrap-style:square;v-text-anchor:top" coordsize="341376,868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EtusMA&#10;AADfAAAADwAAAGRycy9kb3ducmV2LnhtbERPXWvCMBR9F/Yfwh34pqlaZFajTEHwwQ104vO1ubad&#10;zU1pokZ//TIY7PFwvmeLYGpxo9ZVlhUM+gkI4tzqigsFh6917w2E88gaa8uk4EEOFvOXzgwzbe+8&#10;o9veFyKGsMtQQel9k0np8pIMur5tiCN3tq1BH2FbSN3iPYabWg6TZCwNVhwbSmxoVVJ+2V+NAsRQ&#10;n/TH8vP43BWr7fdlogdBK9V9De9TEJ6C/xf/uTc6zk9HaTqG3z8RgJ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EtusMAAADfAAAADwAAAAAAAAAAAAAAAACYAgAAZHJzL2Rv&#10;d25yZXYueG1sUEsFBgAAAAAEAAQA9QAAAIgDAAAAAA==&#10;" path="m,l341376,r,86868l,86868,,e" fillcolor="#4f81bd" stroked="f" strokeweight="0">
                  <v:stroke miterlimit="83231f" joinstyle="miter"/>
                  <v:path arrowok="t" textboxrect="0,0,341376,86868"/>
                </v:shape>
                <v:shape id="Shape 143447" o:spid="_x0000_s1106" style="position:absolute;left:23256;top:22204;width:3398;height:2042;visibility:visible;mso-wrap-style:square;v-text-anchor:top" coordsize="339852,204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AUhMUA&#10;AADfAAAADwAAAGRycy9kb3ducmV2LnhtbERPTWvCQBC9C/6HZQredNM2tSW6iq0IIh5slKK3ITsm&#10;wexsyK4a/70rFDw+3vd42ppKXKhxpWUFr4MIBHFmdcm5gt120f8C4TyyxsoyKbiRg+mk2xljou2V&#10;f+mS+lyEEHYJKii8rxMpXVaQQTewNXHgjrYx6ANscqkbvIZwU8m3KBpKgyWHhgJr+ikoO6VnoyBd&#10;zz98uVod9qfh4W9vY/e9iTKlei/tbATCU+uf4n/3Uof58Xscf8LjTwAgJ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cBSExQAAAN8AAAAPAAAAAAAAAAAAAAAAAJgCAABkcnMv&#10;ZG93bnJldi54bWxQSwUGAAAAAAQABAD1AAAAigMAAAAA&#10;" path="m,l339852,r,204215l,204215,,e" fillcolor="#4f81bd" stroked="f" strokeweight="0">
                  <v:stroke miterlimit="83231f" joinstyle="miter"/>
                  <v:path arrowok="t" textboxrect="0,0,339852,204215"/>
                </v:shape>
                <v:shape id="Shape 143448" o:spid="_x0000_s1107" style="position:absolute;left:40279;top:22098;width:3398;height:2148;visibility:visible;mso-wrap-style:square;v-text-anchor:top" coordsize="339852,21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tbjscA&#10;AADfAAAADwAAAGRycy9kb3ducmV2LnhtbESPwU7DMBBE70j8g7VIXBB1gAhVad2qRVTKAQ4tfMAq&#10;3sZR43VkmyTw9ewBieNoZ97OrLez79VIMXWBDTwsClDETbAdtwY+Pw73S1ApI1vsA5OBb0qw3Vxf&#10;rbGyYeIjjafcKoFwqtCAy3motE6NI49pEQZiuZ1D9JhFxlbbiJPAfa8fi+JZe+xYPjgc6MVRczl9&#10;eaHEt/efu9dhP7lLyfvdoV6OTW3M7c28W4HKNOd/81+6tlK/fCpLKSx7RID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7W47HAAAA3wAAAA8AAAAAAAAAAAAAAAAAmAIAAGRy&#10;cy9kb3ducmV2LnhtbFBLBQYAAAAABAAEAPUAAACMAwAAAAA=&#10;" path="m,l339852,r,214884l,214884,,e" fillcolor="#4f81bd" stroked="f" strokeweight="0">
                  <v:stroke miterlimit="83231f" joinstyle="miter"/>
                  <v:path arrowok="t" textboxrect="0,0,339852,214884"/>
                </v:shape>
                <v:shape id="Shape 143449" o:spid="_x0000_s1108" style="position:absolute;left:6217;top:20436;width:3414;height:3810;visibility:visible;mso-wrap-style:square;v-text-anchor:top" coordsize="341376,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SVHMQA&#10;AADfAAAADwAAAGRycy9kb3ducmV2LnhtbERPy2rCQBTdC/7DcAvu6iQ1iKaOIlIhGxc+aHF3ydwm&#10;qZk7ITNq4td3CgWXh/NerDpTixu1rrKsIB5HIIhzqysuFJyO29cZCOeRNdaWSUFPDlbL4WCBqbZ3&#10;3tPt4AsRQtilqKD0vkmldHlJBt3YNsSB+7atQR9gW0jd4j2Em1q+RdFUGqw4NJTY0Kak/HK4mjBj&#10;mm3wfKlj7vv4c99/PT6y3Y9So5du/Q7CU+ef4n93poMvmSTJHP7+BAB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klRzEAAAA3wAAAA8AAAAAAAAAAAAAAAAAmAIAAGRycy9k&#10;b3ducmV2LnhtbFBLBQYAAAAABAAEAPUAAACJAwAAAAA=&#10;" path="m,l341376,r,381000l,381000,,e" fillcolor="#4f81bd" stroked="f" strokeweight="0">
                  <v:stroke miterlimit="83231f" joinstyle="miter"/>
                  <v:path arrowok="t" textboxrect="0,0,341376,381000"/>
                </v:shape>
                <v:shape id="Shape 143450" o:spid="_x0000_s1109" style="position:absolute;left:14737;top:20345;width:3398;height:3901;visibility:visible;mso-wrap-style:square;v-text-anchor:top" coordsize="33985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vrzMQA&#10;AADfAAAADwAAAGRycy9kb3ducmV2LnhtbERPTWvCQBC9F/wPyxS8FN1UbSipq1hBkN7UevA2ZKdJ&#10;NDsbsmuM/75zEDw+3vd82btaddSGyrOB93ECijj3tuLCwO9hM/oEFSKyxdozGbhTgOVi8DLHzPob&#10;76jbx0JJCIcMDZQxNpnWIS/JYRj7hli4P986jALbQtsWbxLuaj1JklQ7rFgaSmxoXVJ+2V+dgSJN&#10;O7tL1tvT2/HyTafDual+zsYMX/vVF6hIfXyKH+6tlfmz6exDHsgfAa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L68zEAAAA3wAAAA8AAAAAAAAAAAAAAAAAmAIAAGRycy9k&#10;b3ducmV2LnhtbFBLBQYAAAAABAAEAPUAAACJAwAAAAA=&#10;" path="m,l339852,r,390144l,390144,,e" fillcolor="#4f81bd" stroked="f" strokeweight="0">
                  <v:stroke miterlimit="83231f" joinstyle="miter"/>
                  <v:path arrowok="t" textboxrect="0,0,339852,390144"/>
                </v:shape>
                <v:shape id="Shape 143451" o:spid="_x0000_s1110" style="position:absolute;left:48798;top:11460;width:3399;height:12786;visibility:visible;mso-wrap-style:square;v-text-anchor:top" coordsize="339852,1278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Yg1MIA&#10;AADfAAAADwAAAGRycy9kb3ducmV2LnhtbERP3WrCMBS+F3yHcATvNK3WH6pRZLBRr8acD3Bojk2x&#10;OSlNtN3bLwNhlx/f//442EY8qfO1YwXpPAFBXDpdc6Xg+v0+24LwAVlj45gU/JCH42E82mOuXc9f&#10;9LyESsQQ9jkqMCG0uZS+NGTRz11LHLmb6yyGCLtK6g77GG4buUiStbRYc2ww2NKbofJ+eVgF/Nh8&#10;Yno9DWZV4Ue/brLyXBRKTSfDaQci0BD+xS93oeP8bJmtUvj7EwHIw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diDUwgAAAN8AAAAPAAAAAAAAAAAAAAAAAJgCAABkcnMvZG93&#10;bnJldi54bWxQSwUGAAAAAAQABAD1AAAAhwMAAAAA&#10;" path="m,l339852,r,1278636l,1278636,,e" fillcolor="#4f81bd" stroked="f" strokeweight="0">
                  <v:stroke miterlimit="83231f" joinstyle="miter"/>
                  <v:path arrowok="t" textboxrect="0,0,339852,1278636"/>
                </v:shape>
                <v:shape id="Shape 143452" o:spid="_x0000_s1111" style="position:absolute;left:31760;top:22981;width:3413;height:397;visibility:visible;mso-wrap-style:square;v-text-anchor:top" coordsize="341376,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CV4sUA&#10;AADfAAAADwAAAGRycy9kb3ducmV2LnhtbERPz2vCMBS+C/4P4Qm7DE3XOZFqlLEh7KDCqh68PZtn&#10;W9a8lCRq/e+XwcDjx/d7vuxMI67kfG1ZwcsoAUFcWF1zqWC/Ww2nIHxA1thYJgV38rBc9HtzzLS9&#10;8Tdd81CKGMI+QwVVCG0mpS8qMuhHtiWO3Nk6gyFCV0rt8BbDTSPTJJlIgzXHhgpb+qio+MkvRsFu&#10;vzmaT9luN4fytFo/55S6Cyn1NOjeZyACdeEh/nd/6Th//Dp+S+HvTw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gJXixQAAAN8AAAAPAAAAAAAAAAAAAAAAAJgCAABkcnMv&#10;ZG93bnJldi54bWxQSwUGAAAAAAQABAD1AAAAigMAAAAA&#10;" path="m,l341376,r,39624l,39624,,e" fillcolor="#c0504d" stroked="f" strokeweight="0">
                  <v:stroke miterlimit="83231f" joinstyle="miter"/>
                  <v:path arrowok="t" textboxrect="0,0,341376,39624"/>
                </v:shape>
                <v:shape id="Shape 143453" o:spid="_x0000_s1112" style="position:absolute;left:40279;top:21610;width:3398;height:488;visibility:visible;mso-wrap-style:square;v-text-anchor:top" coordsize="339852,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IIzMMA&#10;AADfAAAADwAAAGRycy9kb3ducmV2LnhtbERPy4rCMBTdD/gP4QqzG1MfI1KbiigDrgZHXbi8NNe2&#10;2NyUJrbVr58IgsvDeSer3lSipcaVlhWMRxEI4szqknMFp+PP1wKE88gaK8uk4E4OVungI8FY247/&#10;qD34XIQQdjEqKLyvYyldVpBBN7I1ceAutjHoA2xyqRvsQrip5CSK5tJgyaGhwJo2BWXXw80ooHbt&#10;bo/JuXv8zsd7l9G2bBdbpT6H/XoJwlPv3+KXe6fD/Nl09j2F558AQK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IIzMMAAADfAAAADwAAAAAAAAAAAAAAAACYAgAAZHJzL2Rv&#10;d25yZXYueG1sUEsFBgAAAAAEAAQA9QAAAIgDAAAAAA==&#10;" path="m,l339852,r,48768l,48768,,e" fillcolor="#c0504d" stroked="f" strokeweight="0">
                  <v:stroke miterlimit="83231f" joinstyle="miter"/>
                  <v:path arrowok="t" textboxrect="0,0,339852,48768"/>
                </v:shape>
                <v:shape id="Shape 143454" o:spid="_x0000_s1113" style="position:absolute;left:23256;top:21229;width:3398;height:975;visibility:visible;mso-wrap-style:square;v-text-anchor:top" coordsize="339852,97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ZiTMUA&#10;AADfAAAADwAAAGRycy9kb3ducmV2LnhtbERPTWvCQBC9C/6HZQq96aZtlBpdRYSKhxRRe+hxmh2T&#10;YHY2ZleN/nq3IHh8vO/JrDWVOFPjSssK3voRCOLM6pJzBT+7r94nCOeRNVaWScGVHMym3c4EE20v&#10;vKHz1ucihLBLUEHhfZ1I6bKCDLq+rYkDt7eNQR9gk0vd4CWEm0q+R9FQGiw5NBRY06Kg7LA9GQXp&#10;TZvf783fSLfL9SE9Hhe3UXpV6vWlnY9BeGr9U/xwr3SYH3/Egxj+/wQAcn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1mJMxQAAAN8AAAAPAAAAAAAAAAAAAAAAAJgCAABkcnMv&#10;ZG93bnJldi54bWxQSwUGAAAAAAQABAD1AAAAigMAAAAA&#10;" path="m,l339852,r,97537l,97537,,e" fillcolor="#c0504d" stroked="f" strokeweight="0">
                  <v:stroke miterlimit="83231f" joinstyle="miter"/>
                  <v:path arrowok="t" textboxrect="0,0,339852,97537"/>
                </v:shape>
                <v:shape id="Shape 143455" o:spid="_x0000_s1114" style="position:absolute;left:14737;top:19370;width:3398;height:975;visibility:visible;mso-wrap-style:square;v-text-anchor:top" coordsize="339852,97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cxicIA&#10;AADfAAAADwAAAGRycy9kb3ducmV2LnhtbERPzYrCMBC+C/sOYRa8aapVWbpGEUHxoAd1H2BoZpvu&#10;NpPaxFrf3giCx4/vf77sbCVaanzpWMFomIAgzp0uuVDwc94MvkD4gKyxckwK7uRhufjozTHT7sZH&#10;ak+hEDGEfYYKTAh1JqXPDVn0Q1cTR+7XNRZDhE0hdYO3GG4rOU6SmbRYcmwwWNPaUP5/uloFRdgf&#10;Rn+2XdWXzTZPu/PapaZUqv/Zrb5BBOrCW/xy73ScP0kn0yk8/0QA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lzGJwgAAAN8AAAAPAAAAAAAAAAAAAAAAAJgCAABkcnMvZG93&#10;bnJldi54bWxQSwUGAAAAAAQABAD1AAAAhwMAAAAA&#10;" path="m,l339852,r,97536l,97536,,e" fillcolor="#c0504d" stroked="f" strokeweight="0">
                  <v:stroke miterlimit="83231f" joinstyle="miter"/>
                  <v:path arrowok="t" textboxrect="0,0,339852,97536"/>
                </v:shape>
                <v:shape id="Shape 143456" o:spid="_x0000_s1115" style="position:absolute;left:6217;top:17998;width:3414;height:2438;visibility:visible;mso-wrap-style:square;v-text-anchor:top" coordsize="341376,243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1XBcMA&#10;AADfAAAADwAAAGRycy9kb3ducmV2LnhtbERP3WrCMBS+H/gO4QjezXTqqlajdMJA9EL8eYBDc2zD&#10;mpOuybR7+0UYePnx/S/Xna3FjVpvHCt4GyYgiAunDZcKLufP1xkIH5A11o5JwS95WK96L0vMtLvz&#10;kW6nUIoYwj5DBVUITSalLyqy6IeuIY7c1bUWQ4RtKXWL9xhuazlKklRaNBwbKmxoU1HxdfqxCnCz&#10;1fOQfkxHR6Pzg5l+73O/U2rQ7/IFiEBdeIr/3Vsd50/Gk/cUHn8iA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1XBcMAAADfAAAADwAAAAAAAAAAAAAAAACYAgAAZHJzL2Rv&#10;d25yZXYueG1sUEsFBgAAAAAEAAQA9QAAAIgDAAAAAA==&#10;" path="m,l341376,r,243839l,243839,,e" fillcolor="#c0504d" stroked="f" strokeweight="0">
                  <v:stroke miterlimit="83231f" joinstyle="miter"/>
                  <v:path arrowok="t" textboxrect="0,0,341376,243839"/>
                </v:shape>
                <v:shape id="Shape 143457" o:spid="_x0000_s1116" style="position:absolute;left:48798;top:6172;width:3399;height:5288;visibility:visible;mso-wrap-style:square;v-text-anchor:top" coordsize="339852,528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4jKcIA&#10;AADfAAAADwAAAGRycy9kb3ducmV2LnhtbERPXWvCMBR9F/Yfwh34pqmrOumaShk4fRvq8PmuuTZl&#10;zU1pMu3+vREGPh7Od74ebCsu1PvGsYLZNAFBXDndcK3g67iZrED4gKyxdUwK/sjDunga5Zhpd+U9&#10;XQ6hFjGEfYYKTAhdJqWvDFn0U9cRR+7seoshwr6WusdrDLetfEmSpbTYcGww2NG7oern8GsVlGX1&#10;ieZ7kI66dJueP9qTszOlxs9D+QYi0BAe4n/3Tsf583S+eIX7nwhAF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MpwgAAAN8AAAAPAAAAAAAAAAAAAAAAAJgCAABkcnMvZG93&#10;bnJldi54bWxQSwUGAAAAAAQABAD1AAAAhwMAAAAA&#10;" path="m,l339852,r,528828l,528828,,e" fillcolor="#c0504d" stroked="f" strokeweight="0">
                  <v:stroke miterlimit="83231f" joinstyle="miter"/>
                  <v:path arrowok="t" textboxrect="0,0,339852,528828"/>
                </v:shape>
                <v:shape id="Shape 143458" o:spid="_x0000_s1117" style="position:absolute;left:3672;top:24201;width:51085;height:91;visibility:visible;mso-wrap-style:square;v-text-anchor:top" coordsize="51084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YHw8UA&#10;AADfAAAADwAAAGRycy9kb3ducmV2LnhtbERPzU4CMRC+m/AOzZB4MdJFkJiVQgiJhigXVx5g3A7b&#10;Ddvppi2w+vTOwcTjl+9/uR58py4UUxvYwHRSgCKug225MXD4fLl/ApUyssUuMBn4pgTr1ehmiaUN&#10;V/6gS5UbJSGcSjTgcu5LrVPtyGOahJ5YuGOIHrPA2Ggb8SrhvtMPRbHQHluWBoc9bR3Vp+rsDcT9&#10;j5udN9Xeh93p9e69WRy+pm/G3I6HzTOoTEP+F/+5d1bmz2fzRxksfwSA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NgfDxQAAAN8AAAAPAAAAAAAAAAAAAAAAAJgCAABkcnMv&#10;ZG93bnJldi54bWxQSwUGAAAAAAQABAD1AAAAigMAAAAA&#10;" path="m,l5108448,r,9144l,9144,,e" fillcolor="#d9d9d9" stroked="f" strokeweight="0">
                  <v:stroke miterlimit="83231f" joinstyle="miter"/>
                  <v:path arrowok="t" textboxrect="0,0,5108448,9144"/>
                </v:shape>
                <v:rect id="Rectangle 5406" o:spid="_x0000_s1118" style="position:absolute;left:2026;top:23709;width:77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RH9ccA&#10;AADdAAAADwAAAGRycy9kb3ducmV2LnhtbESPQWvCQBSE7wX/w/KE3upGaYOmriLakhzbKGhvj+wz&#10;CWbfhuzWRH99t1DocZiZb5jlejCNuFLnassKppMIBHFhdc2lgsP+/WkOwnlkjY1lUnAjB+vV6GGJ&#10;ibY9f9I196UIEHYJKqi8bxMpXVGRQTexLXHwzrYz6IPsSqk77APcNHIWRbE0WHNYqLClbUXFJf82&#10;CtJ5uzll9t6XzdtXevw4Lnb7hVfqcTxsXkF4Gvx/+K+daQUvz1E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kR/XHAAAA3Q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0</w:t>
                        </w:r>
                      </w:p>
                    </w:txbxContent>
                  </v:textbox>
                </v:rect>
                <v:rect id="Rectangle 5407" o:spid="_x0000_s1119" style="position:absolute;left:1447;top:21758;width:1542;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jibscA&#10;AADdAAAADwAAAGRycy9kb3ducmV2LnhtbESPT2vCQBTE7wW/w/KE3uqmUq1JXUX8gx5tLKS9PbKv&#10;STD7NmRXk/bTdwuCx2FmfsPMl72pxZVaV1lW8DyKQBDnVldcKPg47Z5mIJxH1lhbJgU/5GC5GDzM&#10;MdG243e6pr4QAcIuQQWl900ipctLMuhGtiEO3rdtDfog20LqFrsAN7UcR9FUGqw4LJTY0Lqk/Jxe&#10;jIL9rFl9HuxvV9Tbr312zOLNKfZKPQ771RsIT72/h2/tg1YweYl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o4m7HAAAA3Q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20</w:t>
                        </w:r>
                      </w:p>
                    </w:txbxContent>
                  </v:textbox>
                </v:rect>
                <v:rect id="Rectangle 5408" o:spid="_x0000_s1120" style="position:absolute;left:1447;top:19808;width:154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d2HMIA&#10;AADdAAAADwAAAGRycy9kb3ducmV2LnhtbERPy4rCMBTdC/5DuII7TR100GoUcRRd+gJ1d2mubbG5&#10;KU20nfl6sxhweTjv2aIxhXhR5XLLCgb9CARxYnXOqYLzadMbg3AeWWNhmRT8koPFvN2aYaxtzQd6&#10;HX0qQgi7GBVk3pexlC7JyKDr25I4cHdbGfQBVqnUFdYh3BTyK4q+pcGcQ0OGJa0ySh7Hp1GwHZfL&#10;687+1Wmxvm0v+8vk5zTxSnU7zXIKwlPjP+J/904rGA2j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N3YcwgAAAN0AAAAPAAAAAAAAAAAAAAAAAJgCAABkcnMvZG93&#10;bnJldi54bWxQSwUGAAAAAAQABAD1AAAAhw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40</w:t>
                        </w:r>
                      </w:p>
                    </w:txbxContent>
                  </v:textbox>
                </v:rect>
                <v:rect id="Rectangle 5409" o:spid="_x0000_s1121" style="position:absolute;left:1447;top:17857;width:154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vTh8YA&#10;AADdAAAADwAAAGRycy9kb3ducmV2LnhtbESPT2vCQBTE70K/w/IK3nTTopJEV5Gq6NE/BdvbI/tM&#10;QrNvQ3Y1sZ++Kwg9DjPzG2a26EwlbtS40rKCt2EEgjizuuRcwedpM4hBOI+ssbJMCu7kYDF/6c0w&#10;1bblA92OPhcBwi5FBYX3dSqlywoy6Ia2Jg7exTYGfZBNLnWDbYCbSr5H0UQaLDksFFjTR0HZz/Fq&#10;FGzjevm1s79tXq2/t+f9OVmdEq9U/7VbTkF46vx/+NneaQXjUZ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vTh8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60</w:t>
                        </w:r>
                      </w:p>
                    </w:txbxContent>
                  </v:textbox>
                </v:rect>
                <v:rect id="Rectangle 5410" o:spid="_x0000_s1122" style="position:absolute;left:1447;top:15906;width:154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jsx8MA&#10;AADdAAAADwAAAGRycy9kb3ducmV2LnhtbERPTYvCMBC9C/6HMMLeNFXcRatRRF30qFVQb0MztsVm&#10;Upqs7e6vN4cFj4/3PV+2phRPql1hWcFwEIEgTq0uOFNwPn33JyCcR9ZYWiYFv+Rgueh25hhr2/CR&#10;nonPRAhhF6OC3PsqltKlORl0A1sRB+5ua4M+wDqTusYmhJtSjqLoSxosODTkWNE6p/SR/BgFu0m1&#10;uu7tX5OV29vucrhMN6epV+qj165mIDy1/i3+d++1gs/xMO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jsx8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80</w:t>
                        </w:r>
                      </w:p>
                    </w:txbxContent>
                  </v:textbox>
                </v:rect>
                <v:rect id="Rectangle 5411" o:spid="_x0000_s1123" style="position:absolute;left:868;top:13940;width:231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RJXMYA&#10;AADdAAAADwAAAGRycy9kb3ducmV2LnhtbESPT2vCQBTE7wW/w/KE3uompRaNriJV0WP9A+rtkX0m&#10;wezbkF1N9NO7hYLHYWZ+w4ynrSnFjWpXWFYQ9yIQxKnVBWcK9rvlxwCE88gaS8uk4E4OppPO2xgT&#10;bRve0G3rMxEg7BJUkHtfJVK6NCeDrmcr4uCdbW3QB1lnUtfYBLgp5WcUfUuDBYeFHCv6ySm9bK9G&#10;wWpQzY5r+2iycnFaHX4Pw/lu6JV677azEQhPrX+F/9trraD/Fc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RJXM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100</w:t>
                        </w:r>
                      </w:p>
                    </w:txbxContent>
                  </v:textbox>
                </v:rect>
                <v:rect id="Rectangle 5412" o:spid="_x0000_s1124" style="position:absolute;left:868;top:11990;width:231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bXK8YA&#10;AADdAAAADwAAAGRycy9kb3ducmV2LnhtbESPT4vCMBTE78J+h/AWvGmqqGg1iqyKHv2z4O7t0Tzb&#10;ss1LaaKtfnojCHscZuY3zGzRmELcqHK5ZQW9bgSCOLE651TB92nTGYNwHlljYZkU3MnBYv7RmmGs&#10;bc0Huh19KgKEXYwKMu/LWEqXZGTQdW1JHLyLrQz6IKtU6grrADeF7EfRSBrMOSxkWNJXRsnf8WoU&#10;bMfl8mdnH3VarH+35/15sjpNvFLtz2Y5BeGp8f/hd3unFQwHvT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bXK8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120</w:t>
                        </w:r>
                      </w:p>
                    </w:txbxContent>
                  </v:textbox>
                </v:rect>
                <v:rect id="Rectangle 5413" o:spid="_x0000_s1125" style="position:absolute;left:868;top:10039;width:231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pysMYA&#10;AADdAAAADwAAAGRycy9kb3ducmV2LnhtbESPQWvCQBSE74L/YXmCN91Ya9HUVUQterRaUG+P7GsS&#10;mn0bsquJ/npXEHocZuYbZjpvTCGuVLncsoJBPwJBnFidc6rg5/DVG4NwHlljYZkU3MjBfNZuTTHW&#10;tuZvuu59KgKEXYwKMu/LWEqXZGTQ9W1JHLxfWxn0QVap1BXWAW4K+RZFH9JgzmEhw5KWGSV/+4tR&#10;sBmXi9PW3uu0WJ83x91xsjpMvFLdTrP4BOGp8f/hV3urFYzeB0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pysM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140</w:t>
                        </w:r>
                      </w:p>
                    </w:txbxContent>
                  </v:textbox>
                </v:rect>
                <v:rect id="Rectangle 5414" o:spid="_x0000_s1126" style="position:absolute;left:868;top:8088;width:2312;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PqxMYA&#10;AADdAAAADwAAAGRycy9kb3ducmV2LnhtbESPT4vCMBTE78J+h/AWvGmqqGg1iqyKHv2z4O7t0Tzb&#10;ss1LaaKtfnojCHscZuY3zGzRmELcqHK5ZQW9bgSCOLE651TB92nTGYNwHlljYZkU3MnBYv7RmmGs&#10;bc0Huh19KgKEXYwKMu/LWEqXZGTQdW1JHLyLrQz6IKtU6grrADeF7EfRSBrMOSxkWNJXRsnf8WoU&#10;bMfl8mdnH3VarH+35/15sjpNvFLtz2Y5BeGp8f/hd3unFQwHvQ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PqxM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160</w:t>
                        </w:r>
                      </w:p>
                    </w:txbxContent>
                  </v:textbox>
                </v:rect>
                <v:rect id="Rectangle 5415" o:spid="_x0000_s1127" style="position:absolute;left:868;top:6137;width:2312;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9PX8YA&#10;AADdAAAADwAAAGRycy9kb3ducmV2LnhtbESPT4vCMBTE78J+h/AWvGmqqGg1iqyKHv2z4O7t0Tzb&#10;ss1LaaKtfnojCHscZuY3zGzRmELcqHK5ZQW9bgSCOLE651TB92nTGYNwHlljYZkU3MnBYv7RmmGs&#10;bc0Huh19KgKEXYwKMu/LWEqXZGTQdW1JHLyLrQz6IKtU6grrADeF7EfRSBrMOSxkWNJXRsnf8WoU&#10;bMfl8mdnH3VarH+35/15sjpNvFLtz2Y5BeGp8f/hd3unFQwHv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9PX8YAAADdAAAADwAAAAAAAAAAAAAAAACYAgAAZHJz&#10;L2Rvd25yZXYueG1sUEsFBgAAAAAEAAQA9QAAAIs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180</w:t>
                        </w:r>
                      </w:p>
                    </w:txbxContent>
                  </v:textbox>
                </v:rect>
                <v:rect id="Rectangle 5416" o:spid="_x0000_s1128" style="position:absolute;left:868;top:4171;width:2312;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3RKMcA&#10;AADdAAAADwAAAGRycy9kb3ducmV2LnhtbESPQWvCQBSE7wX/w/IKvdWNxUqMriLWYo41EWxvj+wz&#10;Cc2+DdmtSfvrXaHgcZiZb5jlejCNuFDnassKJuMIBHFhdc2lgmP+/hyDcB5ZY2OZFPySg/Vq9LDE&#10;RNueD3TJfCkChF2CCirv20RKV1Rk0I1tSxy8s+0M+iC7UuoO+wA3jXyJopk0WHNYqLClbUXFd/Zj&#10;FOzjdvOZ2r++bHZf+9PHaf6Wz71ST4/DZgHC0+Dv4f92qhW8Tic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90SjHAAAA3Q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200</w:t>
                        </w:r>
                      </w:p>
                    </w:txbxContent>
                  </v:textbox>
                </v:rect>
                <v:rect id="Rectangle 18250" o:spid="_x0000_s1129" style="position:absolute;left:4785;top:25203;width:30240;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JwHscA&#10;AADeAAAADwAAAGRycy9kb3ducmV2LnhtbESPT2vCQBDF74LfYRmhN90otMToKtI/6NFqQb0N2TEJ&#10;ZmdDdmvSfnrnUOhthnnz3vst172r1Z3aUHk2MJ0koIhzbysuDHwdP8YpqBCRLdaeycAPBVivhoMl&#10;ZtZ3/En3QyyUmHDI0EAZY5NpHfKSHIaJb4jldvWtwyhrW2jbYifmrtazJHnRDiuWhBIbei0pvx2+&#10;nYFt2mzOO//bFfX7ZXvan+Zvx3k05mnUbxagIvXxX/z3vbNSP509C4DgyAx69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ScB7HAAAA3gAAAA8AAAAAAAAAAAAAAAAAmAIAAGRy&#10;cy9kb3ducmV2LnhtbFBLBQYAAAAABAAEAPUAAACMAwAAAAA=&#10;" filled="f" stroked="f">
                  <v:textbox inset="0,0,0,0">
                    <w:txbxContent>
                      <w:p w:rsidR="0023438A" w:rsidRDefault="00A02C86">
                        <w:pPr>
                          <w:spacing w:after="160" w:line="259" w:lineRule="auto"/>
                          <w:ind w:left="0" w:firstLine="0"/>
                        </w:pPr>
                        <w:proofErr w:type="spellStart"/>
                        <w:r>
                          <w:rPr>
                            <w:rFonts w:ascii="Calibri" w:eastAsia="Calibri" w:hAnsi="Calibri" w:cs="Calibri"/>
                            <w:color w:val="595959"/>
                            <w:sz w:val="18"/>
                          </w:rPr>
                          <w:t>CollaborationCommunicationKnowledge</w:t>
                        </w:r>
                        <w:proofErr w:type="spellEnd"/>
                      </w:p>
                    </w:txbxContent>
                  </v:textbox>
                </v:rect>
                <v:rect id="Rectangle 18266" o:spid="_x0000_s1130" style="position:absolute;left:41050;top:25203;width:2441;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uHTMQA&#10;AADeAAAADwAAAGRycy9kb3ducmV2LnhtbERPS4vCMBC+L/gfwgje1lQPpVajiA/06Kqg3oZmti3b&#10;TEoTbfXXbxYWvM3H95zZojOVeFDjSssKRsMIBHFmdcm5gvNp+5mAcB5ZY2WZFDzJwWLe+5hhqm3L&#10;X/Q4+lyEEHYpKii8r1MpXVaQQTe0NXHgvm1j0AfY5FI32IZwU8lxFMXSYMmhocCaVgVlP8e7UbBL&#10;6uV1b19tXm1uu8vhMlmfJl6pQb9bTkF46vxb/O/e6zA/Gccx/L0Tbp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bh0zEAAAA3g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N/A</w:t>
                        </w:r>
                      </w:p>
                    </w:txbxContent>
                  </v:textbox>
                </v:rect>
                <v:rect id="Rectangle 18276" o:spid="_x0000_s1131" style="position:absolute;left:49311;top:25203;width:312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IRkcQA&#10;AADeAAAADwAAAGRycy9kb3ducmV2LnhtbERPTYvCMBC9C/6HMMLeNNWDW6tRxF3Ro6uCehuasS02&#10;k9JE291fbxYEb/N4nzNbtKYUD6pdYVnBcBCBIE6tLjhTcDys+zEI55E1lpZJwS85WMy7nRkm2jb8&#10;Q4+9z0QIYZeggtz7KpHSpTkZdANbEQfuamuDPsA6k7rGJoSbUo6iaCwNFhwacqxolVN629+Ngk1c&#10;Lc9b+9dk5fdlc9qdJl+HiVfqo9cupyA8tf4tfrm3OsyPR59j+H8n3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CEZHEAAAA3gAAAA8AAAAAAAAAAAAAAAAAmAIAAGRycy9k&#10;b3ducmV2LnhtbFBLBQYAAAAABAAEAPUAAACJ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Total</w:t>
                        </w:r>
                      </w:p>
                    </w:txbxContent>
                  </v:textbox>
                </v:rect>
                <v:rect id="Rectangle 18253" o:spid="_x0000_s1132" style="position:absolute;left:32135;top:25203;width:3529;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DuacUA&#10;AADeAAAADwAAAGRycy9kb3ducmV2LnhtbERPTWvCQBC9F/oflin01mxqUWJ0FWkretRYSL0N2WkS&#10;mp0N2dXE/vquIHibx/uc+XIwjThT52rLCl6jGARxYXXNpYKvw/olAeE8ssbGMim4kIPl4vFhjqm2&#10;Pe/pnPlShBB2KSqovG9TKV1RkUEX2ZY4cD+2M+gD7EqpO+xDuGnkKI4n0mDNoaHClt4rKn6zk1Gw&#10;SdrV99b+9WXzedzku3z6cZh6pZ6fhtUMhKfB38U391aH+clo/AbXd8IN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O5pxQAAAN4AAAAPAAAAAAAAAAAAAAAAAJgCAABkcnMv&#10;ZG93bnJldi54bWxQSwUGAAAAAAQABAD1AAAAigM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Grant</w:t>
                        </w:r>
                      </w:p>
                    </w:txbxContent>
                  </v:textbox>
                </v:rect>
                <v:rect id="Rectangle 5418" o:spid="_x0000_s1133" style="position:absolute;left:16611;top:1314;width:30516;height:23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7gwcMA&#10;AADdAAAADwAAAGRycy9kb3ducmV2LnhtbERPTYvCMBC9C/6HMMLeNFXcRatRRF30qFVQb0MztsVm&#10;Upqs7e6vN4cFj4/3PV+2phRPql1hWcFwEIEgTq0uOFNwPn33JyCcR9ZYWiYFv+Rgueh25hhr2/CR&#10;nonPRAhhF6OC3PsqltKlORl0A1sRB+5ua4M+wDqTusYmhJtSjqLoSxosODTkWNE6p/SR/BgFu0m1&#10;uu7tX5OV29vucrhMN6epV+qj165mIDy1/i3+d++1gs/xMM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7gwc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28"/>
                          </w:rPr>
                          <w:t>Open-ended Recommendations</w:t>
                        </w:r>
                      </w:p>
                    </w:txbxContent>
                  </v:textbox>
                </v:rect>
                <v:shape id="Shape 143459" o:spid="_x0000_s1134" style="position:absolute;left:22098;top:27950;width:640;height:640;visibility:visible;mso-wrap-style:square;v-text-anchor:top" coordsize="6400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YpKcMA&#10;AADfAAAADwAAAGRycy9kb3ducmV2LnhtbERP3WrCMBS+H+wdwhl4p+mmG1qNIoqgjDGmfYBDc9aU&#10;NielyWr16Y0g7PLj+1+seluLjlpfOlbwOkpAEOdOl1woyE674RSED8gaa8ek4EIeVsvnpwWm2p35&#10;h7pjKEQMYZ+iAhNCk0rpc0MW/cg1xJH7da3FEGFbSN3iOYbbWr4lyYe0WHJsMNjQxlBeHf+sgu6z&#10;8rbaNKaj794d1tk2s19XpQYv/XoOIlAf/sUP917H+ZPx5H0G9z8R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YpKcMAAADfAAAADwAAAAAAAAAAAAAAAACYAgAAZHJzL2Rv&#10;d25yZXYueG1sUEsFBgAAAAAEAAQA9QAAAIgDAAAAAA==&#10;" path="m,l64008,r,64008l,64008,,e" fillcolor="#4f81bd" stroked="f" strokeweight="0">
                  <v:stroke miterlimit="83231f" joinstyle="miter"/>
                  <v:path arrowok="t" textboxrect="0,0,64008,64008"/>
                </v:shape>
                <v:rect id="Rectangle 5420" o:spid="_x0000_s1135" style="position:absolute;left:22997;top:27732;width:6472;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QmesMA&#10;AADdAAAADwAAAGRycy9kb3ducmV2LnhtbERPTYvCMBC9C/sfwix403RlFa1GEV3Ro1sX1NvQjG3Z&#10;ZlKaaKu/3hwEj4/3PVu0phQ3ql1hWcFXPwJBnFpdcKbg77DpjUE4j6yxtEwK7uRgMf/ozDDWtuFf&#10;uiU+EyGEXYwKcu+rWEqX5mTQ9W1FHLiLrQ36AOtM6hqbEG5KOYiikTRYcGjIsaJVTul/cjUKtuNq&#10;edrZR5OVP+ftcX+crA8Tr1T3s11OQXhq/Vv8cu+0guH3I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QmesMAAADdAAAADwAAAAAAAAAAAAAAAACYAgAAZHJzL2Rv&#10;d25yZXYueG1sUEsFBgAAAAAEAAQA9QAAAIgDA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Employers</w:t>
                        </w:r>
                      </w:p>
                    </w:txbxContent>
                  </v:textbox>
                </v:rect>
                <v:shape id="Shape 143460" o:spid="_x0000_s1136" style="position:absolute;left:29032;top:27950;width:625;height:640;visibility:visible;mso-wrap-style:square;v-text-anchor:top" coordsize="62484,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s7DcMA&#10;AADfAAAADwAAAGRycy9kb3ducmV2LnhtbERPTWvCQBC9F/oflil4q5vGECR1lVAq6Ek0Cj0O2WkS&#10;mp0N2a3Gf+8cCj0+3vdqM7leXWkMnWcDb/MEFHHtbceNgXO1fV2CChHZYu+ZDNwpwGb9/LTCwvob&#10;H+l6io2SEA4FGmhjHAqtQ92SwzD3A7Fw3350GAWOjbYj3iTc9TpNklw77FgaWhzoo6X65/TrDJRV&#10;eUjLJD9us2r4/KI+ve8vqTGzl6l8BxVpiv/iP/fOyvxskeXyQP4IA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s7DcMAAADfAAAADwAAAAAAAAAAAAAAAACYAgAAZHJzL2Rv&#10;d25yZXYueG1sUEsFBgAAAAAEAAQA9QAAAIgDAAAAAA==&#10;" path="m,l62484,r,64008l,64008,,e" fillcolor="#c0504d" stroked="f" strokeweight="0">
                  <v:stroke miterlimit="83231f" joinstyle="miter"/>
                  <v:path arrowok="t" textboxrect="0,0,62484,64008"/>
                </v:shape>
                <v:rect id="Rectangle 5422" o:spid="_x0000_s1137" style="position:absolute;left:29931;top:27732;width:6147;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odlscA&#10;AADdAAAADwAAAGRycy9kb3ducmV2LnhtbESPQWvCQBSE74X+h+UVems2DVVidBWpih6tFlJvj+xr&#10;Epp9G7Krif31XUHocZiZb5jZYjCNuFDnassKXqMYBHFhdc2lgs/j5iUF4TyyxsYyKbiSg8X88WGG&#10;mbY9f9Dl4EsRIOwyVFB532ZSuqIigy6yLXHwvm1n0AfZlVJ32Ae4aWQSx2NpsOawUGFL7xUVP4ez&#10;UbBN2+XXzv72ZbM+bfN9PlkdJ16p56dhOQXhafD/4Xt7pxWM3pI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qHZbHAAAA3QAAAA8AAAAAAAAAAAAAAAAAmAIAAGRy&#10;cy9kb3ducmV2LnhtbFBLBQYAAAAABAAEAPUAAACMAwAAAAA=&#10;" filled="f" stroked="f">
                  <v:textbox inset="0,0,0,0">
                    <w:txbxContent>
                      <w:p w:rsidR="0023438A" w:rsidRDefault="00A02C86">
                        <w:pPr>
                          <w:spacing w:after="160" w:line="259" w:lineRule="auto"/>
                          <w:ind w:left="0" w:firstLine="0"/>
                        </w:pPr>
                        <w:r>
                          <w:rPr>
                            <w:rFonts w:ascii="Calibri" w:eastAsia="Calibri" w:hAnsi="Calibri" w:cs="Calibri"/>
                            <w:color w:val="595959"/>
                            <w:sz w:val="18"/>
                          </w:rPr>
                          <w:t>Educators</w:t>
                        </w:r>
                      </w:p>
                    </w:txbxContent>
                  </v:textbox>
                </v:rect>
                <v:shape id="Shape 5423" o:spid="_x0000_s1138" style="position:absolute;width:28110;height:30159;visibility:visible;mso-wrap-style:square;v-text-anchor:top" coordsize="2811018,3015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JnocUA&#10;AADdAAAADwAAAGRycy9kb3ducmV2LnhtbESPzWrDMBCE74W+g9hAbo0cpwnFjRyKg0svOeTnARZr&#10;bRlbK2MpidOnrwqFHoeZ+YbZ7ibbixuNvnWsYLlIQBBXTrfcKLicy5c3ED4ga+wdk4IHedjlz09b&#10;zLS785Fup9CICGGfoQITwpBJ6StDFv3CDcTRq91oMUQ5NlKPeI9w28s0STbSYstxweBAhaGqO12t&#10;gn0oP813eygLX7B7GF8furRWaj6bPt5BBJrCf/iv/aUVrF/TFfy+iU9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EmehxQAAAN0AAAAPAAAAAAAAAAAAAAAAAJgCAABkcnMv&#10;ZG93bnJldi54bWxQSwUGAAAAAAQABAD1AAAAigMAAAAA&#10;" path="m1524,l2811018,r,6096l10668,6096r,3000756l2811018,3006852r,9144l4572,3015996c3048,3015996,,3012948,,3011424l,1524,1524,xe" fillcolor="#d9d9d9" stroked="f" strokeweight="0">
                  <v:stroke miterlimit="83231f" joinstyle="miter"/>
                  <v:path arrowok="t" textboxrect="0,0,2811018,3015996"/>
                </v:shape>
                <v:shape id="Shape 5424" o:spid="_x0000_s1139" style="position:absolute;left:28110;width:28095;height:30159;visibility:visible;mso-wrap-style:square;v-text-anchor:top" coordsize="2809494,3015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68N8UA&#10;AADdAAAADwAAAGRycy9kb3ducmV2LnhtbESPQYvCMBSE78L+h/AW9qapUmWpRpFlXUQR0RW8Pppn&#10;W2xeShPb+u+NIHgcZuYbZrboTCkaql1hWcFwEIEgTq0uOFNw+l/1v0E4j6yxtEwK7uRgMf/ozTDR&#10;tuUDNUefiQBhl6CC3PsqkdKlORl0A1sRB+9ia4M+yDqTusY2wE0pR1E0kQYLDgs5VvSTU3o93oyC&#10;zbiIl1t/2ZW/h33T7vHvfL0bpb4+u+UUhKfOv8Ov9lorGMejGJ5vwhO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Hrw3xQAAAN0AAAAPAAAAAAAAAAAAAAAAAJgCAABkcnMv&#10;ZG93bnJldi54bWxQSwUGAAAAAAQABAD1AAAAigMAAAAA&#10;" path="m,l2807970,r1524,1524l2809494,3011424v,1524,-3048,4572,-4572,4572l,3015996r,-9144l2800350,3006852r,-3000756l,6096,,xe" fillcolor="#d9d9d9" stroked="f" strokeweight="0">
                  <v:stroke miterlimit="83231f" joinstyle="miter"/>
                  <v:path arrowok="t" textboxrect="0,0,2809494,3015996"/>
                </v:shape>
                <w10:anchorlock/>
              </v:group>
            </w:pict>
          </mc:Fallback>
        </mc:AlternateContent>
      </w:r>
    </w:p>
    <w:p w:rsidR="0023438A" w:rsidRDefault="00A02C86">
      <w:pPr>
        <w:spacing w:line="259" w:lineRule="auto"/>
        <w:ind w:left="435" w:right="777"/>
      </w:pPr>
      <w:r>
        <w:rPr>
          <w:i/>
        </w:rPr>
        <w:t>Figure 3</w:t>
      </w:r>
      <w:r>
        <w:t xml:space="preserve">. Frequencies of open-ended response themes. </w:t>
      </w:r>
    </w:p>
    <w:p w:rsidR="0023438A" w:rsidRDefault="00A02C86">
      <w:pPr>
        <w:spacing w:after="268" w:line="259" w:lineRule="auto"/>
        <w:ind w:left="440" w:firstLine="0"/>
      </w:pPr>
      <w:r>
        <w:t xml:space="preserve"> </w:t>
      </w:r>
    </w:p>
    <w:p w:rsidR="0023438A" w:rsidRDefault="00A02C86">
      <w:pPr>
        <w:pStyle w:val="Heading1"/>
        <w:spacing w:after="364"/>
        <w:ind w:left="435"/>
      </w:pPr>
      <w:r>
        <w:t>Theme 1: Collaboration between Business and Education Communities</w:t>
      </w:r>
      <w:r>
        <w:rPr>
          <w:b w:val="0"/>
        </w:rPr>
        <w:t xml:space="preserve"> </w:t>
      </w:r>
    </w:p>
    <w:p w:rsidR="0023438A" w:rsidRDefault="00A02C86">
      <w:pPr>
        <w:spacing w:after="122"/>
        <w:ind w:left="425" w:right="868" w:firstLine="720"/>
      </w:pPr>
      <w:r>
        <w:t xml:space="preserve">Theme 1, </w:t>
      </w:r>
      <w:r>
        <w:rPr>
          <w:i/>
        </w:rPr>
        <w:t xml:space="preserve">collaboration between business and education communities, </w:t>
      </w:r>
      <w:r>
        <w:t>was evident in the respondents’ answers. The participants mentioned ways in which schools and employers could engage more readily in apprenticeship collaboration efforts within their respective organizations. The respondents’ answers addressed the need for</w:t>
      </w:r>
      <w:r>
        <w:t xml:space="preserve"> a partnership and active participation in WBL and apprenticeship initiatives between the employer and educational communities. Several respondents replied simply with “Collaborate” or “Work together.” </w:t>
      </w:r>
    </w:p>
    <w:p w:rsidR="0023438A" w:rsidRDefault="00A02C86">
      <w:pPr>
        <w:pStyle w:val="Heading1"/>
        <w:spacing w:after="367"/>
        <w:ind w:left="435"/>
      </w:pPr>
      <w:r>
        <w:t>Theme 2: Communication</w:t>
      </w:r>
      <w:r>
        <w:rPr>
          <w:b w:val="0"/>
        </w:rPr>
        <w:t xml:space="preserve"> </w:t>
      </w:r>
    </w:p>
    <w:p w:rsidR="0023438A" w:rsidRDefault="00A02C86">
      <w:pPr>
        <w:spacing w:after="252" w:line="259" w:lineRule="auto"/>
        <w:ind w:left="1170" w:right="777"/>
      </w:pPr>
      <w:r>
        <w:t xml:space="preserve">Participants’ comments dealt </w:t>
      </w:r>
      <w:r>
        <w:t xml:space="preserve">with better communication and publicity of </w:t>
      </w:r>
    </w:p>
    <w:p w:rsidR="0023438A" w:rsidRDefault="00A02C86">
      <w:pPr>
        <w:spacing w:after="122"/>
        <w:ind w:left="435" w:right="777"/>
      </w:pPr>
      <w:r>
        <w:t>Apprenticeship and CTE educational offerings as a viable career pathway. Some who replied with this thematic response seemed to be largely unaware of the options available to them. This includes better promotion and advertising, improved information sharin</w:t>
      </w:r>
      <w:r>
        <w:t xml:space="preserve">g with students and parents, presentation of choices, and support from family and schools. The most frequent response in this theme was often brief, with just using the word “communicate” or “better communication.” </w:t>
      </w:r>
    </w:p>
    <w:p w:rsidR="0023438A" w:rsidRDefault="00A02C86">
      <w:pPr>
        <w:pStyle w:val="Heading1"/>
        <w:spacing w:after="367"/>
        <w:ind w:left="435"/>
      </w:pPr>
      <w:r>
        <w:lastRenderedPageBreak/>
        <w:t>Theme 3: Knowledge: Improved Understandi</w:t>
      </w:r>
      <w:r>
        <w:t xml:space="preserve">ng of Apprentice Options </w:t>
      </w:r>
    </w:p>
    <w:p w:rsidR="0023438A" w:rsidRDefault="00A02C86">
      <w:pPr>
        <w:spacing w:after="123"/>
        <w:ind w:left="435" w:right="777"/>
      </w:pPr>
      <w:r>
        <w:rPr>
          <w:b/>
        </w:rPr>
        <w:t xml:space="preserve"> </w:t>
      </w:r>
      <w:r>
        <w:rPr>
          <w:b/>
        </w:rPr>
        <w:tab/>
      </w:r>
      <w:r>
        <w:t>Responses in the category coalesced around the notion that both parties had a lack of education on the changes and full array of PWRA apprenticeship options, supports, and resources available to the business and educational comm</w:t>
      </w:r>
      <w:r>
        <w:t xml:space="preserve">unities. One notable educator quote said, “Host informational sessions with employers. Most employers are unaware of how qualified apprenticeship programs work.” This qualitative theme reinforced the mixed results from the question in the barriers section </w:t>
      </w:r>
      <w:r>
        <w:t xml:space="preserve">regarding lack of awareness about how to start an apprenticeship program.  </w:t>
      </w:r>
    </w:p>
    <w:p w:rsidR="0023438A" w:rsidRDefault="00A02C86">
      <w:pPr>
        <w:pStyle w:val="Heading1"/>
        <w:spacing w:after="367"/>
        <w:ind w:left="435"/>
      </w:pPr>
      <w:r>
        <w:t xml:space="preserve">Theme 4: Grant Funding </w:t>
      </w:r>
    </w:p>
    <w:p w:rsidR="0023438A" w:rsidRDefault="00A02C86">
      <w:pPr>
        <w:spacing w:after="122"/>
        <w:ind w:left="435" w:right="893"/>
      </w:pPr>
      <w:r>
        <w:rPr>
          <w:b/>
        </w:rPr>
        <w:t xml:space="preserve"> </w:t>
      </w:r>
      <w:r>
        <w:rPr>
          <w:b/>
        </w:rPr>
        <w:tab/>
      </w:r>
      <w:r>
        <w:t>Interestingly, this category received the lowest frequency of responses, suggesting it is less impactful of a barrier or opportunity than the previous thr</w:t>
      </w:r>
      <w:r>
        <w:t>ee areas. Nonetheless, the suggestions are worth noting. An educator commented, “Come up with a way to curve the costs, so it would not be a huge expense to the employer and student;” an employer stated, “have greater access to funding for programs (grants</w:t>
      </w:r>
      <w:r>
        <w:t xml:space="preserve">), share feedback on the success of apprenticeship programs with the employer community, increased partnerships with schools.” The input from this category is valuable to know where to better focus funding apparatuses to support the future growth of PWRA. </w:t>
      </w:r>
      <w:r>
        <w:t xml:space="preserve">The respondents in these questionnaires indicated that funding to cover additional training costs was the greatest need. </w:t>
      </w:r>
    </w:p>
    <w:p w:rsidR="0023438A" w:rsidRDefault="00A02C86">
      <w:pPr>
        <w:pStyle w:val="Heading1"/>
        <w:ind w:left="435"/>
      </w:pPr>
      <w:r>
        <w:t xml:space="preserve">Summary of Results </w:t>
      </w:r>
    </w:p>
    <w:p w:rsidR="0023438A" w:rsidRDefault="00A02C86">
      <w:pPr>
        <w:ind w:left="425" w:right="898" w:firstLine="720"/>
      </w:pPr>
      <w:r>
        <w:t xml:space="preserve">This chapter summarized the findings and results of this study, which endeavored to establish a parallel analysis </w:t>
      </w:r>
      <w:r>
        <w:t xml:space="preserve">of the perceptions of educators and employers and how they influence the barriers or disconnects to the current status of apprenticeship programming as well as the opportunities for alignment in the future. Furthermore, this chapter helped to identify the </w:t>
      </w:r>
      <w:r>
        <w:t xml:space="preserve">questionnaire items and open-ended responses that were asked to garner answers for the research questions. A total of 32 items or 16 of each of two questionnaires were analyzed, and </w:t>
      </w:r>
      <w:r>
        <w:lastRenderedPageBreak/>
        <w:t>the data from this analysis were considered. The researcher selected a sub</w:t>
      </w:r>
      <w:r>
        <w:t xml:space="preserve">set of each item’s statistics for display in this chapter’s tables. The complete questionnaire data is displayed in Appendix E. </w:t>
      </w:r>
    </w:p>
    <w:p w:rsidR="0023438A" w:rsidRDefault="00A02C86">
      <w:pPr>
        <w:spacing w:after="124"/>
        <w:ind w:left="425" w:right="777" w:firstLine="720"/>
      </w:pPr>
      <w:r>
        <w:t>In Chapter V, the researcher further dissects the findings and interprets their impact on potential solutions to the research q</w:t>
      </w:r>
      <w:r>
        <w:t xml:space="preserve">uestions. The researcher also discusses the implications of the findings on the current body of knowledge and opportunities for additional research on the subject.  </w:t>
      </w:r>
    </w:p>
    <w:p w:rsidR="0023438A" w:rsidRDefault="00A02C86">
      <w:pPr>
        <w:spacing w:after="0" w:line="259" w:lineRule="auto"/>
        <w:ind w:left="440" w:firstLine="0"/>
      </w:pPr>
      <w:r>
        <w:t xml:space="preserve"> </w:t>
      </w:r>
      <w:r>
        <w:tab/>
      </w:r>
      <w:r>
        <w:rPr>
          <w:b/>
        </w:rPr>
        <w:t xml:space="preserve"> </w:t>
      </w:r>
      <w:r>
        <w:br w:type="page"/>
      </w:r>
    </w:p>
    <w:p w:rsidR="0023438A" w:rsidRDefault="00A02C86">
      <w:pPr>
        <w:spacing w:after="249" w:line="259" w:lineRule="auto"/>
        <w:ind w:left="907" w:right="1239"/>
        <w:jc w:val="center"/>
      </w:pPr>
      <w:r>
        <w:rPr>
          <w:b/>
        </w:rPr>
        <w:lastRenderedPageBreak/>
        <w:t xml:space="preserve">CHAPTER V </w:t>
      </w:r>
    </w:p>
    <w:p w:rsidR="0023438A" w:rsidRDefault="00A02C86">
      <w:pPr>
        <w:pStyle w:val="Heading1"/>
        <w:spacing w:after="249"/>
        <w:ind w:right="1240"/>
        <w:jc w:val="center"/>
      </w:pPr>
      <w:r>
        <w:t xml:space="preserve">Findings and Conclusions </w:t>
      </w:r>
    </w:p>
    <w:p w:rsidR="0023438A" w:rsidRDefault="00A02C86">
      <w:pPr>
        <w:spacing w:after="117"/>
        <w:ind w:left="435" w:right="893"/>
      </w:pPr>
      <w:r>
        <w:t xml:space="preserve"> </w:t>
      </w:r>
      <w:r>
        <w:tab/>
        <w:t>The final chapter of this research study prese</w:t>
      </w:r>
      <w:r>
        <w:t>nts findings, conclusions, and recommendations for future research on this topic. Several of the results are also used to suggest opportunities for partnerships between the business and education communities. In addition, potential obstacles and pitfalls w</w:t>
      </w:r>
      <w:r>
        <w:t xml:space="preserve">ill be highlighted. Conclusions are based on findings from the study and the literature. This chapter is organized based on the discussion of findings framed by the original research questions and theoretical framework that was introduced in Chapter I. </w:t>
      </w:r>
    </w:p>
    <w:p w:rsidR="0023438A" w:rsidRDefault="00A02C86">
      <w:pPr>
        <w:spacing w:after="117"/>
        <w:ind w:left="425" w:right="878" w:firstLine="720"/>
      </w:pPr>
      <w:r>
        <w:t xml:space="preserve">The researcher’s interest in apprenticeship as a type of college-connected WBL grew throughout a lifetime of personal and professional exposure to the life-changing opportunity that CTE provides to its dedicated students. The idea of learning by doing has </w:t>
      </w:r>
      <w:r>
        <w:t>long been the CTE community's domain, beginning in the secondary levels and spanning to both private and public postsecondary institutions that provide a variety of programs such as short term certificates up to associate and bachelor degrees. The research</w:t>
      </w:r>
      <w:r>
        <w:t>er is motivated by a desire to contribute to the body of knowledge that keeps the sector at the forefront of improving the lives of those it serves. As stated in Chapters I through III, the societal trends, policies, and public mindset over the past severa</w:t>
      </w:r>
      <w:r>
        <w:t>l decades have created a strong focus on traditional academic success, but schools have somehow lost the ability to truly identify alternative career pathways for all students to succeed in life after high school (</w:t>
      </w:r>
      <w:proofErr w:type="spellStart"/>
      <w:r>
        <w:t>McGivern</w:t>
      </w:r>
      <w:proofErr w:type="spellEnd"/>
      <w:r>
        <w:t>, 2019). As an overwhelming majori</w:t>
      </w:r>
      <w:r>
        <w:t>ty of high school graduates pursue a traditional four-year bachelor degree pathway, a skills gap exists for employers seeking a skilled and trained workforce beyond that of a high school education but less than a four-year degree (</w:t>
      </w:r>
      <w:proofErr w:type="spellStart"/>
      <w:r>
        <w:t>Carnevale</w:t>
      </w:r>
      <w:proofErr w:type="spellEnd"/>
      <w:r>
        <w:t>, 2018). Post-Co</w:t>
      </w:r>
      <w:r>
        <w:t xml:space="preserve">vid-19, many of the jobs, once referred to as middle-skill, are now widely known as jobs filled by “essential workers.” </w:t>
      </w:r>
    </w:p>
    <w:p w:rsidR="0023438A" w:rsidRDefault="00A02C86">
      <w:pPr>
        <w:spacing w:after="122"/>
        <w:ind w:left="425" w:right="777" w:firstLine="720"/>
      </w:pPr>
      <w:r>
        <w:t>The combination of stubbornly high college costs, combined with the skills gap forcing employers to look beyond conventional recruiting</w:t>
      </w:r>
      <w:r>
        <w:t xml:space="preserve"> channels, have contributed to a resurgent public interest in apprenticeship (</w:t>
      </w:r>
      <w:proofErr w:type="spellStart"/>
      <w:r>
        <w:t>Prebil</w:t>
      </w:r>
      <w:proofErr w:type="spellEnd"/>
      <w:r>
        <w:t xml:space="preserve">, 2019). The learn and earn apprenticeship model has </w:t>
      </w:r>
      <w:r>
        <w:lastRenderedPageBreak/>
        <w:t>broad appeal and financial support across the political spectrum; however, despite the right market conditions and publ</w:t>
      </w:r>
      <w:r>
        <w:t>ic interest, apprenticeship in the United States has yet to come close to the workforce participation levels seen in most other industrialized nations around the globe (</w:t>
      </w:r>
      <w:proofErr w:type="spellStart"/>
      <w:r>
        <w:t>Hepler</w:t>
      </w:r>
      <w:proofErr w:type="spellEnd"/>
      <w:r>
        <w:t xml:space="preserve"> et al., 2016).  </w:t>
      </w:r>
    </w:p>
    <w:p w:rsidR="0023438A" w:rsidRDefault="00A02C86">
      <w:pPr>
        <w:pStyle w:val="Heading1"/>
        <w:ind w:left="435"/>
      </w:pPr>
      <w:r>
        <w:t xml:space="preserve">Key Findings </w:t>
      </w:r>
    </w:p>
    <w:p w:rsidR="0023438A" w:rsidRDefault="00A02C86">
      <w:pPr>
        <w:spacing w:after="121"/>
        <w:ind w:left="425" w:right="777" w:firstLine="720"/>
      </w:pPr>
      <w:r>
        <w:t>The discussion of this study’s findings aims to a</w:t>
      </w:r>
      <w:r>
        <w:t xml:space="preserve">ddress these shortfalls and propose solutions to further bolster the initiative's expansion. The researcher identified several central takeaways from the data analysis: </w:t>
      </w:r>
    </w:p>
    <w:p w:rsidR="0023438A" w:rsidRDefault="00A02C86">
      <w:pPr>
        <w:numPr>
          <w:ilvl w:val="0"/>
          <w:numId w:val="9"/>
        </w:numPr>
        <w:spacing w:after="121"/>
        <w:ind w:right="777" w:hanging="420"/>
      </w:pPr>
      <w:r>
        <w:t>The overall perception of apprenticeship by employers and higher education professiona</w:t>
      </w:r>
      <w:r>
        <w:t xml:space="preserve">ls is positive. </w:t>
      </w:r>
    </w:p>
    <w:p w:rsidR="0023438A" w:rsidRDefault="00A02C86">
      <w:pPr>
        <w:numPr>
          <w:ilvl w:val="0"/>
          <w:numId w:val="9"/>
        </w:numPr>
        <w:spacing w:after="375" w:line="259" w:lineRule="auto"/>
        <w:ind w:right="777" w:hanging="420"/>
      </w:pPr>
      <w:r>
        <w:t xml:space="preserve">Knowledge of modern apprenticeship opportunities is lacking in both groups. </w:t>
      </w:r>
    </w:p>
    <w:p w:rsidR="0023438A" w:rsidRDefault="00A02C86">
      <w:pPr>
        <w:numPr>
          <w:ilvl w:val="0"/>
          <w:numId w:val="9"/>
        </w:numPr>
        <w:spacing w:after="121"/>
        <w:ind w:right="777" w:hanging="420"/>
      </w:pPr>
      <w:r>
        <w:t xml:space="preserve">A college connection to apprenticeship completion criteria is necessary for apprenticeship to expand into new, more upwardly mobile occupational sectors.  </w:t>
      </w:r>
    </w:p>
    <w:p w:rsidR="0023438A" w:rsidRDefault="00A02C86">
      <w:pPr>
        <w:numPr>
          <w:ilvl w:val="0"/>
          <w:numId w:val="9"/>
        </w:numPr>
        <w:spacing w:after="121"/>
        <w:ind w:right="777" w:hanging="420"/>
      </w:pPr>
      <w:r>
        <w:t>As the</w:t>
      </w:r>
      <w:r>
        <w:t xml:space="preserve"> higher education community has expertise in curriculum design, it should take the lead in designing apprenticeship frameworks as it functions similarly. </w:t>
      </w:r>
    </w:p>
    <w:p w:rsidR="0023438A" w:rsidRDefault="00A02C86">
      <w:pPr>
        <w:numPr>
          <w:ilvl w:val="0"/>
          <w:numId w:val="9"/>
        </w:numPr>
        <w:spacing w:line="259" w:lineRule="auto"/>
        <w:ind w:right="777" w:hanging="420"/>
      </w:pPr>
      <w:r>
        <w:t xml:space="preserve">Apprenticeship requires time and patience to develop lasting partnerships. </w:t>
      </w:r>
    </w:p>
    <w:p w:rsidR="0023438A" w:rsidRDefault="00A02C86">
      <w:pPr>
        <w:spacing w:after="122"/>
        <w:ind w:left="425" w:right="777" w:firstLine="720"/>
      </w:pPr>
      <w:r>
        <w:t>All in all, the participa</w:t>
      </w:r>
      <w:r>
        <w:t>nts viewed apprenticeship and WBL as a whole positively, but their knowledge of the current expansion efforts is lacking. Specifically, the main barrier is that both groups need assistance on how to get started with apprenticeship. Next, as the primary opp</w:t>
      </w:r>
      <w:r>
        <w:t>ortunity, a college connection is essential to gaining lasting growth for apprenticeship. This finding is evidenced in the data as both groups strongly prioritized (87% educator; 80% employer) degree attainment as a component of apprenticeship. The workfor</w:t>
      </w:r>
      <w:r>
        <w:t>ce development community’s ability to offer degreed apprenticeships is crucial to meet the most in-demand occupations’ application requirements. Middle-skills occupations, the fastest growing sector of our economy, increasingly require at least an associat</w:t>
      </w:r>
      <w:r>
        <w:t xml:space="preserve">e degree to enter the field (NSC, 2020). </w:t>
      </w:r>
      <w:r>
        <w:lastRenderedPageBreak/>
        <w:t>Finally, this research found that both groups (77% educator; 72% employer) indicate higher education should take the lead in starting these programs. The sector is more adept at navigating the administrative require</w:t>
      </w:r>
      <w:r>
        <w:t xml:space="preserve">ments of program development and approvals. All of this will take time and require a long term commitment. In an instant gratification society, it remains to be seen if America has the patience to see it through to fruition.  </w:t>
      </w:r>
    </w:p>
    <w:p w:rsidR="0023438A" w:rsidRDefault="00A02C86">
      <w:pPr>
        <w:pStyle w:val="Heading1"/>
        <w:ind w:left="435"/>
      </w:pPr>
      <w:r>
        <w:t xml:space="preserve">Summary of Results </w:t>
      </w:r>
    </w:p>
    <w:p w:rsidR="0023438A" w:rsidRDefault="00A02C86">
      <w:pPr>
        <w:spacing w:after="122"/>
        <w:ind w:left="425" w:right="777" w:firstLine="720"/>
      </w:pPr>
      <w:r>
        <w:t>This larg</w:t>
      </w:r>
      <w:r>
        <w:t>e-scale cross-sectional survey research used two parallel questionnaires designed to examine employers’ and educators’ perspectives as they engage in WBL in CTE environments. Utilizing an electronic questionnaire, the two separate participant groups each r</w:t>
      </w:r>
      <w:r>
        <w:t>esponded to 16 Likert scale items that were designed to find answers to the research questions posed in Chapter I of this study. Respondents were also asked to identify their suggestions for apprenticeship alignment and expansion in one open-ended item. On</w:t>
      </w:r>
      <w:r>
        <w:t>ce the data’s electronic collection was complete and compiled, the researcher then moved into analyzing the data and interpreting its findings. The overall response rate for the employer questionnaire was 15.4%, with 131 employers participating. Of the 272</w:t>
      </w:r>
      <w:r>
        <w:t xml:space="preserve"> school officials that were sent the questionnaire, 91 participated, resulting in a response rate of 33.4%. Therefore, the results of this study contribute to the body of knowledge on the topic and can serve to inform future studies.  </w:t>
      </w:r>
    </w:p>
    <w:p w:rsidR="0023438A" w:rsidRDefault="00A02C86">
      <w:pPr>
        <w:pStyle w:val="Heading1"/>
        <w:ind w:left="435"/>
      </w:pPr>
      <w:r>
        <w:t xml:space="preserve">Research Question 1 </w:t>
      </w:r>
    </w:p>
    <w:p w:rsidR="0023438A" w:rsidRDefault="00A02C86">
      <w:pPr>
        <w:spacing w:after="117"/>
        <w:ind w:left="425" w:right="1064" w:firstLine="720"/>
      </w:pPr>
      <w:r>
        <w:t xml:space="preserve">What are the perceptions and experiences of small and medium-size employers and the postsecondary, Career and Technical Education providers regarding apprenticeship programs?  </w:t>
      </w:r>
    </w:p>
    <w:p w:rsidR="0023438A" w:rsidRDefault="00A02C86">
      <w:pPr>
        <w:spacing w:after="117"/>
        <w:ind w:left="425" w:right="938" w:firstLine="720"/>
      </w:pPr>
      <w:r>
        <w:rPr>
          <w:b/>
        </w:rPr>
        <w:t xml:space="preserve">Perceptions of apprenticeship. </w:t>
      </w:r>
      <w:r>
        <w:t>Educators and employers are comparable with their level of agreement on the knowledge scale portion of the questionnaire. The majority of each group in this section shared the same sentiments toward each of the questionnaire items. Both parties were nearly</w:t>
      </w:r>
      <w:r>
        <w:t xml:space="preserve"> unanimous (89% educator; 99% employer) in their agreement that more WBL experiences are needed. The awareness scale revealed some mixed responses, particularly </w:t>
      </w:r>
      <w:r>
        <w:lastRenderedPageBreak/>
        <w:t xml:space="preserve">on the awareness item: </w:t>
      </w:r>
      <w:r>
        <w:rPr>
          <w:i/>
        </w:rPr>
        <w:t xml:space="preserve">Apprenticeships can now be based on competencies. </w:t>
      </w:r>
      <w:r>
        <w:t>The employer group onl</w:t>
      </w:r>
      <w:r>
        <w:t xml:space="preserve">y had 36% awareness, while the educator group presented a better grasp at 58%. Mixed results also appear on the item: </w:t>
      </w:r>
      <w:r>
        <w:rPr>
          <w:i/>
        </w:rPr>
        <w:t>Historically, apprenticeships usually take 3-5 years to complete</w:t>
      </w:r>
      <w:r>
        <w:t>. Again, educators demonstrated a greater awareness (60%) when compared to</w:t>
      </w:r>
      <w:r>
        <w:t xml:space="preserve"> the employers (43%). On the Perception of Priority Scale, both sides overwhelmingly (94% educator; 82% employer) reported that they prioritized the use of competency-based frameworks to shorten apprenticeships to 1-2 years. Moreover, three-fourths or more</w:t>
      </w:r>
      <w:r>
        <w:t xml:space="preserve"> prioritized that the ability to earn a degree prior to on-the-job training and the ability to transfer accrued apprenticeship achievements are important features of the training requirements. Although employers highly prioritized these items, the response</w:t>
      </w:r>
      <w:r>
        <w:t xml:space="preserve">s were weighted higher by the educator group. Seemingly these features would be of getter benefit from the educator point of view as they related more directly to academic credentialing.  Lastly, as both sectors struggle to recruit employees and students, </w:t>
      </w:r>
      <w:r>
        <w:t xml:space="preserve">they agreed (84% educator; 85% employer) that the ability to access a larger pool of candidates interested in this offering is an important priority. </w:t>
      </w:r>
    </w:p>
    <w:p w:rsidR="0023438A" w:rsidRDefault="00A02C86">
      <w:pPr>
        <w:spacing w:after="117"/>
        <w:ind w:left="425" w:right="777" w:firstLine="720"/>
      </w:pPr>
      <w:r>
        <w:t>These findings corroborate several concepts posited by U.S. literature; however, few of these sources are</w:t>
      </w:r>
      <w:r>
        <w:t xml:space="preserve"> backed with academic research. For example, </w:t>
      </w:r>
      <w:proofErr w:type="spellStart"/>
      <w:r>
        <w:t>Amoyaw</w:t>
      </w:r>
      <w:proofErr w:type="spellEnd"/>
      <w:r>
        <w:t xml:space="preserve"> and Brown (2018), Kuehn and Jones (2018), McCarthy et al. (2017), and </w:t>
      </w:r>
      <w:proofErr w:type="spellStart"/>
      <w:r>
        <w:t>Prebil</w:t>
      </w:r>
      <w:proofErr w:type="spellEnd"/>
      <w:r>
        <w:t xml:space="preserve"> (2019) all use labor market data to support apprenticeship expansion. However, European literature is prevalent on the topic. T</w:t>
      </w:r>
      <w:r>
        <w:t xml:space="preserve">he dual education or degree apprenticeship model is widely used in places like the United Kingdom, Switzerland, and Germany. Several studies support its effectiveness in expanding participation, persistence, and completion rates of apprenticeship programs </w:t>
      </w:r>
      <w:r>
        <w:t>(</w:t>
      </w:r>
      <w:proofErr w:type="spellStart"/>
      <w:r>
        <w:t>Cedefop</w:t>
      </w:r>
      <w:proofErr w:type="spellEnd"/>
      <w:r>
        <w:t xml:space="preserve">, 2015; Hoffman &amp; </w:t>
      </w:r>
      <w:proofErr w:type="spellStart"/>
      <w:r>
        <w:t>Schwatz</w:t>
      </w:r>
      <w:proofErr w:type="spellEnd"/>
      <w:r>
        <w:t xml:space="preserve">, 2015; </w:t>
      </w:r>
      <w:proofErr w:type="spellStart"/>
      <w:r>
        <w:t>Moretti</w:t>
      </w:r>
      <w:proofErr w:type="spellEnd"/>
      <w:r>
        <w:t xml:space="preserve"> et al., 2017). </w:t>
      </w:r>
    </w:p>
    <w:p w:rsidR="0023438A" w:rsidRDefault="00A02C86">
      <w:pPr>
        <w:spacing w:after="117"/>
        <w:ind w:left="425" w:right="984" w:firstLine="720"/>
      </w:pPr>
      <w:r>
        <w:t>The researcher interprets these findings to show that both parties lack awareness about the new components of the modern apprenticeship. The ability to now run apprenticeship in over 1,000 ap</w:t>
      </w:r>
      <w:r>
        <w:t xml:space="preserve">proved occupations in every Department of Labor career cluster is something that needs to be more broadly communicated to both stakeholder groups. Another takeaway from </w:t>
      </w:r>
      <w:r>
        <w:lastRenderedPageBreak/>
        <w:t>these findings is a lack of awareness surrounding competency frameworks and the capabil</w:t>
      </w:r>
      <w:r>
        <w:t>ities to design on-the-job training protocols that flex in the length of time required based on the individual apprentice’s proficiency. The speed at which the American economy changes and the desire for its workers to seek expedient pathways to wage advan</w:t>
      </w:r>
      <w:r>
        <w:t xml:space="preserve">cement make competency training appealing to businesses and participants alike. </w:t>
      </w:r>
    </w:p>
    <w:p w:rsidR="0023438A" w:rsidRDefault="00A02C86">
      <w:pPr>
        <w:spacing w:after="120"/>
        <w:ind w:left="435" w:right="871"/>
      </w:pPr>
      <w:r>
        <w:t xml:space="preserve"> </w:t>
      </w:r>
      <w:r>
        <w:tab/>
      </w:r>
      <w:r>
        <w:rPr>
          <w:b/>
        </w:rPr>
        <w:t xml:space="preserve">Qualitative responses related to RQ1. </w:t>
      </w:r>
      <w:r>
        <w:t xml:space="preserve">The open-ended response section developed two themes related to RQ1: </w:t>
      </w:r>
    </w:p>
    <w:p w:rsidR="0023438A" w:rsidRDefault="00A02C86">
      <w:pPr>
        <w:numPr>
          <w:ilvl w:val="0"/>
          <w:numId w:val="10"/>
        </w:numPr>
        <w:spacing w:line="259" w:lineRule="auto"/>
        <w:ind w:right="777" w:hanging="420"/>
      </w:pPr>
      <w:r>
        <w:t xml:space="preserve">Communication </w:t>
      </w:r>
    </w:p>
    <w:p w:rsidR="0023438A" w:rsidRDefault="00A02C86">
      <w:pPr>
        <w:numPr>
          <w:ilvl w:val="0"/>
          <w:numId w:val="10"/>
        </w:numPr>
        <w:spacing w:after="372" w:line="259" w:lineRule="auto"/>
        <w:ind w:right="777" w:hanging="420"/>
      </w:pPr>
      <w:r>
        <w:t>Knowledge: Improved understanding of apprenticeshi</w:t>
      </w:r>
      <w:r>
        <w:t xml:space="preserve">p options.  </w:t>
      </w:r>
    </w:p>
    <w:p w:rsidR="0023438A" w:rsidRDefault="00A02C86">
      <w:pPr>
        <w:spacing w:after="117"/>
        <w:ind w:left="425" w:right="1048" w:firstLine="720"/>
      </w:pPr>
      <w:r>
        <w:t xml:space="preserve">The responses addressing communication (n=50) and knowledge (n=31) conveyed the opinion that more work is needed to educate not only the public at large but the individual stakeholders on the changes and expansion of the PWRA.  The researcher </w:t>
      </w:r>
      <w:r>
        <w:t>interpreted these findings to mean that better communication will lead to increased knowledge. Some of the employer responses indicated that the knowledge and communication burden should fall to the higher education community. The results reinforced a them</w:t>
      </w:r>
      <w:r>
        <w:t xml:space="preserve">e regarding communication but suggested that the responsibility to do so fell to the educators to initiate the interaction. A particularly poignant response strikes at the heart of the communication and knowledge gap related to apprenticeship:  </w:t>
      </w:r>
    </w:p>
    <w:p w:rsidR="0023438A" w:rsidRDefault="00A02C86">
      <w:pPr>
        <w:spacing w:after="117"/>
        <w:ind w:left="1530" w:right="1070"/>
      </w:pPr>
      <w:r>
        <w:t>Higher education needs to be responsible and do its job. Usually, when we do a co-op, the educator drops the ball at every opportunity, and we have to spend a lot of time trying to contact them, get information, etc. The person doing the job needs to do th</w:t>
      </w:r>
      <w:r>
        <w:t xml:space="preserve">eir job. The employer is already doing a job, running their company. </w:t>
      </w:r>
    </w:p>
    <w:p w:rsidR="0023438A" w:rsidRDefault="00A02C86">
      <w:pPr>
        <w:ind w:left="425" w:right="1001" w:firstLine="720"/>
      </w:pPr>
      <w:r>
        <w:t xml:space="preserve">The qualitative portion gave an outlet for employers to provide more detail regarding their perceptions. The comments suggest that higher education is not effective at outreach from the </w:t>
      </w:r>
      <w:r>
        <w:t xml:space="preserve">employer's point of view. These comments were corroborated with the quantitative </w:t>
      </w:r>
      <w:r>
        <w:lastRenderedPageBreak/>
        <w:t xml:space="preserve">questionnaire item displayed in Table 9 that asked employers to </w:t>
      </w:r>
      <w:r>
        <w:rPr>
          <w:i/>
        </w:rPr>
        <w:t xml:space="preserve">indicate who should be responsible for each task. </w:t>
      </w:r>
      <w:r>
        <w:t xml:space="preserve"> Employers appear to want higher education to handle the appr</w:t>
      </w:r>
      <w:r>
        <w:t>enticeship programming and to deliver them capable, trained employees with the least amount of involvement from the employers as possible. If the mentality that “The employer is already doing a job, running their company...” is pervasive, then apprenticesh</w:t>
      </w:r>
      <w:r>
        <w:t xml:space="preserve">ip will never launch unless higher education carries the lion’s share of the workload.   </w:t>
      </w:r>
    </w:p>
    <w:p w:rsidR="0023438A" w:rsidRDefault="00A02C86">
      <w:pPr>
        <w:spacing w:after="117"/>
        <w:ind w:left="425" w:right="936" w:firstLine="720"/>
      </w:pPr>
      <w:r>
        <w:t xml:space="preserve">The transferability of apprenticeship to other colleges and/or employers stood out as another focal point in the quantitative item on the </w:t>
      </w:r>
      <w:r>
        <w:rPr>
          <w:i/>
        </w:rPr>
        <w:t>Perception of Priority scale</w:t>
      </w:r>
      <w:r>
        <w:rPr>
          <w:i/>
        </w:rPr>
        <w:t xml:space="preserve">. </w:t>
      </w:r>
      <w:r>
        <w:t>Ninety percent of educators and 77% of employers prioritized this option in apprenticeship frameworks. This notion was reinforced anecdotally in a few open-ended responses: “Apprenticeship to develop transferable skills. Otherwise, if the job ends, the s</w:t>
      </w:r>
      <w:r>
        <w:t>tudent is back to the beginning.”  Policies that prioritize the interests of the apprentice are crucial to a sustainable expansion of apprenticeship because they are the most vulnerable stakeholder in the process. A type of transfer portal that gives the a</w:t>
      </w:r>
      <w:r>
        <w:t>bility to retain earned credentials toward an apprenticeship certificate is a good suggestion that protects all three stakeholders: the student/apprentice, the school, and the company. Furthermore, results suggest that schools and employers would be more w</w:t>
      </w:r>
      <w:r>
        <w:t xml:space="preserve">illing to engage if the prerequisite of a long term commitment was less arduous, and this willingness would likely extend to students.  </w:t>
      </w:r>
    </w:p>
    <w:p w:rsidR="0023438A" w:rsidRDefault="00A02C86">
      <w:pPr>
        <w:spacing w:after="122"/>
        <w:ind w:left="425" w:right="1053" w:firstLine="720"/>
      </w:pPr>
      <w:r>
        <w:t>The perception regarding long term commitment transitions into RQ2 as it reinforces an item that the study found to be a barrier to apprenticeship. Over half of employers (52%) cited concerns that apprentices would leave and take their skills to another co</w:t>
      </w:r>
      <w:r>
        <w:t>mpany as a moderate or extreme barrier to pursuing apprenticeship. The literature supports this finding, particularly in the discussions of the historical failings of apprenticeship. The American workforce itself thwarted past efforts to expand American ap</w:t>
      </w:r>
      <w:r>
        <w:t xml:space="preserve">prenticeship (Gordon, 2015; </w:t>
      </w:r>
      <w:proofErr w:type="spellStart"/>
      <w:r>
        <w:t>Lerman</w:t>
      </w:r>
      <w:proofErr w:type="spellEnd"/>
      <w:r>
        <w:t xml:space="preserve">, 2012). The American workforce culture’s pervasive desire to pursue upward mobility </w:t>
      </w:r>
      <w:r>
        <w:lastRenderedPageBreak/>
        <w:t xml:space="preserve">and fast wage growth leads many employees to change jobs frequently, and employers less willing to fund expensive job training programs. </w:t>
      </w:r>
    </w:p>
    <w:p w:rsidR="0023438A" w:rsidRDefault="00A02C86">
      <w:pPr>
        <w:pStyle w:val="Heading1"/>
        <w:ind w:left="435"/>
      </w:pPr>
      <w:r>
        <w:t xml:space="preserve">Research Question 2 </w:t>
      </w:r>
    </w:p>
    <w:p w:rsidR="0023438A" w:rsidRDefault="00A02C86">
      <w:pPr>
        <w:tabs>
          <w:tab w:val="center" w:pos="440"/>
          <w:tab w:val="center" w:pos="4797"/>
        </w:tabs>
        <w:spacing w:line="259" w:lineRule="auto"/>
        <w:ind w:left="0" w:firstLine="0"/>
      </w:pPr>
      <w:r>
        <w:rPr>
          <w:rFonts w:ascii="Calibri" w:eastAsia="Calibri" w:hAnsi="Calibri" w:cs="Calibri"/>
          <w:sz w:val="22"/>
        </w:rPr>
        <w:tab/>
      </w:r>
      <w:r>
        <w:t xml:space="preserve"> </w:t>
      </w:r>
      <w:r>
        <w:tab/>
        <w:t xml:space="preserve">What are the perceived barriers /disconnects and opportunities for alignment </w:t>
      </w:r>
    </w:p>
    <w:p w:rsidR="0023438A" w:rsidRDefault="00A02C86">
      <w:pPr>
        <w:ind w:left="435" w:right="1518"/>
      </w:pPr>
      <w:proofErr w:type="gramStart"/>
      <w:r>
        <w:t>between</w:t>
      </w:r>
      <w:proofErr w:type="gramEnd"/>
      <w:r>
        <w:t xml:space="preserve"> small and medium-size employers and the postsecondary, Career and Technical Education providers regarding starting new Registered Apprenticeship </w:t>
      </w:r>
      <w:r>
        <w:t xml:space="preserve">program offerings?  </w:t>
      </w:r>
    </w:p>
    <w:p w:rsidR="0023438A" w:rsidRDefault="00A02C86">
      <w:pPr>
        <w:spacing w:after="117"/>
        <w:ind w:left="425" w:right="896" w:firstLine="720"/>
      </w:pPr>
      <w:r>
        <w:rPr>
          <w:b/>
        </w:rPr>
        <w:t xml:space="preserve">Perceptions of barriers, disconnects, and opportunities. </w:t>
      </w:r>
      <w:r>
        <w:t>The questionnaire items pertaining to RQ2 provide feedback from the respondents as to their perceptions of any disconnects or barriers toward apprenticeship growth.  These questi</w:t>
      </w:r>
      <w:r>
        <w:t xml:space="preserve">onnaire items then seek to inform the opportunities as seen by each group for expansion of the programming. To begin, the literature informed the first two parallel items in this section that asked the groups if they had any interest or need for this type </w:t>
      </w:r>
      <w:r>
        <w:t xml:space="preserve">of WBL: </w:t>
      </w:r>
    </w:p>
    <w:p w:rsidR="0023438A" w:rsidRDefault="00A02C86">
      <w:pPr>
        <w:spacing w:after="364" w:line="267" w:lineRule="auto"/>
        <w:ind w:left="1170" w:right="715"/>
      </w:pPr>
      <w:r>
        <w:rPr>
          <w:i/>
        </w:rPr>
        <w:t xml:space="preserve">Current WBL programs are meeting needs.  </w:t>
      </w:r>
    </w:p>
    <w:p w:rsidR="0023438A" w:rsidRDefault="00A02C86">
      <w:pPr>
        <w:spacing w:after="364" w:line="267" w:lineRule="auto"/>
        <w:ind w:left="1170" w:right="715"/>
      </w:pPr>
      <w:r>
        <w:rPr>
          <w:i/>
        </w:rPr>
        <w:t xml:space="preserve">Interest in apprenticeship is lacking.  </w:t>
      </w:r>
    </w:p>
    <w:p w:rsidR="0023438A" w:rsidRDefault="00A02C86">
      <w:pPr>
        <w:ind w:left="425" w:right="1012" w:firstLine="720"/>
      </w:pPr>
      <w:r>
        <w:t>If these items came back with a high percentage of agreement, then RQ2 would have reached a swift conclusion; however, only half of employers felt current WBL progr</w:t>
      </w:r>
      <w:r>
        <w:t>ams meet their needs. Second, fewer than half of the respondents (44%, of educators and 46% of employers) concluded that interest in apprenticeship is lacking. Therefore, at least half of both groups agreed that they have a desire to pursue this initiative</w:t>
      </w:r>
      <w:r>
        <w:t>. When asked about their overall interest in apprenticeship, over half of employers (56%) responded favorably, and interestingly, educators responded higher at 77%. These results align with Snell, Voss, and Kline (2017) and Parton (2017), who found that th</w:t>
      </w:r>
      <w:r>
        <w:t xml:space="preserve">e overall public perception of apprenticeship is positive and support the need to expand federal funding. Furthermore, despite COVID-19, both groups (71%, 60%) agreed they have an interest in hiring and/or pursuing apprenticeship post-COVID-19. </w:t>
      </w:r>
    </w:p>
    <w:p w:rsidR="0023438A" w:rsidRDefault="00A02C86">
      <w:pPr>
        <w:spacing w:after="117"/>
        <w:ind w:left="425" w:right="1079" w:firstLine="720"/>
      </w:pPr>
      <w:r>
        <w:lastRenderedPageBreak/>
        <w:t>An interpr</w:t>
      </w:r>
      <w:r>
        <w:t>etation of the remaining questionnaire items related to apprenticeship expansion barriers gives an indication that both parties need more students/applicants willing to participate in apprenticeship (92%, 76%), and more businesses and schools willing to pa</w:t>
      </w:r>
      <w:r>
        <w:t xml:space="preserve">rtner for apprenticeship (90%, 75%). In order to gain more active participants, increased awareness is required. The data collection from RQ1 demonstrated a lack of awareness regarding the expanded scope of the PWRA and all the possibilities now available </w:t>
      </w:r>
      <w:r>
        <w:t xml:space="preserve">to a broad range of occupations and businesses of all sizes. This finding is reinforced in the responses for RQ2, with both parties indicating that if more students or workforce applicants were interested, that would aid in their expansion efforts.  </w:t>
      </w:r>
    </w:p>
    <w:p w:rsidR="0023438A" w:rsidRDefault="00A02C86">
      <w:pPr>
        <w:spacing w:after="117"/>
        <w:ind w:left="425" w:right="957" w:firstLine="720"/>
      </w:pPr>
      <w:r>
        <w:t>A cro</w:t>
      </w:r>
      <w:r>
        <w:t>ss-sectional item related to opportunities for apprenticeship growth asked both groups whom they felt should be responsible for each key task in establishing apprenticeship programs. Most responses fell to the educators, with employers following closely be</w:t>
      </w:r>
      <w:r>
        <w:t>hind. A significantly smaller expectation was placed on the student and/or a government entity. Interestingly, both parties indicated that higher education should do more to lead the initiating the apprenticeship discussion, design, and collaboration. Then</w:t>
      </w:r>
      <w:r>
        <w:t>, the employers should take the lead on facilitating the on-the-job training coordination. Overall, a consensus formed around the notion that higher education should take the lead in forming partnerships with employers. This was expounded upon in the open-</w:t>
      </w:r>
      <w:r>
        <w:t xml:space="preserve">ended questionnaire item. Collaboration was the primary theme in the responses, and higher education’s role was a focal point. </w:t>
      </w:r>
    </w:p>
    <w:p w:rsidR="0023438A" w:rsidRDefault="00A02C86">
      <w:pPr>
        <w:spacing w:after="121"/>
        <w:ind w:left="425" w:right="871" w:firstLine="720"/>
      </w:pPr>
      <w:r>
        <w:rPr>
          <w:b/>
        </w:rPr>
        <w:t xml:space="preserve">Qualitative responses related to RQ2. </w:t>
      </w:r>
      <w:r>
        <w:t xml:space="preserve">The open-ended response section developed two themes related to RQ1: </w:t>
      </w:r>
    </w:p>
    <w:p w:rsidR="0023438A" w:rsidRDefault="00A02C86">
      <w:pPr>
        <w:numPr>
          <w:ilvl w:val="0"/>
          <w:numId w:val="11"/>
        </w:numPr>
        <w:spacing w:after="375" w:line="259" w:lineRule="auto"/>
        <w:ind w:right="777" w:hanging="360"/>
      </w:pPr>
      <w:r>
        <w:t xml:space="preserve">Collaboration between business and education communities. </w:t>
      </w:r>
    </w:p>
    <w:p w:rsidR="0023438A" w:rsidRDefault="00A02C86">
      <w:pPr>
        <w:numPr>
          <w:ilvl w:val="0"/>
          <w:numId w:val="11"/>
        </w:numPr>
        <w:spacing w:line="259" w:lineRule="auto"/>
        <w:ind w:right="777" w:hanging="360"/>
      </w:pPr>
      <w:r>
        <w:t xml:space="preserve">Grant Funding </w:t>
      </w:r>
    </w:p>
    <w:p w:rsidR="0023438A" w:rsidRDefault="00A02C86">
      <w:pPr>
        <w:spacing w:after="117"/>
        <w:ind w:left="425" w:right="849" w:firstLine="720"/>
      </w:pPr>
      <w:r>
        <w:t xml:space="preserve">The researcher interpreted the qualitative responses into two primary themes that addressed RQ2: </w:t>
      </w:r>
      <w:r>
        <w:rPr>
          <w:i/>
        </w:rPr>
        <w:t>Collaboration between business and education communities</w:t>
      </w:r>
      <w:r>
        <w:t xml:space="preserve"> (n=64) and </w:t>
      </w:r>
      <w:r>
        <w:rPr>
          <w:i/>
        </w:rPr>
        <w:t>Grant funding</w:t>
      </w:r>
      <w:r>
        <w:t xml:space="preserve"> (n=</w:t>
      </w:r>
      <w:r>
        <w:t xml:space="preserve">13) expressed the dueling sentiment that systemic barriers exist to the expansion of </w:t>
      </w:r>
      <w:r>
        <w:lastRenderedPageBreak/>
        <w:t xml:space="preserve">apprenticeship. However, those disconnects are the same things that present an opportunity for the growth of the PWRA. The collaboration theme received the most number of </w:t>
      </w:r>
      <w:r>
        <w:t xml:space="preserve">responses out of all four themes, while the grant funding theme received the least.  </w:t>
      </w:r>
    </w:p>
    <w:p w:rsidR="0023438A" w:rsidRDefault="00A02C86">
      <w:pPr>
        <w:spacing w:after="117"/>
        <w:ind w:left="435" w:right="1081"/>
      </w:pPr>
      <w:r>
        <w:t xml:space="preserve"> </w:t>
      </w:r>
      <w:r>
        <w:tab/>
        <w:t>The researcher found less of a priority was placed on grant funding by these participant groups as compared to the findings suggested in the review of literature. Grant</w:t>
      </w:r>
      <w:r>
        <w:t xml:space="preserve"> funding, additional governmental budget allocations, or policy changes are the primary findings from the literature for the PWRA to realize its potential (</w:t>
      </w:r>
      <w:proofErr w:type="spellStart"/>
      <w:r>
        <w:t>Hepler</w:t>
      </w:r>
      <w:proofErr w:type="spellEnd"/>
      <w:r>
        <w:t xml:space="preserve"> et al., 2016). </w:t>
      </w:r>
      <w:proofErr w:type="spellStart"/>
      <w:r>
        <w:t>Prebil</w:t>
      </w:r>
      <w:proofErr w:type="spellEnd"/>
      <w:r>
        <w:t xml:space="preserve"> (2019) found that colleges are less likely to serve as effective partne</w:t>
      </w:r>
      <w:r>
        <w:t>rs in degree-connected apprenticeships if they receive less funding for an apprentice than they would for an ordinary student in credit coursework.   Findings of the present study suggest that grant funding is less of a priority than previous literature su</w:t>
      </w:r>
      <w:r>
        <w:t xml:space="preserve">ggests. An interpretation of this finding led the researcher to conclude that if all things were kept equal in the funding </w:t>
      </w:r>
      <w:proofErr w:type="gramStart"/>
      <w:r>
        <w:t>structure, perhaps that</w:t>
      </w:r>
      <w:proofErr w:type="gramEnd"/>
      <w:r>
        <w:t xml:space="preserve"> would be enough to introduce more apprenticeships. This would make the financial barriers of apprenticeship f</w:t>
      </w:r>
      <w:r>
        <w:t xml:space="preserve">ar less daunting and easier to overcome from a budget perspective.  </w:t>
      </w:r>
    </w:p>
    <w:p w:rsidR="0023438A" w:rsidRDefault="00A02C86">
      <w:pPr>
        <w:ind w:left="425" w:right="859" w:firstLine="720"/>
      </w:pPr>
      <w:r>
        <w:t>The findings in this study suggest that those elements are a piece of the puzzle but not the most crucial factor to the stakeholders' process of establishing new partnerships. As an illus</w:t>
      </w:r>
      <w:r>
        <w:t xml:space="preserve">tration, a response from the open-ended portion addressed this finding: “Have greater access to funding for programs (grants), share feedback on the success of apprenticeship programs with the employer community, increased partnerships with schools.” </w:t>
      </w:r>
    </w:p>
    <w:p w:rsidR="0023438A" w:rsidRDefault="00A02C86">
      <w:pPr>
        <w:spacing w:after="117"/>
        <w:ind w:left="425" w:right="777" w:firstLine="720"/>
      </w:pPr>
      <w:r>
        <w:t>Coll</w:t>
      </w:r>
      <w:r>
        <w:t xml:space="preserve">aboration between business and education communities was the most significant theme that developed out of the open-ended responses. Both the educational and employer groups expressed a need to work together. Seemingly both parties saw the need and benefit </w:t>
      </w:r>
      <w:r>
        <w:t>of PWRA but did not see a clear pathway to connect with the other stakeholders of the apprenticeship framework: school, business, government, and apprentices. A salient quote underscores this point further: “Work together on a more creative approach that a</w:t>
      </w:r>
      <w:r>
        <w:t xml:space="preserve">llows an </w:t>
      </w:r>
      <w:r>
        <w:lastRenderedPageBreak/>
        <w:t xml:space="preserve">opportunity for apprenticeships that are college-connected and degree related in high growth/high wage industries.” </w:t>
      </w:r>
    </w:p>
    <w:p w:rsidR="0023438A" w:rsidRDefault="00A02C86">
      <w:pPr>
        <w:spacing w:after="117"/>
        <w:ind w:left="425" w:right="777" w:firstLine="720"/>
      </w:pPr>
      <w:r>
        <w:t xml:space="preserve">Other respondents provided ideas for solutions to </w:t>
      </w:r>
      <w:proofErr w:type="gramStart"/>
      <w:r>
        <w:t>the disconnect</w:t>
      </w:r>
      <w:proofErr w:type="gramEnd"/>
      <w:r>
        <w:t>, such as cooperatively integrating work-based learning into the c</w:t>
      </w:r>
      <w:r>
        <w:t xml:space="preserve">lassroom and on-the-job experiences, holding regular meetings to discuss the school programs, and build partnerships to promote job placement. </w:t>
      </w:r>
    </w:p>
    <w:p w:rsidR="0023438A" w:rsidRDefault="00A02C86">
      <w:pPr>
        <w:spacing w:after="117"/>
        <w:ind w:left="630" w:right="777"/>
      </w:pPr>
      <w:r>
        <w:t>The open-ended responses related to stakeholder responsibility reinforced the quantitative findings from the que</w:t>
      </w:r>
      <w:r>
        <w:t xml:space="preserve">stionnaire item: </w:t>
      </w:r>
    </w:p>
    <w:p w:rsidR="0023438A" w:rsidRDefault="00A02C86">
      <w:pPr>
        <w:spacing w:after="120" w:line="476" w:lineRule="auto"/>
        <w:ind w:left="620" w:right="715" w:firstLine="540"/>
      </w:pPr>
      <w:r>
        <w:t xml:space="preserve"> </w:t>
      </w:r>
      <w:r>
        <w:rPr>
          <w:i/>
        </w:rPr>
        <w:t xml:space="preserve">To improve efficiency when administering an apprenticeship program, please indicate who should be responsible for each task.  </w:t>
      </w:r>
    </w:p>
    <w:p w:rsidR="0023438A" w:rsidRDefault="00A02C86">
      <w:pPr>
        <w:ind w:left="425" w:right="777" w:firstLine="540"/>
      </w:pPr>
      <w:r>
        <w:t>The highest percentage of responses indicated that the employers and educators are primarily accountable for e</w:t>
      </w:r>
      <w:r>
        <w:t>ach critical task; however, both groups indicated that it is the educators who should take the lead to initiate the partnership discussions and design the curriculum. Then, employers can fill the back end of the training funnel with the on-the-job training</w:t>
      </w:r>
      <w:r>
        <w:t xml:space="preserve">. Even a thorough examination of the solutions suggested by the questionnaire respondents makes it evident that there is not a fast, easy fix to </w:t>
      </w:r>
      <w:proofErr w:type="gramStart"/>
      <w:r>
        <w:t>the disconnect</w:t>
      </w:r>
      <w:proofErr w:type="gramEnd"/>
      <w:r>
        <w:t xml:space="preserve">.  From their perspectives, it will take commitment to collaboration and a sustained effort over </w:t>
      </w:r>
      <w:r>
        <w:t xml:space="preserve">time that builds small achievements into larger programs. </w:t>
      </w:r>
    </w:p>
    <w:p w:rsidR="0023438A" w:rsidRDefault="00A02C86">
      <w:pPr>
        <w:pStyle w:val="Heading1"/>
        <w:ind w:left="435"/>
      </w:pPr>
      <w:r>
        <w:t xml:space="preserve">Limitations and Delimitations </w:t>
      </w:r>
    </w:p>
    <w:p w:rsidR="0023438A" w:rsidRDefault="00A02C86">
      <w:pPr>
        <w:spacing w:after="117"/>
        <w:ind w:left="425" w:right="1077" w:firstLine="720"/>
      </w:pPr>
      <w:r>
        <w:t>Generalizability of results, while plausible, is unlikely due to being limited by three factors. First, the participants were limited to postsecondary CTE institutions and corresponding employers who recruit graduates for related occupational fields. Secon</w:t>
      </w:r>
      <w:r>
        <w:t xml:space="preserve">d, the geographical area that was included in this study is small. The area being limited to one </w:t>
      </w:r>
      <w:proofErr w:type="spellStart"/>
      <w:r>
        <w:t>MidAtlantic</w:t>
      </w:r>
      <w:proofErr w:type="spellEnd"/>
      <w:r>
        <w:t xml:space="preserve"> tri-state region may have an impact on the results due to economic or demographic conditions unique to this region. Lastly, the small sample size c</w:t>
      </w:r>
      <w:r>
        <w:t xml:space="preserve">ould be brought </w:t>
      </w:r>
      <w:r>
        <w:lastRenderedPageBreak/>
        <w:t xml:space="preserve">into question. Those factors considered, the literature reveals, as evidenced in Chapter II, that employers and educators around the country do face many of the same issues.  </w:t>
      </w:r>
    </w:p>
    <w:p w:rsidR="0023438A" w:rsidRDefault="00A02C86">
      <w:pPr>
        <w:ind w:left="425" w:right="777" w:firstLine="720"/>
      </w:pPr>
      <w:r>
        <w:t xml:space="preserve">This study was conducted in the midst of the COVID-19 pandemic. </w:t>
      </w:r>
      <w:r>
        <w:t>The questionnaires were sent and received during the summer of 2020. The pandemic’s effect on participants’ responses, ability to answer accurately, or knowledge of the future implications on their school or business may be a confounding variable and limit</w:t>
      </w:r>
      <w:r>
        <w:t xml:space="preserve">ation to this study. Nevertheless, the questionnaires were returned at a satisfactory response rate, and items were added to the questionnaire to measure the participants’ perception of the pandemic’s impact. Second, the size of the geographical area used </w:t>
      </w:r>
      <w:r>
        <w:t>in this study was a limitation. Generalizability and transferability could be constrained given the geographical region and the number of schools and employer participants available. Self-constructed instruments were utilized, which poses a threat to measu</w:t>
      </w:r>
      <w:r>
        <w:t xml:space="preserve">rement error. Additionally, nonresponse may be an issue.  </w:t>
      </w:r>
    </w:p>
    <w:p w:rsidR="0023438A" w:rsidRDefault="00A02C86">
      <w:pPr>
        <w:ind w:left="425" w:right="777" w:firstLine="720"/>
      </w:pPr>
      <w:r>
        <w:t>Other limitations included the use of a researcher selected sample instead of a random sample, which could pose concerns about validity and the use of a mostly forced answer questionnaire, which ma</w:t>
      </w:r>
      <w:r>
        <w:t xml:space="preserve">y not reflect the respondents’ full perceptions of apprenticeship. </w:t>
      </w:r>
    </w:p>
    <w:p w:rsidR="0023438A" w:rsidRDefault="00A02C86">
      <w:pPr>
        <w:spacing w:after="117"/>
        <w:ind w:left="435" w:right="777"/>
      </w:pPr>
      <w:r>
        <w:t>Although this study used a geographically limited sample and, therefore, could constrain generalizability, the results of this study may be helpful to stakeholders across state and nationa</w:t>
      </w:r>
      <w:r>
        <w:t xml:space="preserve">l sectors if this study’s sample is representative of other region’s populations. </w:t>
      </w:r>
    </w:p>
    <w:p w:rsidR="0023438A" w:rsidRDefault="00A02C86">
      <w:pPr>
        <w:ind w:left="425" w:right="777" w:firstLine="720"/>
      </w:pPr>
      <w:r>
        <w:t>Delimitations were determined by the conscious inclusionary decisions that were made throughout the development of the study. The main delimitation of this study is the choi</w:t>
      </w:r>
      <w:r>
        <w:t xml:space="preserve">ce of targeting small to medium size businesses that employ the majority of the workforce in the </w:t>
      </w:r>
      <w:proofErr w:type="spellStart"/>
      <w:r>
        <w:t>midAtlantic</w:t>
      </w:r>
      <w:proofErr w:type="spellEnd"/>
      <w:r>
        <w:t xml:space="preserve"> region from where the survey was conducted. These businesses are believed to be representative of a section of the economy in which apprenticeship </w:t>
      </w:r>
      <w:r>
        <w:t xml:space="preserve">is able to grow the most. </w:t>
      </w:r>
    </w:p>
    <w:p w:rsidR="0023438A" w:rsidRDefault="00A02C86">
      <w:pPr>
        <w:pStyle w:val="Heading1"/>
        <w:ind w:left="435"/>
      </w:pPr>
      <w:r>
        <w:t xml:space="preserve">Implications </w:t>
      </w:r>
    </w:p>
    <w:p w:rsidR="0023438A" w:rsidRDefault="00A02C86">
      <w:pPr>
        <w:ind w:left="425" w:right="777" w:firstLine="720"/>
      </w:pPr>
      <w:r>
        <w:t xml:space="preserve">Current events in the United States have brought economic inequality and social justice to the forefront of society. Literature suggests that apprenticeship can serve as a vehicle to level the </w:t>
      </w:r>
      <w:r>
        <w:lastRenderedPageBreak/>
        <w:t>playing field and give</w:t>
      </w:r>
      <w:r>
        <w:t xml:space="preserve"> access and opportunity to all. The program’s earn and learn structure creates an opportunity for a participant to receive not only a debt-free education but also a sustainable wage throughout the process. Prior to COVID-19, the U.S. economy saw unpreceden</w:t>
      </w:r>
      <w:r>
        <w:t>ted growth and historically low unemployment rates; however, wages of low and middle-skill workers stagnated for decades (</w:t>
      </w:r>
      <w:proofErr w:type="spellStart"/>
      <w:r>
        <w:t>Zessoules</w:t>
      </w:r>
      <w:proofErr w:type="spellEnd"/>
      <w:r>
        <w:t xml:space="preserve"> &amp; </w:t>
      </w:r>
      <w:proofErr w:type="spellStart"/>
      <w:r>
        <w:t>Ajilore</w:t>
      </w:r>
      <w:proofErr w:type="spellEnd"/>
      <w:r>
        <w:t>, 2018). While productivity and profitability increased, gains have largely been realized by only the richest 1% of</w:t>
      </w:r>
      <w:r>
        <w:t xml:space="preserve"> Americans, exasperating the persisting income inequality gap and creating an ominous outlook for the future middle-class standard of living. Moreover, gaps in both employment and income by race and gender have disproportionate labor market consequences fo</w:t>
      </w:r>
      <w:r>
        <w:t xml:space="preserve">r certain groups.  </w:t>
      </w:r>
    </w:p>
    <w:p w:rsidR="0023438A" w:rsidRDefault="00A02C86">
      <w:pPr>
        <w:ind w:left="425" w:right="777" w:firstLine="720"/>
      </w:pPr>
      <w:r>
        <w:t>Despite higher educational attainment, wage gaps and growing income inequality divide along racial lines. The New Jersey Institute of Social Justice (NJIST, 2020) sees apprenticeship as a way to help bridge the inequality gap while crea</w:t>
      </w:r>
      <w:r>
        <w:t>ting more equity and opportunity for people of all gender, race, and socioeconomic background. Apprenticeship has the unique ability to address the skills and inequality gap by providing an accessible connection to high demand, financially sustainable care</w:t>
      </w:r>
      <w:r>
        <w:t>ers. This study’s findings support the notion that employers (88%) agree that their company needs new, effective recruiting employees.  Meanwhile, employers are spending less on their internal workforce professional development training, and usually, the t</w:t>
      </w:r>
      <w:r>
        <w:t>raining is industry-specific, resulting in non-transferable skills or credentials (</w:t>
      </w:r>
      <w:proofErr w:type="spellStart"/>
      <w:r>
        <w:t>Zessoules</w:t>
      </w:r>
      <w:proofErr w:type="spellEnd"/>
      <w:r>
        <w:t xml:space="preserve"> &amp; </w:t>
      </w:r>
      <w:proofErr w:type="spellStart"/>
      <w:r>
        <w:t>Ajilore</w:t>
      </w:r>
      <w:proofErr w:type="spellEnd"/>
      <w:r>
        <w:t xml:space="preserve">, 2018). It could be the collective duty of society to explore this pathway as a way to lift up those who experience systemic disadvantages. </w:t>
      </w:r>
    </w:p>
    <w:p w:rsidR="0023438A" w:rsidRDefault="00A02C86">
      <w:pPr>
        <w:pStyle w:val="Heading1"/>
        <w:ind w:left="435"/>
      </w:pPr>
      <w:r>
        <w:t>Recommendati</w:t>
      </w:r>
      <w:r>
        <w:t xml:space="preserve">ons from the Study  </w:t>
      </w:r>
    </w:p>
    <w:p w:rsidR="0023438A" w:rsidRDefault="00A02C86">
      <w:pPr>
        <w:spacing w:after="121"/>
        <w:ind w:left="435" w:right="931"/>
      </w:pPr>
      <w:r>
        <w:rPr>
          <w:b/>
        </w:rPr>
        <w:t xml:space="preserve"> </w:t>
      </w:r>
      <w:r>
        <w:rPr>
          <w:b/>
        </w:rPr>
        <w:tab/>
      </w:r>
      <w:r>
        <w:t xml:space="preserve">The findings from this study led the researcher to recommend several initiatives to address </w:t>
      </w:r>
      <w:proofErr w:type="gramStart"/>
      <w:r>
        <w:t>the disconnect</w:t>
      </w:r>
      <w:proofErr w:type="gramEnd"/>
      <w:r>
        <w:t xml:space="preserve"> and expand apprenticeship alignment between employers and higher education. First, a stronger connection between education and</w:t>
      </w:r>
      <w:r>
        <w:t xml:space="preserve"> industry is needed to align the credentials such as degrees, diplomas, and industry certifications to occupational apprenticeship </w:t>
      </w:r>
      <w:r>
        <w:lastRenderedPageBreak/>
        <w:t>frameworks. The results of this study suggest several strategies or policy changes to improve alignment between education and</w:t>
      </w:r>
      <w:r>
        <w:t xml:space="preserve"> industry and warrant further research to study the efficacy: </w:t>
      </w:r>
    </w:p>
    <w:p w:rsidR="0023438A" w:rsidRDefault="00A02C86">
      <w:pPr>
        <w:numPr>
          <w:ilvl w:val="0"/>
          <w:numId w:val="12"/>
        </w:numPr>
        <w:ind w:right="777" w:hanging="360"/>
      </w:pPr>
      <w:r>
        <w:t xml:space="preserve">Codify the dual education model, also referred to as Student Apprentices or Degree Apprenticeship, into the Department of Education and Department of </w:t>
      </w:r>
    </w:p>
    <w:p w:rsidR="0023438A" w:rsidRDefault="00A02C86">
      <w:pPr>
        <w:spacing w:after="375" w:line="259" w:lineRule="auto"/>
        <w:ind w:left="1890" w:right="777"/>
      </w:pPr>
      <w:r>
        <w:t xml:space="preserve">Labor regulations. </w:t>
      </w:r>
    </w:p>
    <w:p w:rsidR="0023438A" w:rsidRDefault="00A02C86">
      <w:pPr>
        <w:numPr>
          <w:ilvl w:val="0"/>
          <w:numId w:val="12"/>
        </w:numPr>
        <w:spacing w:after="121"/>
        <w:ind w:right="777" w:hanging="360"/>
      </w:pPr>
      <w:r>
        <w:t xml:space="preserve">Promote non-traditional occupations in healthcare and technology for apprenticeship. </w:t>
      </w:r>
    </w:p>
    <w:p w:rsidR="0023438A" w:rsidRDefault="00A02C86">
      <w:pPr>
        <w:numPr>
          <w:ilvl w:val="0"/>
          <w:numId w:val="12"/>
        </w:numPr>
        <w:ind w:right="777" w:hanging="360"/>
      </w:pPr>
      <w:r>
        <w:t xml:space="preserve">Make existing training funds eligible for apprenticeships and related technical training. (e.g., GI Bill, Pell, State Tuition grants, Direct Loans) </w:t>
      </w:r>
    </w:p>
    <w:p w:rsidR="0023438A" w:rsidRDefault="00A02C86">
      <w:pPr>
        <w:numPr>
          <w:ilvl w:val="0"/>
          <w:numId w:val="12"/>
        </w:numPr>
        <w:spacing w:after="121"/>
        <w:ind w:right="777" w:hanging="360"/>
      </w:pPr>
      <w:r>
        <w:t>Provide a portal or c</w:t>
      </w:r>
      <w:r>
        <w:t xml:space="preserve">learinghouse of successful business and education partnerships to serve as a template for those new to the apprenticeship realm. </w:t>
      </w:r>
    </w:p>
    <w:p w:rsidR="0023438A" w:rsidRDefault="00A02C86">
      <w:pPr>
        <w:numPr>
          <w:ilvl w:val="0"/>
          <w:numId w:val="12"/>
        </w:numPr>
        <w:spacing w:after="376" w:line="259" w:lineRule="auto"/>
        <w:ind w:right="777" w:hanging="360"/>
      </w:pPr>
      <w:r>
        <w:t xml:space="preserve">Allow for on-the-job competency-based training to count for college credit.  </w:t>
      </w:r>
    </w:p>
    <w:p w:rsidR="0023438A" w:rsidRDefault="00A02C86">
      <w:pPr>
        <w:pStyle w:val="Heading1"/>
        <w:ind w:left="435"/>
      </w:pPr>
      <w:r>
        <w:t xml:space="preserve">Recommendations for Future Research </w:t>
      </w:r>
    </w:p>
    <w:p w:rsidR="0023438A" w:rsidRDefault="00A02C86">
      <w:pPr>
        <w:spacing w:after="117"/>
        <w:ind w:left="425" w:right="892" w:firstLine="720"/>
      </w:pPr>
      <w:r>
        <w:t>Based on the results of this study, additional recommendations include the replication of this study with a larger sample size covering a larger region, or perhaps even a national study. The size of this study limited the ability to identify significant st</w:t>
      </w:r>
      <w:r>
        <w:t>atistical differences or similarities between the two participant groups. Moreover, additional sectors of higher education should be surveyed to analyze their perceptions and interest in pursuing apprenticeship. A qualitative study design could be benefici</w:t>
      </w:r>
      <w:r>
        <w:t xml:space="preserve">al to gain deeper insight into the reservations and experiences of each group.  </w:t>
      </w:r>
    </w:p>
    <w:p w:rsidR="0023438A" w:rsidRDefault="00A02C86">
      <w:pPr>
        <w:spacing w:after="122"/>
        <w:ind w:left="425" w:right="890" w:firstLine="720"/>
      </w:pPr>
      <w:r>
        <w:t xml:space="preserve"> This study’s findings could serve to inform the research field on current perceptions and future recommendations for apprenticeship study. A broader sample would be required </w:t>
      </w:r>
      <w:r>
        <w:t>to find a significant difference in those perceptions. Assuming a larger national survey would find similar results as this current study, more concrete recommendations for higher education and apprenticeship could be offered that are grounded in large sca</w:t>
      </w:r>
      <w:r>
        <w:t xml:space="preserve">le research.  </w:t>
      </w:r>
    </w:p>
    <w:p w:rsidR="0023438A" w:rsidRDefault="00A02C86">
      <w:pPr>
        <w:pStyle w:val="Heading1"/>
        <w:ind w:left="435"/>
      </w:pPr>
      <w:r>
        <w:lastRenderedPageBreak/>
        <w:t xml:space="preserve">Conclusion </w:t>
      </w:r>
    </w:p>
    <w:p w:rsidR="0023438A" w:rsidRDefault="00A02C86">
      <w:pPr>
        <w:spacing w:after="117"/>
        <w:ind w:left="425" w:right="777" w:firstLine="720"/>
      </w:pPr>
      <w:r>
        <w:t>These findings led the researcher to conclude that there is no easy solution or comprehensive policy change that will lead to a massive expansion or shifting of the public mindset regarding apprenticeship. It will take a long-ter</w:t>
      </w:r>
      <w:r>
        <w:t>m, sustained commitment of hardworking students, dedicated schools, and committed employers collaborating with new WBL pathways. The perceptions of apprenticeship and WBL pedagogy are positive, and the demand for a skilled and highly trained workforce is g</w:t>
      </w:r>
      <w:r>
        <w:t xml:space="preserve">rowing. If barriers such as lack of knowledge and communication are reduced, the opportunities for collaboration and occupational expansion can flourish. College-connected apprenticeships provide the required credentials for a broader array of occupations </w:t>
      </w:r>
      <w:r>
        <w:t xml:space="preserve">to be </w:t>
      </w:r>
      <w:proofErr w:type="spellStart"/>
      <w:r>
        <w:t>apprenticeable</w:t>
      </w:r>
      <w:proofErr w:type="spellEnd"/>
      <w:r>
        <w:t xml:space="preserve"> and give long term career security to the participants. Furthermore, </w:t>
      </w:r>
      <w:proofErr w:type="gramStart"/>
      <w:r>
        <w:t>the learn</w:t>
      </w:r>
      <w:proofErr w:type="gramEnd"/>
      <w:r>
        <w:t xml:space="preserve"> and earn model removes barriers of entry to higher education for individuals facing socioeconomic barriers such as income inequality and social inequities. </w:t>
      </w:r>
      <w:r>
        <w:t xml:space="preserve"> </w:t>
      </w:r>
    </w:p>
    <w:p w:rsidR="0023438A" w:rsidRDefault="00A02C86">
      <w:pPr>
        <w:spacing w:after="117"/>
        <w:ind w:left="425" w:right="1076" w:firstLine="720"/>
      </w:pPr>
      <w:r>
        <w:t>The results of the study suggest that there is no fast track to apprenticeship, but rather a consistent approach to relationship building between business and education is necessary for growth. Each framework needs to address the unique needs of every em</w:t>
      </w:r>
      <w:r>
        <w:t>ployer and apprentice to best identify the expertise required of an affiliated educational partner. There is rarely a one-size-fits-all solution, so the more the policymakers can pave the way for an apprenticeship friendly operating climate, the better cha</w:t>
      </w:r>
      <w:r>
        <w:t>nce the system has to succeed. But one thing is for certain, apprenticeship is a component of education that has stood the test of time. Due to the impact of COVID-19, adaptions will need to be made to fit the demand of the current economic climate, but th</w:t>
      </w:r>
      <w:r>
        <w:t>e opportunity has never been greater to make this classic form of training new again. At a time of civil unrest in America, college-connected apprenticeships provide a stabilizing initiative that gives real opportunity for upward mobility to the most disad</w:t>
      </w:r>
      <w:r>
        <w:t xml:space="preserve">vantaged members of society while offering a bipartisan appeal that can help unify in a politically divided nation. Ultimately, apprenticeship will require patience as success will </w:t>
      </w:r>
      <w:r>
        <w:lastRenderedPageBreak/>
        <w:t>come, one student, one apprenticeship, and one job at a time, but the outco</w:t>
      </w:r>
      <w:r>
        <w:t xml:space="preserve">mes could improve the communities served by the businesses and educators for generations.  </w:t>
      </w:r>
    </w:p>
    <w:p w:rsidR="0023438A" w:rsidRDefault="00A02C86">
      <w:pPr>
        <w:spacing w:after="252" w:line="259" w:lineRule="auto"/>
        <w:ind w:left="440" w:firstLine="0"/>
      </w:pPr>
      <w:r>
        <w:t xml:space="preserve"> </w:t>
      </w:r>
    </w:p>
    <w:p w:rsidR="0023438A" w:rsidRDefault="00A02C86">
      <w:pPr>
        <w:spacing w:after="0" w:line="259" w:lineRule="auto"/>
        <w:ind w:left="440" w:firstLine="0"/>
      </w:pPr>
      <w:r>
        <w:t xml:space="preserve"> </w:t>
      </w:r>
    </w:p>
    <w:p w:rsidR="0023438A" w:rsidRDefault="00A02C86">
      <w:pPr>
        <w:pStyle w:val="Heading1"/>
        <w:spacing w:after="249"/>
        <w:ind w:right="1239"/>
        <w:jc w:val="center"/>
      </w:pPr>
      <w:r>
        <w:t xml:space="preserve">References </w:t>
      </w:r>
    </w:p>
    <w:p w:rsidR="0023438A" w:rsidRDefault="00A02C86">
      <w:pPr>
        <w:spacing w:after="252" w:line="259" w:lineRule="auto"/>
        <w:ind w:left="435" w:right="777"/>
      </w:pPr>
      <w:r>
        <w:t xml:space="preserve">Abel, J., Dietz R., and Su Y. (2014). Are recent college graduates finding good jobs? </w:t>
      </w:r>
      <w:r>
        <w:rPr>
          <w:i/>
        </w:rPr>
        <w:t xml:space="preserve">Current </w:t>
      </w:r>
    </w:p>
    <w:p w:rsidR="0023438A" w:rsidRDefault="00A02C86">
      <w:pPr>
        <w:spacing w:after="252" w:line="259" w:lineRule="auto"/>
        <w:ind w:left="1170" w:right="777"/>
      </w:pPr>
      <w:r>
        <w:rPr>
          <w:i/>
        </w:rPr>
        <w:t>Issues in Economics and Finance</w:t>
      </w:r>
      <w:r>
        <w:t xml:space="preserve">. New York: Federal Reserve Bank of New York. </w:t>
      </w:r>
    </w:p>
    <w:p w:rsidR="0023438A" w:rsidRDefault="00A02C86">
      <w:pPr>
        <w:ind w:left="1145" w:right="777" w:hanging="720"/>
      </w:pPr>
      <w:proofErr w:type="spellStart"/>
      <w:r>
        <w:t>Alfeld</w:t>
      </w:r>
      <w:proofErr w:type="spellEnd"/>
      <w:r>
        <w:t xml:space="preserve">, C., </w:t>
      </w:r>
      <w:proofErr w:type="spellStart"/>
      <w:r>
        <w:t>Charner</w:t>
      </w:r>
      <w:proofErr w:type="spellEnd"/>
      <w:r>
        <w:t>, I., Johnson, L. &amp; Watts, E. (2013). Work-based learning opportunities for high school students. Louisville, KY: National Research Center for Career and Technical Education, University of L</w:t>
      </w:r>
      <w:r>
        <w:t xml:space="preserve">ouisville. </w:t>
      </w:r>
    </w:p>
    <w:p w:rsidR="0023438A" w:rsidRDefault="00A02C86">
      <w:pPr>
        <w:ind w:left="1145" w:right="777" w:hanging="720"/>
      </w:pPr>
      <w:proofErr w:type="spellStart"/>
      <w:r>
        <w:t>Amoyaw</w:t>
      </w:r>
      <w:proofErr w:type="spellEnd"/>
      <w:r>
        <w:t xml:space="preserve">, M., &amp; Brown, D. (2018). Apprenticeship America: An idea to reinvent postsecondary skills for the digital age. </w:t>
      </w:r>
      <w:r>
        <w:rPr>
          <w:i/>
        </w:rPr>
        <w:t xml:space="preserve">Third Way. </w:t>
      </w:r>
      <w:r>
        <w:t xml:space="preserve">Retrieved online September 10, 2019 from </w:t>
      </w:r>
      <w:r>
        <w:rPr>
          <w:u w:val="single" w:color="000000"/>
        </w:rPr>
        <w:t>https://www.thirdway.org/report/apprenticeship-america-an-idea-to-reinvent</w:t>
      </w:r>
      <w:r>
        <w:rPr>
          <w:u w:val="single" w:color="000000"/>
        </w:rPr>
        <w:t>postsecondary-skills-for-the-digital-age</w:t>
      </w:r>
      <w:r>
        <w:t xml:space="preserve"> </w:t>
      </w:r>
    </w:p>
    <w:p w:rsidR="0023438A" w:rsidRDefault="00A02C86">
      <w:pPr>
        <w:ind w:left="1145" w:right="777" w:hanging="720"/>
      </w:pPr>
      <w:r>
        <w:t xml:space="preserve">Apprenticeship.gov. (2019). Industry recognized apprenticeship program. Retrieved online December 2, 2019 from </w:t>
      </w:r>
      <w:r>
        <w:rPr>
          <w:u w:val="single" w:color="000000"/>
        </w:rPr>
        <w:t>https://www.apprenticeship.gov/industry-recognizedapprenticeship-program</w:t>
      </w:r>
      <w:r>
        <w:t xml:space="preserve">  </w:t>
      </w:r>
    </w:p>
    <w:p w:rsidR="0023438A" w:rsidRDefault="00A02C86">
      <w:pPr>
        <w:ind w:left="1145" w:right="777" w:hanging="720"/>
      </w:pPr>
      <w:proofErr w:type="spellStart"/>
      <w:r>
        <w:t>ApprenticeshipNC</w:t>
      </w:r>
      <w:proofErr w:type="spellEnd"/>
      <w:r>
        <w:t>. (2019). Hi</w:t>
      </w:r>
      <w:r>
        <w:t xml:space="preserve">story. </w:t>
      </w:r>
      <w:proofErr w:type="spellStart"/>
      <w:r>
        <w:t>Retreived</w:t>
      </w:r>
      <w:proofErr w:type="spellEnd"/>
      <w:r>
        <w:t xml:space="preserve"> online December 2, 2019 from </w:t>
      </w:r>
      <w:r>
        <w:rPr>
          <w:u w:val="single" w:color="000000"/>
        </w:rPr>
        <w:t>https://www.apprenticeshipnc.com/about/history</w:t>
      </w:r>
      <w:r>
        <w:t xml:space="preserve">  </w:t>
      </w:r>
    </w:p>
    <w:p w:rsidR="0023438A" w:rsidRDefault="00A02C86">
      <w:pPr>
        <w:spacing w:after="252" w:line="259" w:lineRule="auto"/>
        <w:ind w:left="435" w:right="777"/>
      </w:pPr>
      <w:proofErr w:type="spellStart"/>
      <w:r>
        <w:t>Benaquisto</w:t>
      </w:r>
      <w:proofErr w:type="spellEnd"/>
      <w:r>
        <w:t xml:space="preserve">, L., &amp; Given, L. (2008). The SAGE encyclopedia of qualitative research methods. </w:t>
      </w:r>
    </w:p>
    <w:p w:rsidR="0023438A" w:rsidRDefault="00A02C86">
      <w:pPr>
        <w:spacing w:after="252" w:line="259" w:lineRule="auto"/>
        <w:ind w:left="1170" w:right="777"/>
      </w:pPr>
      <w:r>
        <w:t xml:space="preserve">New York: Sage. </w:t>
      </w:r>
    </w:p>
    <w:p w:rsidR="0023438A" w:rsidRDefault="00A02C86">
      <w:pPr>
        <w:spacing w:after="252" w:line="259" w:lineRule="auto"/>
        <w:ind w:left="435" w:right="777"/>
      </w:pPr>
      <w:r>
        <w:t xml:space="preserve">Benson, A. D., Johnson, S. D., Duncan, J., </w:t>
      </w:r>
      <w:proofErr w:type="spellStart"/>
      <w:r>
        <w:t>Shinkarev</w:t>
      </w:r>
      <w:r>
        <w:t>a</w:t>
      </w:r>
      <w:proofErr w:type="spellEnd"/>
      <w:r>
        <w:t xml:space="preserve">, O. N., Taylor, G. D., &amp; Treat, T. (2008). </w:t>
      </w:r>
    </w:p>
    <w:p w:rsidR="0023438A" w:rsidRDefault="00A02C86">
      <w:pPr>
        <w:spacing w:after="252" w:line="259" w:lineRule="auto"/>
        <w:ind w:left="1170" w:right="777"/>
      </w:pPr>
      <w:r>
        <w:t xml:space="preserve">Community college participation in distance learning for career and technical education. </w:t>
      </w:r>
    </w:p>
    <w:p w:rsidR="0023438A" w:rsidRDefault="00A02C86">
      <w:pPr>
        <w:spacing w:after="244" w:line="267" w:lineRule="auto"/>
        <w:ind w:left="1170" w:right="715"/>
      </w:pPr>
      <w:r>
        <w:rPr>
          <w:i/>
        </w:rPr>
        <w:t>Community College Journal of Research and Practice</w:t>
      </w:r>
      <w:r>
        <w:t xml:space="preserve">, </w:t>
      </w:r>
      <w:r>
        <w:rPr>
          <w:i/>
        </w:rPr>
        <w:t>32</w:t>
      </w:r>
      <w:r>
        <w:t xml:space="preserve">(9), 665–687. </w:t>
      </w:r>
    </w:p>
    <w:p w:rsidR="0023438A" w:rsidRDefault="00A02C86">
      <w:pPr>
        <w:spacing w:after="249" w:line="259" w:lineRule="auto"/>
        <w:ind w:left="1155" w:right="630"/>
      </w:pPr>
      <w:r>
        <w:rPr>
          <w:u w:val="single" w:color="000000"/>
        </w:rPr>
        <w:t>https://doi.org/10.1080/10668920600859848</w:t>
      </w:r>
      <w:r>
        <w:t xml:space="preserve"> </w:t>
      </w:r>
    </w:p>
    <w:p w:rsidR="0023438A" w:rsidRDefault="00A02C86">
      <w:pPr>
        <w:ind w:left="1145" w:right="777" w:hanging="720"/>
      </w:pPr>
      <w:r>
        <w:lastRenderedPageBreak/>
        <w:t>Boudreau</w:t>
      </w:r>
      <w:r>
        <w:t xml:space="preserve">, K., &amp; Marx, M. (2018). Early work experience and developing STEM &amp; engineering talent: Evidence from randomized assignment to experiential education. Available at SSRN 3271144. </w:t>
      </w:r>
    </w:p>
    <w:p w:rsidR="0023438A" w:rsidRDefault="00A02C86">
      <w:pPr>
        <w:ind w:left="1145" w:right="777" w:hanging="720"/>
      </w:pPr>
      <w:r>
        <w:t xml:space="preserve">Brooks, R., &amp; </w:t>
      </w:r>
      <w:proofErr w:type="spellStart"/>
      <w:r>
        <w:t>Youngson</w:t>
      </w:r>
      <w:proofErr w:type="spellEnd"/>
      <w:r>
        <w:t>, P. L. (2016). Undergraduate work placements: an anal</w:t>
      </w:r>
      <w:r>
        <w:t xml:space="preserve">ysis of the effects on career progression. </w:t>
      </w:r>
      <w:r>
        <w:rPr>
          <w:i/>
        </w:rPr>
        <w:t>Studies in Higher Education</w:t>
      </w:r>
      <w:r>
        <w:t xml:space="preserve">, </w:t>
      </w:r>
      <w:r>
        <w:rPr>
          <w:i/>
        </w:rPr>
        <w:t>41</w:t>
      </w:r>
      <w:r>
        <w:t xml:space="preserve">(9), 1563-1578. </w:t>
      </w:r>
    </w:p>
    <w:p w:rsidR="0023438A" w:rsidRDefault="00A02C86">
      <w:pPr>
        <w:ind w:left="1145" w:right="777" w:hanging="720"/>
      </w:pPr>
      <w:r>
        <w:t xml:space="preserve">Burdett, K. (2013). How students choose a college: Understanding the role of internet based resources in the college choice process. </w:t>
      </w:r>
      <w:r>
        <w:rPr>
          <w:i/>
        </w:rPr>
        <w:t xml:space="preserve"> </w:t>
      </w:r>
      <w:r>
        <w:t>Doctoral dissertation, Universi</w:t>
      </w:r>
      <w:r>
        <w:t xml:space="preserve">ty of </w:t>
      </w:r>
      <w:proofErr w:type="spellStart"/>
      <w:r>
        <w:t>NebraskaLincoln</w:t>
      </w:r>
      <w:proofErr w:type="spellEnd"/>
      <w:r>
        <w:t xml:space="preserve">, 2013. </w:t>
      </w:r>
    </w:p>
    <w:p w:rsidR="0023438A" w:rsidRDefault="00A02C86">
      <w:pPr>
        <w:ind w:left="1145" w:right="777" w:hanging="720"/>
      </w:pPr>
      <w:r>
        <w:t xml:space="preserve">Bureau of Labor Statistics (2019). Number of jobs, labor market experience and </w:t>
      </w:r>
      <w:proofErr w:type="spellStart"/>
      <w:r>
        <w:t>earning</w:t>
      </w:r>
      <w:proofErr w:type="spellEnd"/>
      <w:r>
        <w:t xml:space="preserve"> growth. Results from a longitudinal survey.  Retrieved online October 26, 2019 from </w:t>
      </w:r>
      <w:r>
        <w:rPr>
          <w:u w:val="single" w:color="000000"/>
        </w:rPr>
        <w:t>https://www.bls.gov/news.release/pdf/nlsoy.pdf</w:t>
      </w:r>
      <w:r>
        <w:t xml:space="preserve"> </w:t>
      </w:r>
    </w:p>
    <w:p w:rsidR="0023438A" w:rsidRDefault="00A02C86">
      <w:pPr>
        <w:ind w:left="1145" w:right="777" w:hanging="720"/>
      </w:pPr>
      <w:proofErr w:type="spellStart"/>
      <w:r>
        <w:t>Carneva</w:t>
      </w:r>
      <w:r>
        <w:t>le</w:t>
      </w:r>
      <w:proofErr w:type="spellEnd"/>
      <w:r>
        <w:t xml:space="preserve">, A. P., </w:t>
      </w:r>
      <w:proofErr w:type="spellStart"/>
      <w:r>
        <w:t>Jayasundera</w:t>
      </w:r>
      <w:proofErr w:type="spellEnd"/>
      <w:r>
        <w:t xml:space="preserve">, T., &amp; </w:t>
      </w:r>
      <w:proofErr w:type="spellStart"/>
      <w:r>
        <w:t>Gulish</w:t>
      </w:r>
      <w:proofErr w:type="spellEnd"/>
      <w:r>
        <w:t xml:space="preserve">, A. (2016). America's divided recovery: college haves and have-nots. </w:t>
      </w:r>
      <w:r>
        <w:rPr>
          <w:i/>
        </w:rPr>
        <w:t>Georgetown University Center on Education and the Workforce</w:t>
      </w:r>
      <w:r>
        <w:rPr>
          <w:rFonts w:ascii="Arial" w:eastAsia="Arial" w:hAnsi="Arial" w:cs="Arial"/>
          <w:sz w:val="20"/>
        </w:rPr>
        <w:t xml:space="preserve">. </w:t>
      </w:r>
    </w:p>
    <w:p w:rsidR="0023438A" w:rsidRDefault="00A02C86">
      <w:pPr>
        <w:spacing w:after="252" w:line="259" w:lineRule="auto"/>
        <w:ind w:left="435" w:right="777"/>
      </w:pPr>
      <w:proofErr w:type="spellStart"/>
      <w:r>
        <w:t>Carnevale</w:t>
      </w:r>
      <w:proofErr w:type="spellEnd"/>
      <w:r>
        <w:t xml:space="preserve">, A. P., &amp; </w:t>
      </w:r>
      <w:proofErr w:type="spellStart"/>
      <w:r>
        <w:t>Cheah</w:t>
      </w:r>
      <w:proofErr w:type="spellEnd"/>
      <w:r>
        <w:t xml:space="preserve">, B. (2018). Five rules of the college and career game. </w:t>
      </w:r>
      <w:r>
        <w:rPr>
          <w:i/>
        </w:rPr>
        <w:t>Georget</w:t>
      </w:r>
      <w:r>
        <w:rPr>
          <w:i/>
        </w:rPr>
        <w:t xml:space="preserve">own </w:t>
      </w:r>
    </w:p>
    <w:p w:rsidR="0023438A" w:rsidRDefault="00A02C86">
      <w:pPr>
        <w:spacing w:after="244" w:line="267" w:lineRule="auto"/>
        <w:ind w:left="1170" w:right="715"/>
      </w:pPr>
      <w:r>
        <w:rPr>
          <w:i/>
        </w:rPr>
        <w:t>University Center on Education and the Workforce</w:t>
      </w:r>
      <w:r>
        <w:t xml:space="preserve">. </w:t>
      </w:r>
    </w:p>
    <w:p w:rsidR="0023438A" w:rsidRDefault="00A02C86">
      <w:pPr>
        <w:spacing w:after="252" w:line="259" w:lineRule="auto"/>
        <w:ind w:left="435" w:right="777"/>
      </w:pPr>
      <w:proofErr w:type="spellStart"/>
      <w:r>
        <w:t>Carnevale</w:t>
      </w:r>
      <w:proofErr w:type="spellEnd"/>
      <w:r>
        <w:t xml:space="preserve">, A. P., </w:t>
      </w:r>
      <w:proofErr w:type="spellStart"/>
      <w:r>
        <w:t>Cheah</w:t>
      </w:r>
      <w:proofErr w:type="spellEnd"/>
      <w:r>
        <w:t xml:space="preserve">, B., Ridley, N., &amp; </w:t>
      </w:r>
      <w:proofErr w:type="spellStart"/>
      <w:r>
        <w:t>Strohl</w:t>
      </w:r>
      <w:proofErr w:type="spellEnd"/>
      <w:r>
        <w:t xml:space="preserve">, J. (2018). Good jobs that pay without a BA. </w:t>
      </w:r>
    </w:p>
    <w:p w:rsidR="0023438A" w:rsidRDefault="00A02C86">
      <w:pPr>
        <w:spacing w:after="252" w:line="259" w:lineRule="auto"/>
        <w:ind w:left="0" w:right="520" w:firstLine="0"/>
        <w:jc w:val="center"/>
      </w:pPr>
      <w:r>
        <w:t xml:space="preserve">Retrieved from </w:t>
      </w:r>
      <w:r>
        <w:rPr>
          <w:u w:val="single" w:color="000000"/>
        </w:rPr>
        <w:t>https://repository.library.georgetown.edu/handle/10822/1047863</w:t>
      </w:r>
      <w:r>
        <w:t xml:space="preserve"> </w:t>
      </w:r>
    </w:p>
    <w:p w:rsidR="0023438A" w:rsidRDefault="00A02C86">
      <w:pPr>
        <w:ind w:left="1145" w:right="777" w:hanging="720"/>
      </w:pPr>
      <w:proofErr w:type="spellStart"/>
      <w:r>
        <w:t>Carnevale</w:t>
      </w:r>
      <w:proofErr w:type="spellEnd"/>
      <w:r>
        <w:t>, A. P., &amp;</w:t>
      </w:r>
      <w:r>
        <w:t xml:space="preserve"> Rose, S. J. (2015). The Economy Goes to College: The Hidden Promise of Higher Education in the Post-Industrial Service Economy. </w:t>
      </w:r>
      <w:r>
        <w:rPr>
          <w:i/>
        </w:rPr>
        <w:t xml:space="preserve">Georgetown University Center on Education and the Workforce. </w:t>
      </w:r>
    </w:p>
    <w:p w:rsidR="0023438A" w:rsidRDefault="00A02C86">
      <w:pPr>
        <w:ind w:left="1145" w:right="777" w:hanging="720"/>
      </w:pPr>
      <w:proofErr w:type="spellStart"/>
      <w:r>
        <w:t>Carnevale</w:t>
      </w:r>
      <w:proofErr w:type="spellEnd"/>
      <w:r>
        <w:t xml:space="preserve">, A. P., </w:t>
      </w:r>
      <w:proofErr w:type="spellStart"/>
      <w:r>
        <w:t>Strohl</w:t>
      </w:r>
      <w:proofErr w:type="spellEnd"/>
      <w:r>
        <w:t xml:space="preserve">, J., Ridley, N., &amp; </w:t>
      </w:r>
      <w:proofErr w:type="spellStart"/>
      <w:r>
        <w:t>Gulish</w:t>
      </w:r>
      <w:proofErr w:type="spellEnd"/>
      <w:r>
        <w:t>, A. (2018). Th</w:t>
      </w:r>
      <w:r>
        <w:t xml:space="preserve">ree educational pathways to good jobs: High School, Middle Skills, and Bachelor’s Degree. </w:t>
      </w:r>
    </w:p>
    <w:p w:rsidR="0023438A" w:rsidRDefault="00A02C86">
      <w:pPr>
        <w:ind w:left="1145" w:right="777" w:hanging="720"/>
      </w:pPr>
      <w:proofErr w:type="spellStart"/>
      <w:r>
        <w:t>Carnevale</w:t>
      </w:r>
      <w:proofErr w:type="spellEnd"/>
      <w:r>
        <w:t xml:space="preserve">, A. P. (2016). Credentials and competencies: Demonstrating the economic value of postsecondary education. Retrieved from </w:t>
      </w:r>
      <w:r>
        <w:rPr>
          <w:color w:val="0000FF"/>
          <w:u w:val="single" w:color="0000FF"/>
        </w:rPr>
        <w:t>https://cew.georgetown.edu/publica</w:t>
      </w:r>
      <w:r>
        <w:rPr>
          <w:color w:val="0000FF"/>
          <w:u w:val="single" w:color="0000FF"/>
        </w:rPr>
        <w:t>tions/journals-articles/</w:t>
      </w:r>
      <w:r>
        <w:t xml:space="preserve"> </w:t>
      </w:r>
    </w:p>
    <w:p w:rsidR="0023438A" w:rsidRDefault="00A02C86">
      <w:pPr>
        <w:spacing w:after="0" w:line="476" w:lineRule="auto"/>
        <w:ind w:left="1160" w:right="630" w:hanging="720"/>
      </w:pPr>
      <w:r>
        <w:lastRenderedPageBreak/>
        <w:t xml:space="preserve">College Board. (2017) Trends in student aid 2017. </w:t>
      </w:r>
      <w:r>
        <w:rPr>
          <w:i/>
        </w:rPr>
        <w:t xml:space="preserve">Trends in Higher Education Series. </w:t>
      </w:r>
      <w:r>
        <w:t xml:space="preserve">Retrieved online from </w:t>
      </w:r>
      <w:r>
        <w:rPr>
          <w:u w:val="single" w:color="000000"/>
        </w:rPr>
        <w:t>https://trends.collegeboard.org/sites/default/files/2017-trends-studentaid_0.pdf</w:t>
      </w:r>
      <w:r>
        <w:t xml:space="preserve"> </w:t>
      </w:r>
    </w:p>
    <w:p w:rsidR="0023438A" w:rsidRDefault="00A02C86">
      <w:pPr>
        <w:spacing w:after="252" w:line="259" w:lineRule="auto"/>
        <w:ind w:left="435" w:right="777"/>
      </w:pPr>
      <w:r>
        <w:t>Collins, B. (2016). Apprenticeship in the</w:t>
      </w:r>
      <w:r>
        <w:t xml:space="preserve"> United States: Frequently asked questions (CRS Report </w:t>
      </w:r>
    </w:p>
    <w:p w:rsidR="0023438A" w:rsidRDefault="00A02C86">
      <w:pPr>
        <w:spacing w:after="252" w:line="259" w:lineRule="auto"/>
        <w:ind w:left="1170" w:right="777"/>
      </w:pPr>
      <w:r>
        <w:t xml:space="preserve">R44174). Washington, DC: Congressional Research Service. </w:t>
      </w:r>
    </w:p>
    <w:p w:rsidR="0023438A" w:rsidRDefault="00A02C86">
      <w:pPr>
        <w:ind w:left="1145" w:right="777" w:hanging="720"/>
      </w:pPr>
      <w:r>
        <w:t xml:space="preserve">Colorado.gov (2019). The Swiss apprenticeship model. Retrieved online September 29, 2019 from </w:t>
      </w:r>
      <w:r>
        <w:rPr>
          <w:u w:val="single" w:color="000000"/>
        </w:rPr>
        <w:t>https://www.colorado.gov/pacific/sites/default/f</w:t>
      </w:r>
      <w:r>
        <w:rPr>
          <w:u w:val="single" w:color="000000"/>
        </w:rPr>
        <w:t>iles/Swiss%20Apprenticeship%20Model</w:t>
      </w:r>
    </w:p>
    <w:p w:rsidR="0023438A" w:rsidRDefault="00A02C86">
      <w:pPr>
        <w:spacing w:after="249" w:line="259" w:lineRule="auto"/>
        <w:ind w:left="1155" w:right="630"/>
      </w:pPr>
      <w:r>
        <w:rPr>
          <w:u w:val="single" w:color="000000"/>
        </w:rPr>
        <w:t>%20and%20BASIC%205_2016%20Abbrv.pdf</w:t>
      </w:r>
      <w:r>
        <w:t xml:space="preserve"> </w:t>
      </w:r>
    </w:p>
    <w:p w:rsidR="0023438A" w:rsidRDefault="00A02C86">
      <w:pPr>
        <w:ind w:left="1145" w:right="777" w:hanging="720"/>
      </w:pPr>
      <w:r>
        <w:t>Committee for Economic Development (US</w:t>
      </w:r>
      <w:proofErr w:type="gramStart"/>
      <w:r>
        <w:t>)(</w:t>
      </w:r>
      <w:proofErr w:type="gramEnd"/>
      <w:r>
        <w:t xml:space="preserve">CED). (2019). Improving </w:t>
      </w:r>
      <w:proofErr w:type="spellStart"/>
      <w:r>
        <w:t>noncollege</w:t>
      </w:r>
      <w:proofErr w:type="spellEnd"/>
      <w:r>
        <w:t xml:space="preserve"> pathways to skills and successful careers. Committee for Economic Development of </w:t>
      </w:r>
      <w:proofErr w:type="gramStart"/>
      <w:r>
        <w:t>The</w:t>
      </w:r>
      <w:proofErr w:type="gramEnd"/>
      <w:r>
        <w:t xml:space="preserve"> Conference Board, Arlin</w:t>
      </w:r>
      <w:r>
        <w:t xml:space="preserve">gton, Virginia. Retrieved online May 31, 2020 from </w:t>
      </w:r>
      <w:r>
        <w:rPr>
          <w:color w:val="0000FF"/>
          <w:u w:val="single" w:color="0000FF"/>
        </w:rPr>
        <w:t>https://www.ced.org/reports/improving-noncollege-pathways-to-skills-and-successfulcareers</w:t>
      </w:r>
      <w:r>
        <w:t xml:space="preserve"> </w:t>
      </w:r>
    </w:p>
    <w:p w:rsidR="0023438A" w:rsidRDefault="00A02C86">
      <w:pPr>
        <w:ind w:left="1145" w:right="777" w:hanging="720"/>
      </w:pPr>
      <w:r>
        <w:t>Cook, S. J., Stokes, A., &amp; Parker, R. S. (2015). A 20-year examination of the perceptions of business school inter</w:t>
      </w:r>
      <w:r>
        <w:t xml:space="preserve">ns: a longitudinal case study. </w:t>
      </w:r>
      <w:r>
        <w:rPr>
          <w:i/>
        </w:rPr>
        <w:t xml:space="preserve">Journal of Education for </w:t>
      </w:r>
    </w:p>
    <w:p w:rsidR="0023438A" w:rsidRDefault="00A02C86">
      <w:pPr>
        <w:spacing w:after="252" w:line="259" w:lineRule="auto"/>
        <w:ind w:left="1170" w:right="777"/>
      </w:pPr>
      <w:r>
        <w:rPr>
          <w:i/>
        </w:rPr>
        <w:t>Business, 90</w:t>
      </w:r>
      <w:r>
        <w:t xml:space="preserve">(2), 103-110. </w:t>
      </w:r>
    </w:p>
    <w:p w:rsidR="0023438A" w:rsidRDefault="00A02C86">
      <w:pPr>
        <w:spacing w:after="96" w:line="476" w:lineRule="auto"/>
        <w:ind w:left="1145" w:right="715" w:hanging="720"/>
      </w:pPr>
      <w:r>
        <w:t xml:space="preserve">Creswell, J. W., &amp; Creswell, J. D. (2017). </w:t>
      </w:r>
      <w:r>
        <w:rPr>
          <w:i/>
        </w:rPr>
        <w:t>Research design: Qualitative, quantitative, and mixed methods approaches</w:t>
      </w:r>
      <w:r>
        <w:t xml:space="preserve">. Sage publications. </w:t>
      </w:r>
    </w:p>
    <w:p w:rsidR="0023438A" w:rsidRDefault="00A02C86">
      <w:pPr>
        <w:ind w:left="1145" w:right="777" w:hanging="720"/>
      </w:pPr>
      <w:proofErr w:type="spellStart"/>
      <w:r>
        <w:t>Darche</w:t>
      </w:r>
      <w:proofErr w:type="spellEnd"/>
      <w:r>
        <w:t>, S., &amp; Stern, D. (2013). Mak</w:t>
      </w:r>
      <w:r>
        <w:t xml:space="preserve">ing it </w:t>
      </w:r>
      <w:proofErr w:type="gramStart"/>
      <w:r>
        <w:t>Real</w:t>
      </w:r>
      <w:proofErr w:type="gramEnd"/>
      <w:r>
        <w:t xml:space="preserve">: How high schools can be held accountable for developing students' career readiness. Policy Brief 13-2. </w:t>
      </w:r>
      <w:r>
        <w:rPr>
          <w:i/>
        </w:rPr>
        <w:t xml:space="preserve">Policy Analysis for California </w:t>
      </w:r>
      <w:r>
        <w:t xml:space="preserve">Education, PACE. </w:t>
      </w:r>
    </w:p>
    <w:p w:rsidR="0023438A" w:rsidRDefault="00A02C86">
      <w:pPr>
        <w:ind w:left="1145" w:right="777" w:hanging="720"/>
      </w:pPr>
      <w:r>
        <w:t>De Alva, J. K., &amp; Schneider, M. (2018). Apprenticeships and community colleges: Do they hav</w:t>
      </w:r>
      <w:r>
        <w:t>e a future together</w:t>
      </w:r>
      <w:proofErr w:type="gramStart"/>
      <w:r>
        <w:t>?.</w:t>
      </w:r>
      <w:proofErr w:type="gramEnd"/>
      <w:r>
        <w:t xml:space="preserve"> </w:t>
      </w:r>
      <w:r>
        <w:rPr>
          <w:i/>
        </w:rPr>
        <w:t>AEI Paper &amp; Studies</w:t>
      </w:r>
      <w:r>
        <w:t xml:space="preserve">, 3G.  </w:t>
      </w:r>
    </w:p>
    <w:p w:rsidR="0023438A" w:rsidRDefault="00A02C86">
      <w:pPr>
        <w:ind w:left="1145" w:right="1490" w:hanging="720"/>
      </w:pPr>
      <w:r>
        <w:t xml:space="preserve">Decker, D. (2019). Student Perceptions of higher education and apprenticeship alignment. </w:t>
      </w:r>
      <w:r>
        <w:rPr>
          <w:i/>
        </w:rPr>
        <w:t>Education Sciences</w:t>
      </w:r>
      <w:r>
        <w:t xml:space="preserve">, </w:t>
      </w:r>
      <w:r>
        <w:rPr>
          <w:i/>
        </w:rPr>
        <w:t>9</w:t>
      </w:r>
      <w:r>
        <w:t xml:space="preserve">(2), 86. </w:t>
      </w:r>
    </w:p>
    <w:p w:rsidR="0023438A" w:rsidRDefault="00A02C86">
      <w:pPr>
        <w:ind w:left="1145" w:right="777" w:hanging="720"/>
      </w:pPr>
      <w:r>
        <w:lastRenderedPageBreak/>
        <w:t xml:space="preserve">De </w:t>
      </w:r>
      <w:proofErr w:type="spellStart"/>
      <w:r>
        <w:t>Peuter</w:t>
      </w:r>
      <w:proofErr w:type="spellEnd"/>
      <w:r>
        <w:t>, G., Cohen, N. S., &amp;</w:t>
      </w:r>
      <w:r>
        <w:t xml:space="preserve"> </w:t>
      </w:r>
      <w:proofErr w:type="spellStart"/>
      <w:r>
        <w:t>Brophy</w:t>
      </w:r>
      <w:proofErr w:type="spellEnd"/>
      <w:r>
        <w:t xml:space="preserve">, E. (2015). Interrogating internships: Unpaid work, creative industries, and higher education. </w:t>
      </w:r>
      <w:proofErr w:type="spellStart"/>
      <w:r>
        <w:rPr>
          <w:i/>
        </w:rPr>
        <w:t>TripleC</w:t>
      </w:r>
      <w:proofErr w:type="spellEnd"/>
      <w:r>
        <w:rPr>
          <w:i/>
        </w:rPr>
        <w:t>: Communication, Capitalism &amp; Critique</w:t>
      </w:r>
      <w:r>
        <w:t xml:space="preserve">. </w:t>
      </w:r>
      <w:r>
        <w:rPr>
          <w:i/>
        </w:rPr>
        <w:t>Open Access Journal for a Global Sustainable Information Society</w:t>
      </w:r>
      <w:r>
        <w:t>, 13(2), 329-</w:t>
      </w:r>
    </w:p>
    <w:p w:rsidR="0023438A" w:rsidRDefault="00A02C86">
      <w:pPr>
        <w:spacing w:after="252" w:line="259" w:lineRule="auto"/>
        <w:ind w:left="1170" w:right="777"/>
      </w:pPr>
      <w:r>
        <w:t xml:space="preserve">602. </w:t>
      </w:r>
    </w:p>
    <w:p w:rsidR="0023438A" w:rsidRDefault="00A02C86">
      <w:pPr>
        <w:ind w:left="1145" w:right="777" w:hanging="720"/>
      </w:pPr>
      <w:proofErr w:type="spellStart"/>
      <w:r>
        <w:t>Dimeny</w:t>
      </w:r>
      <w:proofErr w:type="spellEnd"/>
      <w:r>
        <w:t>, E., Williamson</w:t>
      </w:r>
      <w:r>
        <w:t xml:space="preserve">, D., &amp; Yates, L. (2019). Skilling up: the scope of modern apprenticeship. </w:t>
      </w:r>
      <w:r>
        <w:rPr>
          <w:i/>
        </w:rPr>
        <w:t xml:space="preserve">Urban Institute. </w:t>
      </w:r>
      <w:r>
        <w:t xml:space="preserve">Retrieved February 16, 2020 from </w:t>
      </w:r>
      <w:r>
        <w:rPr>
          <w:u w:val="single" w:color="000000"/>
        </w:rPr>
        <w:t>https://www.urban.org/sites/default/files/publication/101353/skilling_up_the_scope_of_ modern_apprenticeship_0.pdf</w:t>
      </w:r>
      <w:r>
        <w:t xml:space="preserve"> </w:t>
      </w:r>
    </w:p>
    <w:p w:rsidR="0023438A" w:rsidRDefault="00A02C86">
      <w:pPr>
        <w:spacing w:after="252" w:line="259" w:lineRule="auto"/>
        <w:ind w:left="435" w:right="777"/>
      </w:pPr>
      <w:proofErr w:type="spellStart"/>
      <w:r>
        <w:t>Dolgin</w:t>
      </w:r>
      <w:proofErr w:type="spellEnd"/>
      <w:r>
        <w:t>, J. (199</w:t>
      </w:r>
      <w:r>
        <w:t xml:space="preserve">7) Transforming Childhood: Apprenticeship in American Law, 31 New Eng. L. </w:t>
      </w:r>
    </w:p>
    <w:p w:rsidR="0023438A" w:rsidRDefault="00A02C86">
      <w:pPr>
        <w:spacing w:after="252" w:line="259" w:lineRule="auto"/>
        <w:ind w:left="1170" w:right="777"/>
      </w:pPr>
      <w:r>
        <w:t xml:space="preserve">Rev. 1113 (1997) Available at: </w:t>
      </w:r>
    </w:p>
    <w:p w:rsidR="0023438A" w:rsidRDefault="00A02C86">
      <w:pPr>
        <w:spacing w:after="249" w:line="259" w:lineRule="auto"/>
        <w:ind w:left="1155" w:right="630"/>
      </w:pPr>
      <w:r>
        <w:rPr>
          <w:u w:val="single" w:color="000000"/>
        </w:rPr>
        <w:t>https://scholarlycommons.law.hofstra.edu/faculty_scholarship/194</w:t>
      </w:r>
      <w:r>
        <w:t xml:space="preserve"> </w:t>
      </w:r>
    </w:p>
    <w:p w:rsidR="0023438A" w:rsidRDefault="00A02C86">
      <w:pPr>
        <w:ind w:left="1145" w:right="1094" w:hanging="720"/>
      </w:pPr>
      <w:proofErr w:type="spellStart"/>
      <w:r>
        <w:t>Domholt</w:t>
      </w:r>
      <w:proofErr w:type="spellEnd"/>
      <w:r>
        <w:t>, K. (2018). Internship participation: Impacts on career outcomes and starti</w:t>
      </w:r>
      <w:r>
        <w:t xml:space="preserve">ng salaries (Doctoral dissertation, North Dakota State University). </w:t>
      </w:r>
    </w:p>
    <w:p w:rsidR="0023438A" w:rsidRDefault="00A02C86">
      <w:pPr>
        <w:spacing w:line="259" w:lineRule="auto"/>
        <w:ind w:left="435" w:right="777"/>
      </w:pPr>
      <w:r>
        <w:t>Dewey, J. (1916</w:t>
      </w:r>
      <w:r>
        <w:rPr>
          <w:i/>
        </w:rPr>
        <w:t>). Democracy and Education</w:t>
      </w:r>
      <w:r>
        <w:t xml:space="preserve">. New York: The Free Press. </w:t>
      </w:r>
    </w:p>
    <w:p w:rsidR="0023438A" w:rsidRDefault="00A02C86">
      <w:pPr>
        <w:ind w:left="1145" w:right="777" w:hanging="720"/>
      </w:pPr>
      <w:r>
        <w:rPr>
          <w:color w:val="222222"/>
        </w:rPr>
        <w:t>European Centre for the Development of Vocational Training (</w:t>
      </w:r>
      <w:proofErr w:type="spellStart"/>
      <w:r>
        <w:t>Cedefop</w:t>
      </w:r>
      <w:proofErr w:type="spellEnd"/>
      <w:r>
        <w:t xml:space="preserve">) (2015), </w:t>
      </w:r>
      <w:proofErr w:type="gramStart"/>
      <w:r>
        <w:t>Thematic</w:t>
      </w:r>
      <w:proofErr w:type="gramEnd"/>
      <w:r>
        <w:t xml:space="preserve"> country reviews on apprenticeship: Analytical framework. Publications Office of the </w:t>
      </w:r>
    </w:p>
    <w:p w:rsidR="0023438A" w:rsidRDefault="00A02C86">
      <w:pPr>
        <w:spacing w:after="252" w:line="259" w:lineRule="auto"/>
        <w:ind w:left="1170" w:right="777"/>
      </w:pPr>
      <w:r>
        <w:t xml:space="preserve">European Union, Luxembourg, p.5. </w:t>
      </w:r>
    </w:p>
    <w:p w:rsidR="0023438A" w:rsidRDefault="00A02C86">
      <w:pPr>
        <w:ind w:left="1145" w:right="777" w:hanging="720"/>
      </w:pPr>
      <w:r>
        <w:t>Federalregister.gov. (2019). A guide to the rulemaking process. Retrieved online from https://www.federalregist</w:t>
      </w:r>
      <w:r>
        <w:t xml:space="preserve">er.gov/uploads/2011/01/the_rulemaking_process.pdf </w:t>
      </w:r>
    </w:p>
    <w:p w:rsidR="0023438A" w:rsidRDefault="00A02C86">
      <w:pPr>
        <w:spacing w:after="252" w:line="259" w:lineRule="auto"/>
        <w:ind w:left="435" w:right="777"/>
      </w:pPr>
      <w:proofErr w:type="spellStart"/>
      <w:r>
        <w:t>Ferenstein</w:t>
      </w:r>
      <w:proofErr w:type="spellEnd"/>
      <w:r>
        <w:t xml:space="preserve">, G. (2018). How history explains America’s struggle to revive apprenticeships. </w:t>
      </w:r>
    </w:p>
    <w:p w:rsidR="0023438A" w:rsidRDefault="00A02C86">
      <w:pPr>
        <w:spacing w:after="252" w:line="259" w:lineRule="auto"/>
        <w:ind w:left="1170" w:right="777"/>
      </w:pPr>
      <w:r>
        <w:t>Brookings Institution.</w:t>
      </w:r>
      <w:r>
        <w:rPr>
          <w:i/>
        </w:rPr>
        <w:t xml:space="preserve"> </w:t>
      </w:r>
      <w:r>
        <w:t xml:space="preserve">Washington, D.C.  </w:t>
      </w:r>
    </w:p>
    <w:p w:rsidR="0023438A" w:rsidRDefault="00A02C86">
      <w:pPr>
        <w:ind w:left="1145" w:right="777" w:hanging="720"/>
      </w:pPr>
      <w:proofErr w:type="spellStart"/>
      <w:r>
        <w:t>Fichtenbaum</w:t>
      </w:r>
      <w:proofErr w:type="spellEnd"/>
      <w:r>
        <w:t>, R. (2013). Statement on the president’s proposal for perfor</w:t>
      </w:r>
      <w:r>
        <w:t xml:space="preserve">mance based funding. American Association of University Professors. Retrieved online June 2, 2019 </w:t>
      </w:r>
      <w:r>
        <w:rPr>
          <w:u w:val="single" w:color="000000"/>
        </w:rPr>
        <w:t>https://www.aaup.org/news/statement-president%e2%80%99s-proposal-performancebased-funding#.XRF4UehKjIW</w:t>
      </w:r>
      <w:r>
        <w:t xml:space="preserve"> </w:t>
      </w:r>
    </w:p>
    <w:p w:rsidR="0023438A" w:rsidRDefault="00A02C86">
      <w:pPr>
        <w:spacing w:after="252" w:line="259" w:lineRule="auto"/>
        <w:ind w:left="435" w:right="777"/>
      </w:pPr>
      <w:r>
        <w:t>Fink, A. (2017). How to conduct surveys: A step-by-ste</w:t>
      </w:r>
      <w:r>
        <w:t xml:space="preserve">p guide. Los Angeles, CA: Sage. </w:t>
      </w:r>
    </w:p>
    <w:p w:rsidR="0023438A" w:rsidRDefault="00A02C86">
      <w:pPr>
        <w:spacing w:after="252" w:line="259" w:lineRule="auto"/>
        <w:ind w:left="435" w:right="777"/>
      </w:pPr>
      <w:proofErr w:type="spellStart"/>
      <w:r>
        <w:lastRenderedPageBreak/>
        <w:t>Fogg</w:t>
      </w:r>
      <w:proofErr w:type="spellEnd"/>
      <w:r>
        <w:t xml:space="preserve">, N. &amp; Harrington, P. (2011). Rising mal-employment and the great recession: </w:t>
      </w:r>
    </w:p>
    <w:p w:rsidR="0023438A" w:rsidRDefault="00A02C86">
      <w:pPr>
        <w:ind w:left="1170" w:right="777"/>
      </w:pPr>
      <w:r>
        <w:t xml:space="preserve">Disconnection between recent college graduates and the college labor market. </w:t>
      </w:r>
      <w:r>
        <w:rPr>
          <w:i/>
        </w:rPr>
        <w:t>Continuing Higher Education Review, 75</w:t>
      </w:r>
      <w:r>
        <w:t xml:space="preserve">, 51– 75. </w:t>
      </w:r>
    </w:p>
    <w:p w:rsidR="0023438A" w:rsidRDefault="00A02C86">
      <w:pPr>
        <w:ind w:left="1145" w:right="777" w:hanging="720"/>
      </w:pPr>
      <w:proofErr w:type="spellStart"/>
      <w:r>
        <w:t>Frenette</w:t>
      </w:r>
      <w:proofErr w:type="spellEnd"/>
      <w:r>
        <w:t xml:space="preserve">, A. (2015). From apprenticeship to internship: The social and legal antecedents of the intern economy. </w:t>
      </w:r>
      <w:proofErr w:type="spellStart"/>
      <w:proofErr w:type="gramStart"/>
      <w:r>
        <w:t>tripleC</w:t>
      </w:r>
      <w:proofErr w:type="spellEnd"/>
      <w:proofErr w:type="gramEnd"/>
      <w:r>
        <w:t xml:space="preserve">: Communication, capitalism &amp; critique. </w:t>
      </w:r>
      <w:r>
        <w:rPr>
          <w:i/>
        </w:rPr>
        <w:t>Open Access Journal for a Global Sustainable Information Society, 13</w:t>
      </w:r>
      <w:r>
        <w:t xml:space="preserve">(2), 351-360. </w:t>
      </w:r>
    </w:p>
    <w:p w:rsidR="0023438A" w:rsidRDefault="00A02C86">
      <w:pPr>
        <w:ind w:left="1145" w:right="777" w:hanging="720"/>
      </w:pPr>
      <w:r>
        <w:t>Fuller Hamilto</w:t>
      </w:r>
      <w:r>
        <w:t xml:space="preserve">n, A. N. (2015). Work-based learning programs: Providing experiential learning opportunities for all students. Champaign, IL: Office of Community College Research and Leadership, University of Illinois at Urbana Champaign. </w:t>
      </w:r>
    </w:p>
    <w:p w:rsidR="0023438A" w:rsidRDefault="00A02C86">
      <w:pPr>
        <w:ind w:left="1145" w:right="777" w:hanging="720"/>
      </w:pPr>
      <w:r>
        <w:t xml:space="preserve">Fuller, J., &amp; </w:t>
      </w:r>
      <w:proofErr w:type="spellStart"/>
      <w:r>
        <w:t>Sigelman</w:t>
      </w:r>
      <w:proofErr w:type="spellEnd"/>
      <w:r>
        <w:t>, M. (2017</w:t>
      </w:r>
      <w:r>
        <w:t xml:space="preserve">). Room to grow: Identifying new frontiers for apprenticeships. </w:t>
      </w:r>
      <w:r>
        <w:rPr>
          <w:i/>
        </w:rPr>
        <w:t>Managing the Future of Work</w:t>
      </w:r>
      <w:r>
        <w:t xml:space="preserve">. Burning Glass Technologies and Harvard Business </w:t>
      </w:r>
    </w:p>
    <w:p w:rsidR="0023438A" w:rsidRDefault="00A02C86">
      <w:pPr>
        <w:spacing w:after="252" w:line="259" w:lineRule="auto"/>
        <w:ind w:left="1170" w:right="777"/>
      </w:pPr>
      <w:r>
        <w:t xml:space="preserve">School. </w:t>
      </w:r>
    </w:p>
    <w:p w:rsidR="0023438A" w:rsidRDefault="00A02C86">
      <w:pPr>
        <w:spacing w:after="252" w:line="259" w:lineRule="auto"/>
        <w:ind w:left="435" w:right="777"/>
      </w:pPr>
      <w:r>
        <w:t>Gates, S</w:t>
      </w:r>
      <w:proofErr w:type="gramStart"/>
      <w:r>
        <w:t>.(</w:t>
      </w:r>
      <w:proofErr w:type="gramEnd"/>
      <w:r>
        <w:t xml:space="preserve">2019),  Advocating for the adoption of a comprehensive work-based learning system.  </w:t>
      </w:r>
    </w:p>
    <w:p w:rsidR="0023438A" w:rsidRDefault="00A02C86">
      <w:pPr>
        <w:spacing w:after="252" w:line="259" w:lineRule="auto"/>
        <w:ind w:left="1170" w:right="777"/>
      </w:pPr>
      <w:r>
        <w:t>Dissertati</w:t>
      </w:r>
      <w:r>
        <w:t xml:space="preserve">ons. 356. https://digitalcommons.nl.edu/diss/356. </w:t>
      </w:r>
    </w:p>
    <w:p w:rsidR="0023438A" w:rsidRDefault="00A02C86">
      <w:pPr>
        <w:spacing w:after="252" w:line="259" w:lineRule="auto"/>
        <w:ind w:left="435" w:right="777"/>
      </w:pPr>
      <w:proofErr w:type="spellStart"/>
      <w:r>
        <w:t>Gault</w:t>
      </w:r>
      <w:proofErr w:type="spellEnd"/>
      <w:r>
        <w:t xml:space="preserve">, J., Leach, E., &amp; </w:t>
      </w:r>
      <w:proofErr w:type="spellStart"/>
      <w:r>
        <w:t>Duey</w:t>
      </w:r>
      <w:proofErr w:type="spellEnd"/>
      <w:r>
        <w:t xml:space="preserve">, M. (2010). Effects of business internships on job marketability: </w:t>
      </w:r>
    </w:p>
    <w:p w:rsidR="0023438A" w:rsidRDefault="00A02C86">
      <w:pPr>
        <w:spacing w:after="252" w:line="259" w:lineRule="auto"/>
        <w:ind w:left="1170" w:right="777"/>
      </w:pPr>
      <w:r>
        <w:t xml:space="preserve">The employers' perspective. </w:t>
      </w:r>
      <w:r>
        <w:rPr>
          <w:i/>
        </w:rPr>
        <w:t>Education + Training</w:t>
      </w:r>
      <w:r>
        <w:t xml:space="preserve">, </w:t>
      </w:r>
      <w:r>
        <w:rPr>
          <w:i/>
        </w:rPr>
        <w:t>52</w:t>
      </w:r>
      <w:r>
        <w:t xml:space="preserve">(1), 76-88. </w:t>
      </w:r>
    </w:p>
    <w:p w:rsidR="0023438A" w:rsidRDefault="00A02C86">
      <w:pPr>
        <w:spacing w:after="249" w:line="259" w:lineRule="auto"/>
        <w:ind w:left="1155" w:right="630"/>
      </w:pPr>
      <w:r>
        <w:rPr>
          <w:u w:val="single" w:color="000000"/>
        </w:rPr>
        <w:t>https://doi.org/10.1108/00400911011017690</w:t>
      </w:r>
      <w:r>
        <w:t xml:space="preserve"> </w:t>
      </w:r>
    </w:p>
    <w:p w:rsidR="0023438A" w:rsidRDefault="00A02C86">
      <w:pPr>
        <w:spacing w:after="252" w:line="259" w:lineRule="auto"/>
        <w:ind w:left="435" w:right="777"/>
      </w:pPr>
      <w:proofErr w:type="spellStart"/>
      <w:r>
        <w:t>G</w:t>
      </w:r>
      <w:r>
        <w:t>iffi</w:t>
      </w:r>
      <w:proofErr w:type="spellEnd"/>
      <w:r>
        <w:t xml:space="preserve">, C., </w:t>
      </w:r>
      <w:proofErr w:type="spellStart"/>
      <w:r>
        <w:t>Wellener</w:t>
      </w:r>
      <w:proofErr w:type="spellEnd"/>
      <w:r>
        <w:t xml:space="preserve">, P., Dollar, B., </w:t>
      </w:r>
      <w:proofErr w:type="spellStart"/>
      <w:r>
        <w:t>Manolian</w:t>
      </w:r>
      <w:proofErr w:type="spellEnd"/>
      <w:r>
        <w:t xml:space="preserve">, H., Monck, L., &amp; </w:t>
      </w:r>
      <w:proofErr w:type="spellStart"/>
      <w:r>
        <w:t>Mountray</w:t>
      </w:r>
      <w:proofErr w:type="spellEnd"/>
      <w:r>
        <w:t xml:space="preserve">, C. (2018). 2018 </w:t>
      </w:r>
    </w:p>
    <w:p w:rsidR="0023438A" w:rsidRDefault="00A02C86">
      <w:pPr>
        <w:spacing w:after="0" w:line="476" w:lineRule="auto"/>
        <w:ind w:left="1155" w:right="630"/>
      </w:pPr>
      <w:r>
        <w:t xml:space="preserve">Deloitte and </w:t>
      </w:r>
      <w:proofErr w:type="gramStart"/>
      <w:r>
        <w:t>The</w:t>
      </w:r>
      <w:proofErr w:type="gramEnd"/>
      <w:r>
        <w:t xml:space="preserve"> Manufacturing Institute skills gap and future of work study. Retrieved December 9, 2018, from </w:t>
      </w:r>
      <w:r>
        <w:rPr>
          <w:u w:val="single" w:color="000000"/>
        </w:rPr>
        <w:t>https://www2.deloitte.com/content/dam/insights/us/artic</w:t>
      </w:r>
      <w:r>
        <w:rPr>
          <w:u w:val="single" w:color="000000"/>
        </w:rPr>
        <w:t>les/4736_2018-Deloitte-skillsgap-FoW-manufacturing/DI_2018-Deloitte-MFI-skills-gap-FoW-study.pdf</w:t>
      </w:r>
      <w:r>
        <w:t xml:space="preserve"> </w:t>
      </w:r>
    </w:p>
    <w:p w:rsidR="0023438A" w:rsidRDefault="00A02C86">
      <w:pPr>
        <w:spacing w:after="252" w:line="259" w:lineRule="auto"/>
        <w:ind w:left="435" w:right="777"/>
      </w:pPr>
      <w:r>
        <w:t xml:space="preserve">Gordon, E. (2015). Our jobs: The American workforce and economy in crisis. </w:t>
      </w:r>
      <w:r>
        <w:rPr>
          <w:i/>
        </w:rPr>
        <w:t xml:space="preserve">Career Planning </w:t>
      </w:r>
    </w:p>
    <w:p w:rsidR="0023438A" w:rsidRDefault="00A02C86">
      <w:pPr>
        <w:spacing w:after="244" w:line="267" w:lineRule="auto"/>
        <w:ind w:left="1170" w:right="715"/>
      </w:pPr>
      <w:r>
        <w:rPr>
          <w:i/>
        </w:rPr>
        <w:t>&amp; Adult Development Journal,</w:t>
      </w:r>
      <w:r>
        <w:t xml:space="preserve"> </w:t>
      </w:r>
      <w:r>
        <w:rPr>
          <w:i/>
        </w:rPr>
        <w:t>31</w:t>
      </w:r>
      <w:r>
        <w:t xml:space="preserve">(2), 65-76 </w:t>
      </w:r>
    </w:p>
    <w:p w:rsidR="0023438A" w:rsidRDefault="00A02C86">
      <w:pPr>
        <w:spacing w:after="244" w:line="267" w:lineRule="auto"/>
        <w:ind w:left="435" w:right="715"/>
      </w:pPr>
      <w:proofErr w:type="spellStart"/>
      <w:r>
        <w:t>Grawe</w:t>
      </w:r>
      <w:proofErr w:type="spellEnd"/>
      <w:r>
        <w:t xml:space="preserve">, N. D. (2018). </w:t>
      </w:r>
      <w:r>
        <w:rPr>
          <w:i/>
        </w:rPr>
        <w:t>De</w:t>
      </w:r>
      <w:r>
        <w:rPr>
          <w:i/>
        </w:rPr>
        <w:t>mographics and the demand for higher education.</w:t>
      </w:r>
      <w:r>
        <w:t xml:space="preserve"> JHU Press. </w:t>
      </w:r>
    </w:p>
    <w:p w:rsidR="0023438A" w:rsidRDefault="00A02C86">
      <w:pPr>
        <w:spacing w:after="0" w:line="476" w:lineRule="auto"/>
        <w:ind w:left="1145" w:right="715" w:hanging="720"/>
      </w:pPr>
      <w:r>
        <w:lastRenderedPageBreak/>
        <w:t xml:space="preserve">Held, D. (2016). </w:t>
      </w:r>
      <w:r>
        <w:rPr>
          <w:i/>
        </w:rPr>
        <w:t>The internship gap: The relationship between internship salary and the probability of receiving a job offer</w:t>
      </w:r>
      <w:r>
        <w:t xml:space="preserve"> (Doctoral dissertation, Georgetown University). </w:t>
      </w:r>
    </w:p>
    <w:p w:rsidR="0023438A" w:rsidRDefault="00A02C86">
      <w:pPr>
        <w:ind w:left="1145" w:right="777" w:hanging="720"/>
      </w:pPr>
      <w:r>
        <w:t xml:space="preserve">Helper, S., Noonan, R., Nicholson, J. R., Langdon, D. (2016). </w:t>
      </w:r>
      <w:r>
        <w:rPr>
          <w:i/>
        </w:rPr>
        <w:t xml:space="preserve">The benefits and costs of apprenticeships: A business perspective. </w:t>
      </w:r>
      <w:r>
        <w:t xml:space="preserve">Washington, DC: U.S. Department of Commerce. </w:t>
      </w:r>
    </w:p>
    <w:p w:rsidR="0023438A" w:rsidRDefault="00A02C86">
      <w:pPr>
        <w:ind w:left="1145" w:right="1099" w:hanging="720"/>
      </w:pPr>
      <w:proofErr w:type="spellStart"/>
      <w:r>
        <w:t>Holzer</w:t>
      </w:r>
      <w:proofErr w:type="spellEnd"/>
      <w:r>
        <w:t xml:space="preserve">, H. J., &amp; </w:t>
      </w:r>
      <w:proofErr w:type="spellStart"/>
      <w:r>
        <w:t>Lerman</w:t>
      </w:r>
      <w:proofErr w:type="spellEnd"/>
      <w:r>
        <w:t>, R. I. (2014). Work-based learning to expand opportunitie</w:t>
      </w:r>
      <w:r>
        <w:t xml:space="preserve">s for youth. </w:t>
      </w:r>
      <w:r>
        <w:rPr>
          <w:i/>
        </w:rPr>
        <w:t>Challenge</w:t>
      </w:r>
      <w:r>
        <w:t xml:space="preserve">, </w:t>
      </w:r>
      <w:r>
        <w:rPr>
          <w:i/>
        </w:rPr>
        <w:t>57</w:t>
      </w:r>
      <w:r>
        <w:t xml:space="preserve">(4), 18-31. </w:t>
      </w:r>
    </w:p>
    <w:p w:rsidR="0023438A" w:rsidRDefault="00A02C86">
      <w:pPr>
        <w:ind w:left="1145" w:right="777" w:hanging="720"/>
      </w:pPr>
      <w:r>
        <w:t>Hoffman, N &amp; Schwartz, R</w:t>
      </w:r>
      <w:proofErr w:type="gramStart"/>
      <w:r>
        <w:t>.(</w:t>
      </w:r>
      <w:proofErr w:type="gramEnd"/>
      <w:r>
        <w:t xml:space="preserve">2015). Gold standard: The Swiss vocational education and training system. Washington, DC: National Center on Education and the Economy. </w:t>
      </w:r>
    </w:p>
    <w:p w:rsidR="0023438A" w:rsidRDefault="00A02C86">
      <w:pPr>
        <w:ind w:left="1145" w:right="777" w:hanging="720"/>
      </w:pPr>
      <w:r>
        <w:t>Hollenbeck, K. &amp; Huang, W. (2016). Net impact and bene</w:t>
      </w:r>
      <w:r>
        <w:t xml:space="preserve">fit-cost estimates of the workforce development system in Washington state. Upjohn Institute Technical Report No. 16-033. </w:t>
      </w:r>
    </w:p>
    <w:p w:rsidR="0023438A" w:rsidRDefault="00A02C86">
      <w:pPr>
        <w:spacing w:after="252" w:line="259" w:lineRule="auto"/>
        <w:ind w:left="1170" w:right="777"/>
      </w:pPr>
      <w:r>
        <w:t xml:space="preserve">Kalamazoo, MI: W.E. Upjohn Institute for Employment Research. </w:t>
      </w:r>
    </w:p>
    <w:p w:rsidR="0023438A" w:rsidRDefault="00A02C86">
      <w:pPr>
        <w:spacing w:after="249" w:line="259" w:lineRule="auto"/>
        <w:ind w:left="1155" w:right="630"/>
      </w:pPr>
      <w:r>
        <w:rPr>
          <w:u w:val="single" w:color="000000"/>
        </w:rPr>
        <w:t>https://doi.org/10.17848/tr16-033</w:t>
      </w:r>
      <w:r>
        <w:t xml:space="preserve"> </w:t>
      </w:r>
    </w:p>
    <w:p w:rsidR="0023438A" w:rsidRDefault="00A02C86">
      <w:pPr>
        <w:ind w:left="1145" w:right="777" w:hanging="720"/>
      </w:pPr>
      <w:proofErr w:type="spellStart"/>
      <w:r>
        <w:t>Hora</w:t>
      </w:r>
      <w:proofErr w:type="spellEnd"/>
      <w:r>
        <w:t xml:space="preserve">, M. (2018). What’s wrong with required internships? Plenty. </w:t>
      </w:r>
      <w:r>
        <w:rPr>
          <w:i/>
        </w:rPr>
        <w:t xml:space="preserve">The Chronicle of Higher Education. </w:t>
      </w:r>
      <w:r>
        <w:t xml:space="preserve">Retrieved online October 26, 2019 from </w:t>
      </w:r>
      <w:r>
        <w:rPr>
          <w:u w:val="single" w:color="000000"/>
        </w:rPr>
        <w:t>https://www.chronicle.com/article/What-s-Wrong-With-Required/242727</w:t>
      </w:r>
      <w:r>
        <w:t xml:space="preserve"> </w:t>
      </w:r>
    </w:p>
    <w:p w:rsidR="0023438A" w:rsidRDefault="00A02C86">
      <w:pPr>
        <w:ind w:left="1145" w:right="777" w:hanging="720"/>
      </w:pPr>
      <w:proofErr w:type="spellStart"/>
      <w:r>
        <w:t>Hora</w:t>
      </w:r>
      <w:proofErr w:type="spellEnd"/>
      <w:r>
        <w:t xml:space="preserve">, M. T., </w:t>
      </w:r>
      <w:proofErr w:type="spellStart"/>
      <w:r>
        <w:t>Wolfgram</w:t>
      </w:r>
      <w:proofErr w:type="spellEnd"/>
      <w:r>
        <w:t>, M., &amp; Thompson, S. (2017)</w:t>
      </w:r>
      <w:r>
        <w:t xml:space="preserve">. What do we know about the impact of internships on student outcomes? Results from a preliminary review of the scholarly and practitioner literatures. </w:t>
      </w:r>
      <w:r>
        <w:rPr>
          <w:i/>
        </w:rPr>
        <w:t xml:space="preserve">Center for Research on College-Workforce Transitions Research </w:t>
      </w:r>
    </w:p>
    <w:p w:rsidR="0023438A" w:rsidRDefault="00A02C86">
      <w:pPr>
        <w:ind w:left="1170" w:right="777"/>
      </w:pPr>
      <w:r>
        <w:rPr>
          <w:i/>
        </w:rPr>
        <w:t>Brief</w:t>
      </w:r>
      <w:r>
        <w:t xml:space="preserve">, </w:t>
      </w:r>
      <w:r>
        <w:rPr>
          <w:i/>
        </w:rPr>
        <w:t>2</w:t>
      </w:r>
      <w:r>
        <w:t>. Retrieved online October 2, 201</w:t>
      </w:r>
      <w:r>
        <w:t xml:space="preserve">9 from http://ccwt. </w:t>
      </w:r>
      <w:proofErr w:type="spellStart"/>
      <w:proofErr w:type="gramStart"/>
      <w:r>
        <w:t>wceruw</w:t>
      </w:r>
      <w:proofErr w:type="spellEnd"/>
      <w:proofErr w:type="gramEnd"/>
      <w:r>
        <w:t xml:space="preserve">. </w:t>
      </w:r>
      <w:proofErr w:type="gramStart"/>
      <w:r>
        <w:t>org/documents/CCWT-report-Designing-Internship-Programs</w:t>
      </w:r>
      <w:proofErr w:type="gramEnd"/>
      <w:r>
        <w:t xml:space="preserve">. </w:t>
      </w:r>
      <w:proofErr w:type="gramStart"/>
      <w:r>
        <w:t>pdf</w:t>
      </w:r>
      <w:proofErr w:type="gramEnd"/>
      <w:r>
        <w:t xml:space="preserve">. </w:t>
      </w:r>
    </w:p>
    <w:p w:rsidR="0023438A" w:rsidRDefault="00A02C86">
      <w:pPr>
        <w:ind w:left="1145" w:right="777" w:hanging="720"/>
      </w:pPr>
      <w:proofErr w:type="spellStart"/>
      <w:r>
        <w:t>Hora</w:t>
      </w:r>
      <w:proofErr w:type="spellEnd"/>
      <w:r>
        <w:t xml:space="preserve">, M. T., </w:t>
      </w:r>
      <w:proofErr w:type="spellStart"/>
      <w:r>
        <w:t>Scaglione</w:t>
      </w:r>
      <w:proofErr w:type="spellEnd"/>
      <w:r>
        <w:t xml:space="preserve">, M., Parrott, E., Chen, Z., </w:t>
      </w:r>
      <w:proofErr w:type="spellStart"/>
      <w:r>
        <w:t>Wolfgram</w:t>
      </w:r>
      <w:proofErr w:type="spellEnd"/>
      <w:r>
        <w:t xml:space="preserve">, M., &amp; </w:t>
      </w:r>
      <w:proofErr w:type="spellStart"/>
      <w:r>
        <w:t>Kolar</w:t>
      </w:r>
      <w:proofErr w:type="spellEnd"/>
      <w:r>
        <w:t xml:space="preserve">, A. (2018). Results from the College Internship Study at Parkside College. </w:t>
      </w:r>
      <w:r>
        <w:rPr>
          <w:i/>
        </w:rPr>
        <w:t>Center for Resear</w:t>
      </w:r>
      <w:r>
        <w:rPr>
          <w:i/>
        </w:rPr>
        <w:t xml:space="preserve">ch on </w:t>
      </w:r>
      <w:proofErr w:type="spellStart"/>
      <w:r>
        <w:rPr>
          <w:i/>
        </w:rPr>
        <w:t>CollegeWorkforce</w:t>
      </w:r>
      <w:proofErr w:type="spellEnd"/>
      <w:r>
        <w:rPr>
          <w:i/>
        </w:rPr>
        <w:t xml:space="preserve"> Transitions Research Brief. </w:t>
      </w:r>
      <w:r>
        <w:t xml:space="preserve">Retrieved online October 2, 2019 from </w:t>
      </w:r>
      <w:r>
        <w:rPr>
          <w:u w:val="single" w:color="000000"/>
        </w:rPr>
        <w:t>http://ccwt.wceruw.org/documents/CCWT_Results%20from%20the%20College%20Inter nship%20Study%20at%20University%20of%20Wisconsin-Parkside.pdf</w:t>
      </w:r>
      <w:r>
        <w:t xml:space="preserve"> </w:t>
      </w:r>
    </w:p>
    <w:p w:rsidR="0023438A" w:rsidRDefault="00A02C86">
      <w:pPr>
        <w:ind w:left="1145" w:right="777" w:hanging="720"/>
      </w:pPr>
      <w:proofErr w:type="spellStart"/>
      <w:r>
        <w:lastRenderedPageBreak/>
        <w:t>Hora</w:t>
      </w:r>
      <w:proofErr w:type="spellEnd"/>
      <w:r>
        <w:t xml:space="preserve">, M. T., </w:t>
      </w:r>
      <w:proofErr w:type="spellStart"/>
      <w:r>
        <w:t>Scaglione</w:t>
      </w:r>
      <w:proofErr w:type="spellEnd"/>
      <w:r>
        <w:t>, M.,</w:t>
      </w:r>
      <w:r>
        <w:t xml:space="preserve"> Parrott, E., Chen, Z., </w:t>
      </w:r>
      <w:proofErr w:type="spellStart"/>
      <w:r>
        <w:t>Wolfgram</w:t>
      </w:r>
      <w:proofErr w:type="spellEnd"/>
      <w:r>
        <w:t xml:space="preserve">, M., &amp; </w:t>
      </w:r>
      <w:proofErr w:type="spellStart"/>
      <w:r>
        <w:t>Kolar</w:t>
      </w:r>
      <w:proofErr w:type="spellEnd"/>
      <w:r>
        <w:t xml:space="preserve">, A. (2018). Results from the College Internship Study at Madison College. </w:t>
      </w:r>
      <w:r>
        <w:rPr>
          <w:i/>
        </w:rPr>
        <w:t>Center for Research on College-</w:t>
      </w:r>
    </w:p>
    <w:p w:rsidR="0023438A" w:rsidRDefault="00A02C86">
      <w:pPr>
        <w:spacing w:after="249" w:line="259" w:lineRule="auto"/>
        <w:ind w:left="1155" w:right="630"/>
      </w:pPr>
      <w:r>
        <w:rPr>
          <w:i/>
        </w:rPr>
        <w:t xml:space="preserve">Workforce Transitions Research Brief. </w:t>
      </w:r>
      <w:r>
        <w:t xml:space="preserve">Retrieved online October 2, 2019 from </w:t>
      </w:r>
      <w:r>
        <w:rPr>
          <w:u w:val="single" w:color="000000"/>
        </w:rPr>
        <w:t>http://ccwt.wceruw.org/docum</w:t>
      </w:r>
      <w:r>
        <w:rPr>
          <w:u w:val="single" w:color="000000"/>
        </w:rPr>
        <w:t>ents/CCWT_Internship%20Study%20Report_Madison%2</w:t>
      </w:r>
    </w:p>
    <w:p w:rsidR="0023438A" w:rsidRDefault="00A02C86">
      <w:pPr>
        <w:spacing w:after="249" w:line="259" w:lineRule="auto"/>
        <w:ind w:left="1155" w:right="630"/>
      </w:pPr>
      <w:r>
        <w:rPr>
          <w:u w:val="single" w:color="000000"/>
        </w:rPr>
        <w:t>0College_Nov%202018.pdf</w:t>
      </w:r>
      <w:r>
        <w:t xml:space="preserve"> </w:t>
      </w:r>
    </w:p>
    <w:p w:rsidR="0023438A" w:rsidRDefault="00A02C86">
      <w:pPr>
        <w:ind w:left="1145" w:right="777" w:hanging="720"/>
      </w:pPr>
      <w:proofErr w:type="spellStart"/>
      <w:r>
        <w:t>Hora</w:t>
      </w:r>
      <w:proofErr w:type="spellEnd"/>
      <w:r>
        <w:t xml:space="preserve">, M. T., Parrott, E., Chen, Z., Thompson, M. N., Perez-Chavez, J. G., Fetter, A. K., ... &amp; </w:t>
      </w:r>
      <w:proofErr w:type="spellStart"/>
      <w:r>
        <w:t>Kolar</w:t>
      </w:r>
      <w:proofErr w:type="spellEnd"/>
      <w:r>
        <w:t xml:space="preserve">, A. (2019). Results from the College Internship Study at </w:t>
      </w:r>
      <w:proofErr w:type="spellStart"/>
      <w:r>
        <w:t>Claflin</w:t>
      </w:r>
      <w:proofErr w:type="spellEnd"/>
      <w:r>
        <w:t xml:space="preserve"> University. </w:t>
      </w:r>
      <w:r>
        <w:rPr>
          <w:i/>
        </w:rPr>
        <w:t>Cente</w:t>
      </w:r>
      <w:r>
        <w:rPr>
          <w:i/>
        </w:rPr>
        <w:t xml:space="preserve">r for Research on College-Workforce Transitions Research Brief. </w:t>
      </w:r>
      <w:r>
        <w:t xml:space="preserve">Retrieved online October </w:t>
      </w:r>
    </w:p>
    <w:p w:rsidR="0023438A" w:rsidRDefault="00A02C86">
      <w:pPr>
        <w:spacing w:after="0" w:line="476" w:lineRule="auto"/>
        <w:ind w:left="1155" w:right="630"/>
      </w:pPr>
      <w:r>
        <w:t xml:space="preserve">2, 2019 from </w:t>
      </w:r>
      <w:r>
        <w:rPr>
          <w:u w:val="single" w:color="000000"/>
        </w:rPr>
        <w:t>http://ccwt.wceruw.org/documents/CCWT_report_results%20from%20Claflin.pdf</w:t>
      </w:r>
      <w:r>
        <w:t xml:space="preserve"> </w:t>
      </w:r>
    </w:p>
    <w:p w:rsidR="0023438A" w:rsidRDefault="00A02C86">
      <w:pPr>
        <w:ind w:left="1145" w:right="777" w:hanging="720"/>
      </w:pPr>
      <w:r>
        <w:t>Jackson, D. (2015). Employability skill development in work-integrated learnin</w:t>
      </w:r>
      <w:r>
        <w:t xml:space="preserve">g: Barriers and best practice. </w:t>
      </w:r>
      <w:r>
        <w:rPr>
          <w:i/>
        </w:rPr>
        <w:t>Studies in Higher Education</w:t>
      </w:r>
      <w:r>
        <w:t xml:space="preserve">, </w:t>
      </w:r>
      <w:r>
        <w:rPr>
          <w:i/>
        </w:rPr>
        <w:t>40</w:t>
      </w:r>
      <w:r>
        <w:t xml:space="preserve">(2), 350-367. </w:t>
      </w:r>
    </w:p>
    <w:p w:rsidR="0023438A" w:rsidRDefault="00A02C86">
      <w:pPr>
        <w:spacing w:after="0" w:line="476" w:lineRule="auto"/>
        <w:ind w:left="1160" w:right="630" w:hanging="720"/>
      </w:pPr>
      <w:r>
        <w:t xml:space="preserve">Johnson, M., &amp; </w:t>
      </w:r>
      <w:proofErr w:type="spellStart"/>
      <w:r>
        <w:t>Spiker</w:t>
      </w:r>
      <w:proofErr w:type="spellEnd"/>
      <w:r>
        <w:t xml:space="preserve">, K. (2018). Broadening the apprenticeship pipeline. </w:t>
      </w:r>
      <w:r>
        <w:rPr>
          <w:i/>
        </w:rPr>
        <w:t>National Skills Coalition</w:t>
      </w:r>
      <w:r>
        <w:t xml:space="preserve">. </w:t>
      </w:r>
      <w:r>
        <w:rPr>
          <w:u w:val="single" w:color="000000"/>
        </w:rPr>
        <w:t>https://tacc.org/sites/default/files/documents/2018-08/broadening-theapprenticeship-pipeline_web.pdf</w:t>
      </w:r>
      <w:r>
        <w:t xml:space="preserve"> </w:t>
      </w:r>
    </w:p>
    <w:p w:rsidR="0023438A" w:rsidRDefault="00A02C86">
      <w:pPr>
        <w:spacing w:after="252" w:line="259" w:lineRule="auto"/>
        <w:ind w:left="435" w:right="777"/>
      </w:pPr>
      <w:r>
        <w:t xml:space="preserve">Jones, D. A. (2011). Apprenticeships back to the future. </w:t>
      </w:r>
      <w:r>
        <w:rPr>
          <w:i/>
        </w:rPr>
        <w:t>Issues in Science &amp; Technology</w:t>
      </w:r>
      <w:r>
        <w:t xml:space="preserve">, </w:t>
      </w:r>
      <w:r>
        <w:rPr>
          <w:i/>
        </w:rPr>
        <w:t>27</w:t>
      </w:r>
      <w:r>
        <w:t xml:space="preserve">(4), </w:t>
      </w:r>
    </w:p>
    <w:p w:rsidR="0023438A" w:rsidRDefault="00A02C86">
      <w:pPr>
        <w:spacing w:after="252" w:line="259" w:lineRule="auto"/>
        <w:ind w:left="1170" w:right="777"/>
      </w:pPr>
      <w:r>
        <w:t xml:space="preserve">51–56. </w:t>
      </w:r>
    </w:p>
    <w:p w:rsidR="0023438A" w:rsidRDefault="00A02C86">
      <w:pPr>
        <w:ind w:left="1145" w:right="777" w:hanging="720"/>
      </w:pPr>
      <w:r>
        <w:t>Jones, D. A. (2017). The path less taken: Barrier</w:t>
      </w:r>
      <w:r>
        <w:t xml:space="preserve">s to providing career and technical education at community colleges. Washington D.C.: American Enterprise Institute for Public Policy </w:t>
      </w:r>
    </w:p>
    <w:p w:rsidR="0023438A" w:rsidRDefault="00A02C86">
      <w:pPr>
        <w:spacing w:after="252" w:line="259" w:lineRule="auto"/>
        <w:ind w:left="1170" w:right="777"/>
      </w:pPr>
      <w:r>
        <w:t xml:space="preserve">Research. </w:t>
      </w:r>
    </w:p>
    <w:p w:rsidR="0023438A" w:rsidRDefault="00A02C86">
      <w:pPr>
        <w:ind w:left="1145" w:right="777" w:hanging="720"/>
      </w:pPr>
      <w:r>
        <w:t>Kettering University (2019)</w:t>
      </w:r>
      <w:proofErr w:type="gramStart"/>
      <w:r>
        <w:t>.,</w:t>
      </w:r>
      <w:proofErr w:type="gramEnd"/>
      <w:r>
        <w:t xml:space="preserve"> Co-op at Kettering is different. Retrieved June 6, 2019 from </w:t>
      </w:r>
      <w:r>
        <w:rPr>
          <w:u w:val="single" w:color="000000"/>
        </w:rPr>
        <w:t>https://www.ketteri</w:t>
      </w:r>
      <w:r>
        <w:rPr>
          <w:u w:val="single" w:color="000000"/>
        </w:rPr>
        <w:t>ng.edu/undergraduate-admissions/co-op</w:t>
      </w:r>
      <w:r>
        <w:t xml:space="preserve"> </w:t>
      </w:r>
    </w:p>
    <w:p w:rsidR="0023438A" w:rsidRDefault="00A02C86">
      <w:pPr>
        <w:spacing w:after="252" w:line="259" w:lineRule="auto"/>
        <w:ind w:left="435" w:right="777"/>
      </w:pPr>
      <w:r>
        <w:t xml:space="preserve">Knowles, M.S. (1990). </w:t>
      </w:r>
      <w:r>
        <w:rPr>
          <w:i/>
        </w:rPr>
        <w:t xml:space="preserve">Andragogy in Action. </w:t>
      </w:r>
      <w:r>
        <w:t xml:space="preserve">San Francisco: </w:t>
      </w:r>
      <w:proofErr w:type="spellStart"/>
      <w:r>
        <w:t>Jossey</w:t>
      </w:r>
      <w:proofErr w:type="spellEnd"/>
      <w:r>
        <w:t xml:space="preserve">-Bass. </w:t>
      </w:r>
    </w:p>
    <w:p w:rsidR="0023438A" w:rsidRDefault="00A02C86">
      <w:pPr>
        <w:spacing w:after="96" w:line="476" w:lineRule="auto"/>
        <w:ind w:left="1145" w:right="715" w:hanging="720"/>
      </w:pPr>
      <w:r>
        <w:t xml:space="preserve">Kolb, D. A. (1984). </w:t>
      </w:r>
      <w:r>
        <w:rPr>
          <w:i/>
        </w:rPr>
        <w:t>Experiential learning: Experience as the source of learning and development.</w:t>
      </w:r>
      <w:r>
        <w:t xml:space="preserve"> Englewood Cliffs, NJ: Prentice Hall. </w:t>
      </w:r>
    </w:p>
    <w:p w:rsidR="0023438A" w:rsidRDefault="00A02C86">
      <w:pPr>
        <w:ind w:left="1145" w:right="777" w:hanging="720"/>
      </w:pPr>
      <w:r>
        <w:lastRenderedPageBreak/>
        <w:t xml:space="preserve">Kuehn, D. </w:t>
      </w:r>
      <w:r>
        <w:t xml:space="preserve">(2019). Registered apprenticeship and career advancement for low-wage service workers. </w:t>
      </w:r>
      <w:r>
        <w:rPr>
          <w:i/>
        </w:rPr>
        <w:t>Economic Development Quarterly, 33</w:t>
      </w:r>
      <w:r>
        <w:t xml:space="preserve">(2), 134–150. </w:t>
      </w:r>
    </w:p>
    <w:p w:rsidR="0023438A" w:rsidRDefault="00A02C86">
      <w:pPr>
        <w:spacing w:after="252" w:line="259" w:lineRule="auto"/>
        <w:ind w:left="1155"/>
      </w:pPr>
      <w:r>
        <w:rPr>
          <w:color w:val="0000FF"/>
          <w:u w:val="single" w:color="0000FF"/>
        </w:rPr>
        <w:t>https://doi.org/10.1177/0891242419838605</w:t>
      </w:r>
      <w:r>
        <w:t xml:space="preserve"> </w:t>
      </w:r>
    </w:p>
    <w:p w:rsidR="0023438A" w:rsidRDefault="00A02C86">
      <w:pPr>
        <w:ind w:left="1145" w:right="777" w:hanging="720"/>
      </w:pPr>
      <w:r>
        <w:t xml:space="preserve">Kuehn, D., &amp; Jones, D. (2018). Sub-baccalaureate STEM Education and </w:t>
      </w:r>
      <w:proofErr w:type="spellStart"/>
      <w:r>
        <w:t>Apprentice</w:t>
      </w:r>
      <w:r>
        <w:t>ship.</w:t>
      </w:r>
      <w:r>
        <w:rPr>
          <w:i/>
        </w:rPr>
        <w:t>Urban</w:t>
      </w:r>
      <w:proofErr w:type="spellEnd"/>
      <w:r>
        <w:rPr>
          <w:i/>
        </w:rPr>
        <w:t xml:space="preserve"> Institute. </w:t>
      </w:r>
      <w:r>
        <w:t xml:space="preserve">Retrieved December 9, 2018, from https://www.urban.org/sites/default/files/publication/98416/subbaccalaureate_stem_education_and_apprenticeship.pdf </w:t>
      </w:r>
    </w:p>
    <w:p w:rsidR="0023438A" w:rsidRDefault="00A02C86">
      <w:pPr>
        <w:ind w:left="1145" w:right="777" w:hanging="720"/>
      </w:pPr>
      <w:r>
        <w:t xml:space="preserve">Kuehn, D., &amp; Jones, D. A. (2018). Sub-baccalaureate STEM Education and </w:t>
      </w:r>
      <w:proofErr w:type="spellStart"/>
      <w:r>
        <w:t>Apprenticeship</w:t>
      </w:r>
      <w:r>
        <w:t>.</w:t>
      </w:r>
      <w:r>
        <w:rPr>
          <w:i/>
        </w:rPr>
        <w:t>Urban</w:t>
      </w:r>
      <w:proofErr w:type="spellEnd"/>
      <w:r>
        <w:rPr>
          <w:i/>
        </w:rPr>
        <w:t xml:space="preserve"> Institute. </w:t>
      </w:r>
      <w:r>
        <w:t xml:space="preserve">Retrieved December 9, 2018, from https://www.urban.org/sites/default/files/publication/98416/subbaccalaureate_stem_education_and_apprenticeship.pdf </w:t>
      </w:r>
    </w:p>
    <w:p w:rsidR="0023438A" w:rsidRDefault="00A02C86">
      <w:pPr>
        <w:spacing w:after="244" w:line="267" w:lineRule="auto"/>
        <w:ind w:left="435" w:right="715"/>
      </w:pPr>
      <w:proofErr w:type="spellStart"/>
      <w:r>
        <w:t>Labaree</w:t>
      </w:r>
      <w:proofErr w:type="spellEnd"/>
      <w:r>
        <w:t xml:space="preserve">, D. F. (2017). </w:t>
      </w:r>
      <w:r>
        <w:rPr>
          <w:i/>
        </w:rPr>
        <w:t>A perfect mess: The unlikely ascendancy of American higher education</w:t>
      </w:r>
      <w:r>
        <w:t xml:space="preserve">. </w:t>
      </w:r>
    </w:p>
    <w:p w:rsidR="0023438A" w:rsidRDefault="00A02C86">
      <w:pPr>
        <w:spacing w:after="252" w:line="259" w:lineRule="auto"/>
        <w:ind w:left="1170" w:right="777"/>
      </w:pPr>
      <w:r>
        <w:t xml:space="preserve">University of Chicago Press. </w:t>
      </w:r>
    </w:p>
    <w:p w:rsidR="0023438A" w:rsidRDefault="00A02C86">
      <w:pPr>
        <w:spacing w:after="0" w:line="476" w:lineRule="auto"/>
        <w:ind w:left="1160" w:right="630" w:hanging="720"/>
      </w:pPr>
      <w:r>
        <w:t>Lake, R. (2019)</w:t>
      </w:r>
      <w:r>
        <w:rPr>
          <w:i/>
        </w:rPr>
        <w:t xml:space="preserve"> </w:t>
      </w:r>
      <w:r>
        <w:t xml:space="preserve">Skilling up: the scope of modern apprenticeship. </w:t>
      </w:r>
      <w:r>
        <w:rPr>
          <w:i/>
        </w:rPr>
        <w:t xml:space="preserve">Urban Institute. </w:t>
      </w:r>
      <w:r>
        <w:t xml:space="preserve">Retrieved February 16, 2020 from </w:t>
      </w:r>
      <w:r>
        <w:rPr>
          <w:u w:val="single" w:color="000000"/>
        </w:rPr>
        <w:t>https://www.urban.org/sites/default/file</w:t>
      </w:r>
      <w:r>
        <w:rPr>
          <w:u w:val="single" w:color="000000"/>
        </w:rPr>
        <w:t>s/publication/101353/skilling_up_the_scope_of_ modern_apprenticeship_0.pdf</w:t>
      </w:r>
      <w:r>
        <w:t xml:space="preserve"> </w:t>
      </w:r>
    </w:p>
    <w:p w:rsidR="0023438A" w:rsidRDefault="00A02C86">
      <w:pPr>
        <w:ind w:left="1145" w:right="777" w:hanging="720"/>
      </w:pPr>
      <w:proofErr w:type="spellStart"/>
      <w:r>
        <w:t>Lapan</w:t>
      </w:r>
      <w:proofErr w:type="spellEnd"/>
      <w:r>
        <w:t xml:space="preserve">, R. T., Tucker, B., Kim, S. K., &amp; </w:t>
      </w:r>
      <w:proofErr w:type="spellStart"/>
      <w:r>
        <w:t>Kosciulek</w:t>
      </w:r>
      <w:proofErr w:type="spellEnd"/>
      <w:r>
        <w:t xml:space="preserve">, J. F. (2003). Preparing rural adolescents for post‐high school transitions. </w:t>
      </w:r>
      <w:r>
        <w:rPr>
          <w:i/>
        </w:rPr>
        <w:t>Journal of Counseling &amp; Development</w:t>
      </w:r>
      <w:r>
        <w:t xml:space="preserve">, </w:t>
      </w:r>
      <w:r>
        <w:rPr>
          <w:i/>
        </w:rPr>
        <w:t>81</w:t>
      </w:r>
      <w:r>
        <w:t xml:space="preserve">(3), 329-342. </w:t>
      </w:r>
    </w:p>
    <w:p w:rsidR="0023438A" w:rsidRDefault="00A02C86">
      <w:pPr>
        <w:spacing w:after="252" w:line="259" w:lineRule="auto"/>
        <w:ind w:left="435" w:right="777"/>
      </w:pPr>
      <w:proofErr w:type="spellStart"/>
      <w:r>
        <w:t>Lerman</w:t>
      </w:r>
      <w:proofErr w:type="spellEnd"/>
      <w:r>
        <w:t xml:space="preserve">, R. I. (2018). Scaling apprenticeship to increase human capital. </w:t>
      </w:r>
      <w:r>
        <w:rPr>
          <w:i/>
        </w:rPr>
        <w:t xml:space="preserve">Expanding Economic </w:t>
      </w:r>
    </w:p>
    <w:p w:rsidR="0023438A" w:rsidRDefault="00A02C86">
      <w:pPr>
        <w:spacing w:after="244" w:line="267" w:lineRule="auto"/>
        <w:ind w:left="1170" w:right="715"/>
      </w:pPr>
      <w:r>
        <w:rPr>
          <w:i/>
        </w:rPr>
        <w:t xml:space="preserve">Opportunity for More Americans: Bipartisan Policies to Increase Work, Wages, and </w:t>
      </w:r>
    </w:p>
    <w:p w:rsidR="0023438A" w:rsidRDefault="00A02C86">
      <w:pPr>
        <w:spacing w:after="244" w:line="267" w:lineRule="auto"/>
        <w:ind w:left="1170" w:right="715"/>
      </w:pPr>
      <w:r>
        <w:rPr>
          <w:i/>
        </w:rPr>
        <w:t xml:space="preserve">Skills, ed. Melissa Kearney and Amy </w:t>
      </w:r>
      <w:proofErr w:type="spellStart"/>
      <w:r>
        <w:rPr>
          <w:i/>
        </w:rPr>
        <w:t>Ganz</w:t>
      </w:r>
      <w:proofErr w:type="spellEnd"/>
      <w:r>
        <w:rPr>
          <w:i/>
        </w:rPr>
        <w:t xml:space="preserve"> (Washington, DC: The Aspen Institute, </w:t>
      </w:r>
    </w:p>
    <w:p w:rsidR="0023438A" w:rsidRDefault="00A02C86">
      <w:pPr>
        <w:spacing w:after="96" w:line="267" w:lineRule="auto"/>
        <w:ind w:left="1170" w:right="715"/>
      </w:pPr>
      <w:r>
        <w:rPr>
          <w:i/>
        </w:rPr>
        <w:t>Economic Strategy Group</w:t>
      </w:r>
      <w:r>
        <w:t xml:space="preserve">. </w:t>
      </w:r>
    </w:p>
    <w:p w:rsidR="0023438A" w:rsidRDefault="00A02C86">
      <w:pPr>
        <w:spacing w:after="252" w:line="259" w:lineRule="auto"/>
        <w:ind w:left="435" w:right="777"/>
      </w:pPr>
      <w:proofErr w:type="spellStart"/>
      <w:r>
        <w:t>Lerman</w:t>
      </w:r>
      <w:proofErr w:type="spellEnd"/>
      <w:r>
        <w:t xml:space="preserve">, R. I. (2012). Can the United States expand apprenticeship? Lessons from experience. </w:t>
      </w:r>
    </w:p>
    <w:p w:rsidR="0023438A" w:rsidRDefault="00A02C86">
      <w:pPr>
        <w:spacing w:after="252" w:line="259" w:lineRule="auto"/>
        <w:ind w:left="1170" w:right="777"/>
      </w:pPr>
      <w:r>
        <w:rPr>
          <w:i/>
        </w:rPr>
        <w:t>Institute for the Study of Labor</w:t>
      </w:r>
      <w:r>
        <w:t xml:space="preserve">. Retrieved from http://ftp.iza.org/pp46.pdf </w:t>
      </w:r>
    </w:p>
    <w:p w:rsidR="0023438A" w:rsidRDefault="00A02C86">
      <w:pPr>
        <w:ind w:left="1145" w:right="777" w:hanging="720"/>
      </w:pPr>
      <w:proofErr w:type="spellStart"/>
      <w:r>
        <w:lastRenderedPageBreak/>
        <w:t>Lerman</w:t>
      </w:r>
      <w:proofErr w:type="spellEnd"/>
      <w:r>
        <w:t xml:space="preserve">, R., Kuehn, D., &amp; </w:t>
      </w:r>
      <w:proofErr w:type="spellStart"/>
      <w:r>
        <w:t>Shakesprere</w:t>
      </w:r>
      <w:proofErr w:type="spellEnd"/>
      <w:r>
        <w:t>, J. (2019.). Youth app</w:t>
      </w:r>
      <w:r>
        <w:t xml:space="preserve">renticeship in Georgia: Experiences and recommendations. 44. </w:t>
      </w:r>
      <w:r>
        <w:rPr>
          <w:i/>
        </w:rPr>
        <w:t xml:space="preserve">Urban Institute. </w:t>
      </w:r>
      <w:proofErr w:type="spellStart"/>
      <w:r>
        <w:t>Retreived</w:t>
      </w:r>
      <w:proofErr w:type="spellEnd"/>
      <w:r>
        <w:t xml:space="preserve"> February 23, 2020 from </w:t>
      </w:r>
      <w:r>
        <w:rPr>
          <w:u w:val="single" w:color="000000"/>
        </w:rPr>
        <w:t>https://georgiaopportunity.org/wpcontent/uploads/2019/04/19_043_GCO_Urban_Inst_Pres_Web.pdf</w:t>
      </w:r>
      <w:r>
        <w:t xml:space="preserve"> </w:t>
      </w:r>
    </w:p>
    <w:p w:rsidR="0023438A" w:rsidRDefault="00A02C86">
      <w:pPr>
        <w:spacing w:after="244" w:line="267" w:lineRule="auto"/>
        <w:ind w:left="435" w:right="715"/>
      </w:pPr>
      <w:proofErr w:type="spellStart"/>
      <w:r>
        <w:t>Lewin</w:t>
      </w:r>
      <w:proofErr w:type="spellEnd"/>
      <w:r>
        <w:t xml:space="preserve">, K. (1951). </w:t>
      </w:r>
      <w:r>
        <w:rPr>
          <w:i/>
        </w:rPr>
        <w:t>Field theory in social science: se</w:t>
      </w:r>
      <w:r>
        <w:rPr>
          <w:i/>
        </w:rPr>
        <w:t>lected theoretical papers</w:t>
      </w:r>
      <w:r>
        <w:t xml:space="preserve">. New York, NY: </w:t>
      </w:r>
    </w:p>
    <w:p w:rsidR="0023438A" w:rsidRDefault="00A02C86">
      <w:pPr>
        <w:spacing w:after="252" w:line="259" w:lineRule="auto"/>
        <w:ind w:left="1170" w:right="777"/>
      </w:pPr>
      <w:r>
        <w:t xml:space="preserve">Harper &amp; Row. </w:t>
      </w:r>
    </w:p>
    <w:p w:rsidR="0023438A" w:rsidRDefault="00A02C86">
      <w:pPr>
        <w:ind w:left="1145" w:right="1048" w:hanging="720"/>
      </w:pPr>
      <w:r>
        <w:t xml:space="preserve">Long, B. T. (2018). The college completion landscape: Trends, challenges, and why it matters. </w:t>
      </w:r>
      <w:r>
        <w:rPr>
          <w:i/>
        </w:rPr>
        <w:t>American Enterprise Institute and Third Way Institute</w:t>
      </w:r>
      <w:r>
        <w:t xml:space="preserve">. Retrieved October 2, </w:t>
      </w:r>
    </w:p>
    <w:p w:rsidR="0023438A" w:rsidRDefault="00A02C86">
      <w:pPr>
        <w:spacing w:after="252" w:line="259" w:lineRule="auto"/>
        <w:ind w:left="1170" w:right="777"/>
      </w:pPr>
      <w:r>
        <w:t xml:space="preserve">2019 from http://www. </w:t>
      </w:r>
      <w:proofErr w:type="spellStart"/>
      <w:proofErr w:type="gramStart"/>
      <w:r>
        <w:t>aei</w:t>
      </w:r>
      <w:proofErr w:type="spellEnd"/>
      <w:proofErr w:type="gramEnd"/>
      <w:r>
        <w:t xml:space="preserve">. </w:t>
      </w:r>
      <w:proofErr w:type="gramStart"/>
      <w:r>
        <w:t>o</w:t>
      </w:r>
      <w:r>
        <w:t>rg/</w:t>
      </w:r>
      <w:proofErr w:type="spellStart"/>
      <w:r>
        <w:t>wp</w:t>
      </w:r>
      <w:proofErr w:type="spellEnd"/>
      <w:r>
        <w:t>-content/uploads/2018/06/Elevating-College</w:t>
      </w:r>
      <w:proofErr w:type="gramEnd"/>
      <w:r>
        <w:t>-</w:t>
      </w:r>
    </w:p>
    <w:p w:rsidR="0023438A" w:rsidRDefault="00A02C86">
      <w:pPr>
        <w:spacing w:after="252" w:line="259" w:lineRule="auto"/>
        <w:ind w:left="1170" w:right="777"/>
      </w:pPr>
      <w:r>
        <w:t xml:space="preserve">Completion. </w:t>
      </w:r>
      <w:proofErr w:type="gramStart"/>
      <w:r>
        <w:t>pdf</w:t>
      </w:r>
      <w:proofErr w:type="gramEnd"/>
      <w:r>
        <w:t xml:space="preserve">. </w:t>
      </w:r>
    </w:p>
    <w:p w:rsidR="0023438A" w:rsidRDefault="00A02C86">
      <w:pPr>
        <w:ind w:left="1145" w:right="777" w:hanging="720"/>
      </w:pPr>
      <w:r>
        <w:t xml:space="preserve">Lorenzo, J. (2017). The rise of the modern American apprenticeship. </w:t>
      </w:r>
      <w:r>
        <w:rPr>
          <w:i/>
        </w:rPr>
        <w:t xml:space="preserve">Public Policy Initiative. </w:t>
      </w:r>
      <w:r>
        <w:t xml:space="preserve">University of Pennsylvania, Wharton. </w:t>
      </w:r>
      <w:proofErr w:type="spellStart"/>
      <w:r>
        <w:t>Retreived</w:t>
      </w:r>
      <w:proofErr w:type="spellEnd"/>
      <w:r>
        <w:t xml:space="preserve"> online from </w:t>
      </w:r>
      <w:r>
        <w:rPr>
          <w:color w:val="0000FF"/>
          <w:u w:val="single" w:color="0000FF"/>
        </w:rPr>
        <w:t>https://publicpolicy.wharton.upenn.e</w:t>
      </w:r>
      <w:r>
        <w:rPr>
          <w:color w:val="0000FF"/>
          <w:u w:val="single" w:color="0000FF"/>
        </w:rPr>
        <w:t>du/live/news/2196-the-rise-of-the-modern-americanapprenticeship#_edn10</w:t>
      </w:r>
      <w:r>
        <w:t xml:space="preserve"> </w:t>
      </w:r>
    </w:p>
    <w:p w:rsidR="0023438A" w:rsidRDefault="00A02C86">
      <w:pPr>
        <w:ind w:left="1145" w:right="777" w:hanging="720"/>
      </w:pPr>
      <w:proofErr w:type="spellStart"/>
      <w:r>
        <w:t>MacGregor</w:t>
      </w:r>
      <w:proofErr w:type="spellEnd"/>
      <w:r>
        <w:t xml:space="preserve">, M. (2019). Decision Making and Implementation Strategies for Registered Apprentice Programs in Community Colleges (Doctoral dissertation, Ferris State University). </w:t>
      </w:r>
    </w:p>
    <w:p w:rsidR="0023438A" w:rsidRDefault="00A02C86">
      <w:pPr>
        <w:ind w:left="1145" w:right="777" w:hanging="720"/>
      </w:pPr>
      <w:proofErr w:type="spellStart"/>
      <w:r>
        <w:t>MacGrego</w:t>
      </w:r>
      <w:r>
        <w:t>r</w:t>
      </w:r>
      <w:proofErr w:type="spellEnd"/>
      <w:r>
        <w:t xml:space="preserve">, M., &amp; Fox, H. L. (2017). Registered apprenticeships: Integrated earn and learn pathways at Harper College. </w:t>
      </w:r>
      <w:r>
        <w:rPr>
          <w:i/>
        </w:rPr>
        <w:t xml:space="preserve">Illinois Office of Community College Research and </w:t>
      </w:r>
    </w:p>
    <w:p w:rsidR="0023438A" w:rsidRDefault="00A02C86">
      <w:pPr>
        <w:spacing w:after="96" w:line="267" w:lineRule="auto"/>
        <w:ind w:left="1170" w:right="715"/>
      </w:pPr>
      <w:r>
        <w:rPr>
          <w:i/>
        </w:rPr>
        <w:t>Leadership</w:t>
      </w:r>
      <w:r>
        <w:t xml:space="preserve">. </w:t>
      </w:r>
    </w:p>
    <w:p w:rsidR="0023438A" w:rsidRDefault="00A02C86">
      <w:pPr>
        <w:ind w:left="1145" w:right="777" w:hanging="720"/>
      </w:pPr>
      <w:r>
        <w:t xml:space="preserve">McCarthy, M., Palmer, I., &amp; </w:t>
      </w:r>
      <w:proofErr w:type="spellStart"/>
      <w:r>
        <w:t>Prebil</w:t>
      </w:r>
      <w:proofErr w:type="spellEnd"/>
      <w:r>
        <w:t>, M. (2017). Eight Recommendations for connectin</w:t>
      </w:r>
      <w:r>
        <w:t xml:space="preserve">g apprenticeship and higher education. </w:t>
      </w:r>
      <w:r>
        <w:rPr>
          <w:i/>
        </w:rPr>
        <w:t>New America Foundation: Washington, DC, USA</w:t>
      </w:r>
      <w:r>
        <w:t xml:space="preserve">. </w:t>
      </w:r>
    </w:p>
    <w:p w:rsidR="0023438A" w:rsidRDefault="00A02C86">
      <w:pPr>
        <w:ind w:left="1145" w:right="777" w:hanging="720"/>
      </w:pPr>
      <w:proofErr w:type="spellStart"/>
      <w:r>
        <w:t>McGivern</w:t>
      </w:r>
      <w:proofErr w:type="spellEnd"/>
      <w:r>
        <w:t xml:space="preserve">, A. J. (2018). From career counseling to career choice: Redefining the counselor role in helping students navigate the appropriate postsecondary education (Order </w:t>
      </w:r>
      <w:r>
        <w:t xml:space="preserve">No. </w:t>
      </w:r>
    </w:p>
    <w:p w:rsidR="0023438A" w:rsidRDefault="00A02C86">
      <w:pPr>
        <w:spacing w:after="252" w:line="259" w:lineRule="auto"/>
        <w:ind w:left="1170" w:right="777"/>
      </w:pPr>
      <w:r>
        <w:t xml:space="preserve">10904841). Available from Dissertations &amp; Theses @ Robert Morris University. </w:t>
      </w:r>
    </w:p>
    <w:p w:rsidR="0023438A" w:rsidRDefault="00A02C86">
      <w:pPr>
        <w:ind w:left="1145" w:right="777" w:hanging="720"/>
      </w:pPr>
      <w:r>
        <w:lastRenderedPageBreak/>
        <w:t xml:space="preserve">McHugh, P. P. (2017). The impact of compensation, supervision and work design on internship efficacy: Implications for educators, employers and prospective interns. </w:t>
      </w:r>
      <w:r>
        <w:rPr>
          <w:i/>
        </w:rPr>
        <w:t xml:space="preserve">Journal of </w:t>
      </w:r>
    </w:p>
    <w:p w:rsidR="0023438A" w:rsidRDefault="00A02C86">
      <w:pPr>
        <w:spacing w:after="244" w:line="267" w:lineRule="auto"/>
        <w:ind w:left="1170" w:right="715"/>
      </w:pPr>
      <w:r>
        <w:rPr>
          <w:i/>
        </w:rPr>
        <w:t>Education and Work</w:t>
      </w:r>
      <w:r>
        <w:t xml:space="preserve">, </w:t>
      </w:r>
      <w:r>
        <w:rPr>
          <w:i/>
        </w:rPr>
        <w:t>30</w:t>
      </w:r>
      <w:r>
        <w:t xml:space="preserve">(4), 367-382. </w:t>
      </w:r>
    </w:p>
    <w:p w:rsidR="0023438A" w:rsidRDefault="00A02C86">
      <w:pPr>
        <w:spacing w:after="252" w:line="259" w:lineRule="auto"/>
        <w:ind w:left="435" w:right="777"/>
      </w:pPr>
      <w:proofErr w:type="spellStart"/>
      <w:r>
        <w:t>Mertler</w:t>
      </w:r>
      <w:proofErr w:type="spellEnd"/>
      <w:r>
        <w:t xml:space="preserve">, C. A. (2018). </w:t>
      </w:r>
      <w:r>
        <w:rPr>
          <w:i/>
        </w:rPr>
        <w:t>Introduction to educational research</w:t>
      </w:r>
      <w:r>
        <w:t xml:space="preserve">. Sage Publications. </w:t>
      </w:r>
    </w:p>
    <w:p w:rsidR="0023438A" w:rsidRDefault="00A02C86">
      <w:pPr>
        <w:spacing w:after="252" w:line="259" w:lineRule="auto"/>
        <w:ind w:left="435" w:right="777"/>
      </w:pPr>
      <w:r>
        <w:t>Messing-</w:t>
      </w:r>
      <w:proofErr w:type="spellStart"/>
      <w:r>
        <w:t>Mathie</w:t>
      </w:r>
      <w:proofErr w:type="spellEnd"/>
      <w:r>
        <w:t xml:space="preserve">, A. (2015). Building apprenticeship systems for middle-skill employment: </w:t>
      </w:r>
    </w:p>
    <w:p w:rsidR="0023438A" w:rsidRDefault="00A02C86">
      <w:pPr>
        <w:ind w:left="1170" w:right="777"/>
      </w:pPr>
      <w:r>
        <w:t xml:space="preserve">Comparative lessons in innovation and sector-based strategies for apprenticeships. </w:t>
      </w:r>
      <w:r>
        <w:rPr>
          <w:i/>
        </w:rPr>
        <w:t xml:space="preserve">National Academies Board. </w:t>
      </w:r>
      <w:r>
        <w:t xml:space="preserve">Retrieved February 15, 2020 from </w:t>
      </w:r>
      <w:r>
        <w:rPr>
          <w:u w:val="single" w:color="000000"/>
        </w:rPr>
        <w:t>https://sites.nationalacademies.org/cs/groups/pgasite/documents/webpage/pga_170050.pd</w:t>
      </w:r>
    </w:p>
    <w:p w:rsidR="0023438A" w:rsidRDefault="00A02C86">
      <w:pPr>
        <w:spacing w:after="249" w:line="259" w:lineRule="auto"/>
        <w:ind w:left="1155" w:right="630"/>
      </w:pPr>
      <w:proofErr w:type="gramStart"/>
      <w:r>
        <w:rPr>
          <w:u w:val="single" w:color="000000"/>
        </w:rPr>
        <w:t>f</w:t>
      </w:r>
      <w:proofErr w:type="gramEnd"/>
      <w:r>
        <w:t xml:space="preserve"> </w:t>
      </w:r>
    </w:p>
    <w:p w:rsidR="0023438A" w:rsidRDefault="00A02C86">
      <w:pPr>
        <w:spacing w:after="252" w:line="259" w:lineRule="auto"/>
        <w:ind w:left="435" w:right="777"/>
      </w:pPr>
      <w:r>
        <w:t>Moore, D. T. (2010). Form</w:t>
      </w:r>
      <w:r>
        <w:t xml:space="preserve">s and issues in experiential learning. </w:t>
      </w:r>
      <w:r>
        <w:rPr>
          <w:i/>
        </w:rPr>
        <w:t xml:space="preserve">New Directions for Teaching and </w:t>
      </w:r>
    </w:p>
    <w:p w:rsidR="0023438A" w:rsidRDefault="00A02C86">
      <w:pPr>
        <w:spacing w:after="252" w:line="259" w:lineRule="auto"/>
        <w:ind w:left="1170" w:right="777"/>
      </w:pPr>
      <w:r>
        <w:rPr>
          <w:i/>
        </w:rPr>
        <w:t>Learning</w:t>
      </w:r>
      <w:r>
        <w:t xml:space="preserve">, </w:t>
      </w:r>
      <w:r>
        <w:rPr>
          <w:i/>
        </w:rPr>
        <w:t>2010</w:t>
      </w:r>
      <w:r>
        <w:t xml:space="preserve">(124), 3-13. </w:t>
      </w:r>
    </w:p>
    <w:p w:rsidR="0023438A" w:rsidRDefault="00A02C86">
      <w:pPr>
        <w:ind w:left="1145" w:right="777" w:hanging="720"/>
      </w:pPr>
      <w:proofErr w:type="spellStart"/>
      <w:r>
        <w:t>Moretti</w:t>
      </w:r>
      <w:proofErr w:type="spellEnd"/>
      <w:r>
        <w:t xml:space="preserve">, Luca and </w:t>
      </w:r>
      <w:proofErr w:type="spellStart"/>
      <w:r>
        <w:t>Mayerl</w:t>
      </w:r>
      <w:proofErr w:type="spellEnd"/>
      <w:r>
        <w:t xml:space="preserve">, Martin and </w:t>
      </w:r>
      <w:proofErr w:type="spellStart"/>
      <w:r>
        <w:t>Mühlemann</w:t>
      </w:r>
      <w:proofErr w:type="spellEnd"/>
      <w:r>
        <w:t xml:space="preserve">, Samuel and </w:t>
      </w:r>
      <w:proofErr w:type="spellStart"/>
      <w:r>
        <w:t>Schlögl</w:t>
      </w:r>
      <w:proofErr w:type="spellEnd"/>
      <w:r>
        <w:t xml:space="preserve">, Peter and </w:t>
      </w:r>
      <w:proofErr w:type="spellStart"/>
      <w:r>
        <w:t>Wolter</w:t>
      </w:r>
      <w:proofErr w:type="spellEnd"/>
      <w:r>
        <w:t>, Stefan C. (2017) So similar and yet so different: A comparative analys</w:t>
      </w:r>
      <w:r>
        <w:t xml:space="preserve">is of a firm's cost and benefits of apprenticeship training in Austria and </w:t>
      </w:r>
      <w:proofErr w:type="spellStart"/>
      <w:r>
        <w:t>Switzerland.</w:t>
      </w:r>
      <w:r>
        <w:rPr>
          <w:i/>
        </w:rPr>
        <w:t>CESifo</w:t>
      </w:r>
      <w:proofErr w:type="spellEnd"/>
      <w:r>
        <w:rPr>
          <w:i/>
        </w:rPr>
        <w:t xml:space="preserve"> Working Paper </w:t>
      </w:r>
    </w:p>
    <w:p w:rsidR="0023438A" w:rsidRDefault="00A02C86">
      <w:pPr>
        <w:spacing w:after="249" w:line="259" w:lineRule="auto"/>
        <w:ind w:left="1155" w:right="630"/>
      </w:pPr>
      <w:r>
        <w:rPr>
          <w:i/>
        </w:rPr>
        <w:t>Series No</w:t>
      </w:r>
      <w:r>
        <w:t xml:space="preserve">. 6711. Available at SSRN: </w:t>
      </w:r>
      <w:r>
        <w:rPr>
          <w:u w:val="single" w:color="000000"/>
        </w:rPr>
        <w:t>https://ssrn.com/abstract=3082071</w:t>
      </w:r>
      <w:r>
        <w:t xml:space="preserve"> </w:t>
      </w:r>
    </w:p>
    <w:p w:rsidR="0023438A" w:rsidRDefault="00A02C86">
      <w:pPr>
        <w:spacing w:after="252" w:line="259" w:lineRule="auto"/>
        <w:ind w:left="435" w:right="777"/>
      </w:pPr>
      <w:r>
        <w:t>National Association of Colleges and Employers (NACE). (2018). Internship an</w:t>
      </w:r>
      <w:r>
        <w:t xml:space="preserve">d Co-op Survey, </w:t>
      </w:r>
    </w:p>
    <w:p w:rsidR="0023438A" w:rsidRDefault="00A02C86">
      <w:pPr>
        <w:spacing w:line="259" w:lineRule="auto"/>
        <w:ind w:left="1170" w:right="777"/>
      </w:pPr>
      <w:r>
        <w:t xml:space="preserve">Retrieved September 29, 2019 from: www.naceweb.org. </w:t>
      </w:r>
    </w:p>
    <w:p w:rsidR="0023438A" w:rsidRDefault="00A02C86">
      <w:pPr>
        <w:ind w:left="1145" w:right="777" w:hanging="720"/>
      </w:pPr>
      <w:r>
        <w:t xml:space="preserve">National Science Board. (2019). </w:t>
      </w:r>
      <w:proofErr w:type="gramStart"/>
      <w:r>
        <w:t>The</w:t>
      </w:r>
      <w:proofErr w:type="gramEnd"/>
      <w:r>
        <w:t xml:space="preserve"> skilled technical workforce: Crafting America’s science &amp; engineering expertise. September 2019 Report #: NSB-2019-23. Retrieved September 29, </w:t>
      </w:r>
    </w:p>
    <w:p w:rsidR="0023438A" w:rsidRDefault="00A02C86">
      <w:pPr>
        <w:spacing w:after="249" w:line="259" w:lineRule="auto"/>
        <w:ind w:left="1155" w:right="630"/>
      </w:pPr>
      <w:r>
        <w:t>2019 f</w:t>
      </w:r>
      <w:r>
        <w:t xml:space="preserve">rom </w:t>
      </w:r>
      <w:r>
        <w:rPr>
          <w:u w:val="single" w:color="000000"/>
        </w:rPr>
        <w:t>https://www.nsf.gov/nsb/publications/2019/nsb201923.pdf</w:t>
      </w:r>
      <w:r>
        <w:t xml:space="preserve"> </w:t>
      </w:r>
    </w:p>
    <w:p w:rsidR="0023438A" w:rsidRDefault="00A02C86">
      <w:pPr>
        <w:ind w:left="1145" w:right="777" w:hanging="720"/>
      </w:pPr>
      <w:r>
        <w:t>National Skills Coalition. (2017). United States Middle-Skill Jobs. Retrieved December 2, 2018, from https://www.nationalskillscoalition.org/resources/publications/2017-middle-skillsfact-sheets/f</w:t>
      </w:r>
      <w:r>
        <w:t xml:space="preserve">ile/United-States-MiddleSkills.pdf </w:t>
      </w:r>
    </w:p>
    <w:p w:rsidR="0023438A" w:rsidRDefault="00A02C86">
      <w:pPr>
        <w:spacing w:after="252" w:line="259" w:lineRule="auto"/>
        <w:ind w:left="435" w:right="777"/>
      </w:pPr>
      <w:r>
        <w:t xml:space="preserve">National Student Clearinghouse. (2019). Term enrollment estimates spring 2019. Retrieved June </w:t>
      </w:r>
    </w:p>
    <w:p w:rsidR="0023438A" w:rsidRDefault="00A02C86">
      <w:pPr>
        <w:spacing w:after="0" w:line="476" w:lineRule="auto"/>
        <w:ind w:left="1155" w:right="630"/>
      </w:pPr>
      <w:r>
        <w:lastRenderedPageBreak/>
        <w:t xml:space="preserve">21, 2019 from </w:t>
      </w:r>
      <w:r>
        <w:rPr>
          <w:u w:val="single" w:color="000000"/>
        </w:rPr>
        <w:t>https://nscresearchcenter.org/wpcontent/uploads/CurrentTermEnrollmentReport-Spring-2019.pdf</w:t>
      </w:r>
      <w:r>
        <w:t xml:space="preserve"> </w:t>
      </w:r>
    </w:p>
    <w:p w:rsidR="0023438A" w:rsidRDefault="00A02C86">
      <w:pPr>
        <w:spacing w:after="252" w:line="259" w:lineRule="auto"/>
        <w:ind w:left="435" w:right="777"/>
      </w:pPr>
      <w:r>
        <w:t xml:space="preserve">New Jersey Institute for Social Justice (NJIST). (2020). Becoming the United States of </w:t>
      </w:r>
    </w:p>
    <w:p w:rsidR="0023438A" w:rsidRDefault="00A02C86">
      <w:pPr>
        <w:spacing w:after="252" w:line="259" w:lineRule="auto"/>
        <w:ind w:left="1170" w:right="777"/>
      </w:pPr>
      <w:r>
        <w:t xml:space="preserve">Opportunity: the economic equity and growth case for apprenticeships. Retrieved online </w:t>
      </w:r>
    </w:p>
    <w:p w:rsidR="0023438A" w:rsidRDefault="00A02C86">
      <w:pPr>
        <w:spacing w:after="252" w:line="259" w:lineRule="auto"/>
        <w:ind w:left="1155"/>
      </w:pPr>
      <w:r>
        <w:t xml:space="preserve">May 31, 2020 from </w:t>
      </w:r>
      <w:r>
        <w:rPr>
          <w:color w:val="0000FF"/>
          <w:u w:val="single" w:color="0000FF"/>
        </w:rPr>
        <w:t>https://www.njisj.org/equitycaseforapprenticeships#_ftn3</w:t>
      </w:r>
      <w:r>
        <w:t xml:space="preserve"> </w:t>
      </w:r>
    </w:p>
    <w:p w:rsidR="0023438A" w:rsidRDefault="00A02C86">
      <w:pPr>
        <w:ind w:left="1145" w:right="777" w:hanging="720"/>
      </w:pPr>
      <w:r>
        <w:t>Nich</w:t>
      </w:r>
      <w:r>
        <w:t xml:space="preserve">olas, J. (2016). Internships: Experiential learning, academic connection and assessment. </w:t>
      </w:r>
      <w:r>
        <w:rPr>
          <w:i/>
        </w:rPr>
        <w:t>Faculty and Staff - Articles &amp; Papers</w:t>
      </w:r>
      <w:r>
        <w:t xml:space="preserve">. Retrieved May 19, 2019 from </w:t>
      </w:r>
      <w:r>
        <w:rPr>
          <w:u w:val="single" w:color="000000"/>
        </w:rPr>
        <w:t>https://digitalcommons.salve.edu/fac_staff_pub/</w:t>
      </w:r>
      <w:r>
        <w:t xml:space="preserve"> </w:t>
      </w:r>
    </w:p>
    <w:p w:rsidR="0023438A" w:rsidRDefault="00A02C86">
      <w:pPr>
        <w:spacing w:after="249" w:line="259" w:lineRule="auto"/>
        <w:ind w:left="435" w:right="777"/>
      </w:pPr>
      <w:proofErr w:type="spellStart"/>
      <w:r>
        <w:t>Nunnally</w:t>
      </w:r>
      <w:proofErr w:type="spellEnd"/>
      <w:r>
        <w:t xml:space="preserve">, J. C. (1978). </w:t>
      </w:r>
      <w:r>
        <w:rPr>
          <w:i/>
        </w:rPr>
        <w:t xml:space="preserve">Psychometric theory. </w:t>
      </w:r>
      <w:r>
        <w:t>New Yo</w:t>
      </w:r>
      <w:r>
        <w:t xml:space="preserve">rk, McGraw Hill. </w:t>
      </w:r>
    </w:p>
    <w:p w:rsidR="0023438A" w:rsidRDefault="00A02C86">
      <w:pPr>
        <w:spacing w:after="252" w:line="259" w:lineRule="auto"/>
        <w:ind w:left="435" w:right="777"/>
      </w:pPr>
      <w:r>
        <w:t xml:space="preserve">OECD (2017), Education at a glance 2017: OECD indicators, OECD Publishing, </w:t>
      </w:r>
    </w:p>
    <w:p w:rsidR="0023438A" w:rsidRDefault="00A02C86">
      <w:pPr>
        <w:spacing w:after="252" w:line="259" w:lineRule="auto"/>
        <w:ind w:left="1170" w:right="777"/>
      </w:pPr>
      <w:r>
        <w:t xml:space="preserve">Paris, https://doi.org/10.1787/eag-2017-en. </w:t>
      </w:r>
    </w:p>
    <w:p w:rsidR="0023438A" w:rsidRDefault="00A02C86">
      <w:pPr>
        <w:spacing w:after="252" w:line="259" w:lineRule="auto"/>
        <w:ind w:left="435" w:right="777"/>
      </w:pPr>
      <w:r>
        <w:t xml:space="preserve">O’Neill, N. (2010). Internships as a high-impact practice: Some reflections on quality. </w:t>
      </w:r>
      <w:r>
        <w:rPr>
          <w:i/>
        </w:rPr>
        <w:t xml:space="preserve">Peer </w:t>
      </w:r>
    </w:p>
    <w:p w:rsidR="0023438A" w:rsidRDefault="00A02C86">
      <w:pPr>
        <w:spacing w:after="252" w:line="259" w:lineRule="auto"/>
        <w:ind w:left="1170" w:right="777"/>
      </w:pPr>
      <w:r>
        <w:rPr>
          <w:i/>
        </w:rPr>
        <w:t>Review,</w:t>
      </w:r>
      <w:r>
        <w:t xml:space="preserve"> </w:t>
      </w:r>
      <w:r>
        <w:rPr>
          <w:i/>
        </w:rPr>
        <w:t>12</w:t>
      </w:r>
      <w:r>
        <w:t xml:space="preserve">(4), 4–8. </w:t>
      </w:r>
    </w:p>
    <w:p w:rsidR="0023438A" w:rsidRDefault="00A02C86">
      <w:pPr>
        <w:ind w:left="1145" w:right="777" w:hanging="720"/>
      </w:pPr>
      <w:r>
        <w:t>Oc</w:t>
      </w:r>
      <w:r>
        <w:t xml:space="preserve">cupational Information Network (ONET). (2019). Job zone three: Medium preparation needed. Retrieved online September 30, 2019 from </w:t>
      </w:r>
      <w:r>
        <w:rPr>
          <w:u w:val="single" w:color="000000"/>
        </w:rPr>
        <w:t>https://www.onetonline.org/find/zone?z=3&amp;g=Go</w:t>
      </w:r>
      <w:r>
        <w:t xml:space="preserve"> </w:t>
      </w:r>
    </w:p>
    <w:p w:rsidR="0023438A" w:rsidRDefault="00A02C86">
      <w:pPr>
        <w:ind w:left="1145" w:right="777" w:hanging="720"/>
      </w:pPr>
      <w:r>
        <w:t>Parkman, A. L. (2018). Exploring the relationship between accreditation and fo</w:t>
      </w:r>
      <w:r>
        <w:t xml:space="preserve">r profit higher education institutions. Retrieved May 19, 2019 from https://repository.arizona.edu/handle/10150/628060 </w:t>
      </w:r>
    </w:p>
    <w:p w:rsidR="0023438A" w:rsidRDefault="00A02C86">
      <w:pPr>
        <w:ind w:left="1145" w:right="777" w:hanging="720"/>
      </w:pPr>
      <w:r>
        <w:t>Parton, B. (2017). Youth apprenticeship in America today: Connecting high school students to apprenticeship. Washington, D.C. New Americ</w:t>
      </w:r>
      <w:r>
        <w:t xml:space="preserve">a. Retrieved from https://naproduction.s3.amazonaws.com/documents/YouthApprenticeship-Today.pdf </w:t>
      </w:r>
    </w:p>
    <w:p w:rsidR="0023438A" w:rsidRDefault="00A02C86">
      <w:pPr>
        <w:spacing w:after="252" w:line="259" w:lineRule="auto"/>
        <w:ind w:left="435" w:right="777"/>
      </w:pPr>
      <w:r>
        <w:t xml:space="preserve">Piaget, J. (1971). </w:t>
      </w:r>
      <w:r>
        <w:rPr>
          <w:i/>
        </w:rPr>
        <w:t>Psychology and epistemology</w:t>
      </w:r>
      <w:r>
        <w:t xml:space="preserve">. </w:t>
      </w:r>
      <w:proofErr w:type="spellStart"/>
      <w:r>
        <w:t>Harmondsworth</w:t>
      </w:r>
      <w:proofErr w:type="spellEnd"/>
      <w:r>
        <w:t xml:space="preserve">, UK: Penguin. </w:t>
      </w:r>
    </w:p>
    <w:p w:rsidR="0023438A" w:rsidRDefault="00A02C86">
      <w:pPr>
        <w:ind w:left="1145" w:right="777" w:hanging="720"/>
      </w:pPr>
      <w:r>
        <w:t>Pitt, R. N., &amp; Zhu, L. (2019). The Relationship between college major prestige/sta</w:t>
      </w:r>
      <w:r>
        <w:t xml:space="preserve">tus and </w:t>
      </w:r>
      <w:proofErr w:type="spellStart"/>
      <w:r>
        <w:t>postbaccalaureate</w:t>
      </w:r>
      <w:proofErr w:type="spellEnd"/>
      <w:r>
        <w:t xml:space="preserve"> outcomes. </w:t>
      </w:r>
      <w:r>
        <w:rPr>
          <w:i/>
        </w:rPr>
        <w:t>Sociological Perspectives,</w:t>
      </w:r>
      <w:r>
        <w:t xml:space="preserve"> </w:t>
      </w:r>
      <w:r>
        <w:rPr>
          <w:i/>
        </w:rPr>
        <w:t>62</w:t>
      </w:r>
      <w:r>
        <w:t xml:space="preserve">(3), 325–345. </w:t>
      </w:r>
    </w:p>
    <w:p w:rsidR="0023438A" w:rsidRDefault="00A02C86">
      <w:pPr>
        <w:spacing w:after="252" w:line="259" w:lineRule="auto"/>
        <w:ind w:left="1155"/>
      </w:pPr>
      <w:r>
        <w:rPr>
          <w:color w:val="0000FF"/>
          <w:u w:val="single" w:color="0000FF"/>
        </w:rPr>
        <w:lastRenderedPageBreak/>
        <w:t>https://doi.org/10.1177/0731121418803325</w:t>
      </w:r>
      <w:r>
        <w:t xml:space="preserve"> </w:t>
      </w:r>
    </w:p>
    <w:p w:rsidR="0023438A" w:rsidRDefault="00A02C86">
      <w:pPr>
        <w:spacing w:after="321" w:line="259" w:lineRule="auto"/>
        <w:ind w:left="435"/>
      </w:pPr>
      <w:proofErr w:type="spellStart"/>
      <w:r>
        <w:rPr>
          <w:color w:val="222222"/>
        </w:rPr>
        <w:t>Prebil</w:t>
      </w:r>
      <w:proofErr w:type="spellEnd"/>
      <w:r>
        <w:rPr>
          <w:color w:val="222222"/>
        </w:rPr>
        <w:t>, M. (2019). Solid Foundations: Four State Policy Approaches for Supporting College-</w:t>
      </w:r>
    </w:p>
    <w:p w:rsidR="0023438A" w:rsidRDefault="00A02C86">
      <w:pPr>
        <w:spacing w:after="162" w:line="259" w:lineRule="auto"/>
        <w:ind w:left="1170"/>
      </w:pPr>
      <w:r>
        <w:rPr>
          <w:color w:val="222222"/>
        </w:rPr>
        <w:t xml:space="preserve">Connected Apprenticeships. </w:t>
      </w:r>
      <w:r>
        <w:rPr>
          <w:i/>
          <w:color w:val="222222"/>
        </w:rPr>
        <w:t>New America</w:t>
      </w:r>
      <w:r>
        <w:rPr>
          <w:color w:val="222222"/>
        </w:rPr>
        <w:t>.</w:t>
      </w:r>
      <w:r>
        <w:rPr>
          <w:sz w:val="32"/>
        </w:rPr>
        <w:t xml:space="preserve"> </w:t>
      </w:r>
    </w:p>
    <w:p w:rsidR="0023438A" w:rsidRDefault="00A02C86">
      <w:pPr>
        <w:spacing w:after="0" w:line="472" w:lineRule="auto"/>
        <w:ind w:left="1160" w:right="367" w:hanging="720"/>
      </w:pPr>
      <w:proofErr w:type="spellStart"/>
      <w:r>
        <w:rPr>
          <w:sz w:val="23"/>
        </w:rPr>
        <w:t>Rodkin</w:t>
      </w:r>
      <w:proofErr w:type="spellEnd"/>
      <w:r>
        <w:rPr>
          <w:sz w:val="23"/>
        </w:rPr>
        <w:t xml:space="preserve">, J. (2015) </w:t>
      </w:r>
      <w:proofErr w:type="gramStart"/>
      <w:r>
        <w:rPr>
          <w:sz w:val="23"/>
        </w:rPr>
        <w:t>To</w:t>
      </w:r>
      <w:proofErr w:type="gramEnd"/>
      <w:r>
        <w:rPr>
          <w:sz w:val="23"/>
        </w:rPr>
        <w:t xml:space="preserve"> improve your chance of getting a job, don't skip your college internship. Bloomberg, Retrieved online June 16, 2019 from </w:t>
      </w:r>
      <w:r>
        <w:rPr>
          <w:sz w:val="23"/>
          <w:u w:val="single" w:color="000000"/>
        </w:rPr>
        <w:t>http://www.bloomberg.com/bw/articles/2014-08-15/skipped-your-college-internship-yourefar-less-likely-to-get-a-job-</w:t>
      </w:r>
      <w:r>
        <w:rPr>
          <w:sz w:val="23"/>
          <w:u w:val="single" w:color="000000"/>
        </w:rPr>
        <w:t>in-business</w:t>
      </w:r>
      <w:r>
        <w:rPr>
          <w:sz w:val="23"/>
        </w:rPr>
        <w:t>.</w:t>
      </w:r>
      <w:r>
        <w:t xml:space="preserve"> </w:t>
      </w:r>
    </w:p>
    <w:p w:rsidR="0023438A" w:rsidRDefault="00A02C86">
      <w:pPr>
        <w:ind w:left="1145" w:right="777" w:hanging="720"/>
      </w:pPr>
      <w:r>
        <w:t xml:space="preserve">Rodriguez, J., Fox, H., &amp; </w:t>
      </w:r>
      <w:proofErr w:type="spellStart"/>
      <w:r>
        <w:t>McCambly</w:t>
      </w:r>
      <w:proofErr w:type="spellEnd"/>
      <w:r>
        <w:t>, H. (2016). Work-based learning as a pathway to postsecondary and career success</w:t>
      </w:r>
      <w:r>
        <w:rPr>
          <w:i/>
        </w:rPr>
        <w:t>. Insights on equity and outcomes.</w:t>
      </w:r>
      <w:r>
        <w:t xml:space="preserve"> Office of Community College Research and Leadership. </w:t>
      </w:r>
    </w:p>
    <w:p w:rsidR="0023438A" w:rsidRDefault="00A02C86">
      <w:pPr>
        <w:ind w:left="1145" w:right="777" w:hanging="720"/>
      </w:pPr>
      <w:r>
        <w:t>Rolland, K. (2016). Apprenticeships an</w:t>
      </w:r>
      <w:r>
        <w:t xml:space="preserve">d their potential in the US. </w:t>
      </w:r>
      <w:r>
        <w:rPr>
          <w:i/>
        </w:rPr>
        <w:t>Cascade</w:t>
      </w:r>
      <w:r>
        <w:t xml:space="preserve">, </w:t>
      </w:r>
      <w:r>
        <w:rPr>
          <w:i/>
        </w:rPr>
        <w:t>1</w:t>
      </w:r>
      <w:r>
        <w:t xml:space="preserve">. The Philadelphia Federal Reserve. </w:t>
      </w:r>
      <w:proofErr w:type="spellStart"/>
      <w:r>
        <w:t>Retreived</w:t>
      </w:r>
      <w:proofErr w:type="spellEnd"/>
      <w:r>
        <w:t xml:space="preserve"> online November 30, 2019 from https://www.philadelphiafed.org/communitydevelopment/publications/cascade/90/01_apprenticeships#footnotes </w:t>
      </w:r>
    </w:p>
    <w:p w:rsidR="0023438A" w:rsidRDefault="00A02C86">
      <w:pPr>
        <w:ind w:left="1145" w:right="777" w:hanging="720"/>
      </w:pPr>
      <w:r>
        <w:t>Rose, S. J. (2017). How many worke</w:t>
      </w:r>
      <w:r>
        <w:t>rs with a bachelor’s degree are overqualified for their jobs</w:t>
      </w:r>
      <w:proofErr w:type="gramStart"/>
      <w:r>
        <w:t>?.</w:t>
      </w:r>
      <w:proofErr w:type="gramEnd"/>
      <w:r>
        <w:t xml:space="preserve"> </w:t>
      </w:r>
      <w:r>
        <w:rPr>
          <w:i/>
        </w:rPr>
        <w:t>Urban Institute</w:t>
      </w:r>
      <w:r>
        <w:t xml:space="preserve">. Retrieved from </w:t>
      </w:r>
      <w:r>
        <w:rPr>
          <w:color w:val="0000FF"/>
          <w:u w:val="single" w:color="0000FF"/>
        </w:rPr>
        <w:t>http://www.urban.org/sites/default/files/publication/87951/college_mismatch_final_0.pdf</w:t>
      </w:r>
      <w:r>
        <w:t xml:space="preserve"> </w:t>
      </w:r>
    </w:p>
    <w:p w:rsidR="0023438A" w:rsidRDefault="00A02C86">
      <w:pPr>
        <w:spacing w:after="252" w:line="259" w:lineRule="auto"/>
        <w:ind w:left="435" w:right="777"/>
      </w:pPr>
      <w:r>
        <w:t xml:space="preserve">Rosen, R., </w:t>
      </w:r>
      <w:proofErr w:type="spellStart"/>
      <w:r>
        <w:t>Visher</w:t>
      </w:r>
      <w:proofErr w:type="spellEnd"/>
      <w:r>
        <w:t>, M., &amp; Beal, K. (2018). Career and technical education</w:t>
      </w:r>
      <w:r>
        <w:t xml:space="preserve">. Retrieved December </w:t>
      </w:r>
    </w:p>
    <w:p w:rsidR="0023438A" w:rsidRDefault="00A02C86">
      <w:pPr>
        <w:spacing w:after="252" w:line="259" w:lineRule="auto"/>
        <w:ind w:left="1170" w:right="777"/>
      </w:pPr>
      <w:r>
        <w:t xml:space="preserve">9, 2018, from https://www.mdrc.org/sites/default/files/CTE Paper-Final.pdf </w:t>
      </w:r>
    </w:p>
    <w:p w:rsidR="0023438A" w:rsidRDefault="00A02C86">
      <w:pPr>
        <w:spacing w:after="252" w:line="259" w:lineRule="auto"/>
        <w:ind w:left="435" w:right="777"/>
      </w:pPr>
      <w:proofErr w:type="spellStart"/>
      <w:r>
        <w:t>Saltikoff</w:t>
      </w:r>
      <w:proofErr w:type="spellEnd"/>
      <w:r>
        <w:t xml:space="preserve">, N. (2017). The positive implications of internships on early career outcomes. </w:t>
      </w:r>
      <w:r>
        <w:rPr>
          <w:i/>
        </w:rPr>
        <w:t xml:space="preserve">NACE </w:t>
      </w:r>
    </w:p>
    <w:p w:rsidR="0023438A" w:rsidRDefault="00A02C86">
      <w:pPr>
        <w:spacing w:after="252" w:line="259" w:lineRule="auto"/>
        <w:ind w:left="1170" w:right="777"/>
      </w:pPr>
      <w:r>
        <w:rPr>
          <w:i/>
        </w:rPr>
        <w:t>Journal</w:t>
      </w:r>
      <w:r>
        <w:t>, 77(4)</w:t>
      </w:r>
      <w:proofErr w:type="gramStart"/>
      <w:r>
        <w:t>,34</w:t>
      </w:r>
      <w:proofErr w:type="gramEnd"/>
      <w:r>
        <w:t xml:space="preserve">-40 </w:t>
      </w:r>
    </w:p>
    <w:p w:rsidR="0023438A" w:rsidRDefault="00A02C86">
      <w:pPr>
        <w:ind w:left="1145" w:right="777" w:hanging="720"/>
      </w:pPr>
      <w:proofErr w:type="spellStart"/>
      <w:r>
        <w:t>Santocito</w:t>
      </w:r>
      <w:proofErr w:type="spellEnd"/>
      <w:r>
        <w:t xml:space="preserve">, P. (2017) Renewed interest in </w:t>
      </w:r>
      <w:r>
        <w:t xml:space="preserve">apprenticeships. </w:t>
      </w:r>
      <w:r>
        <w:rPr>
          <w:i/>
        </w:rPr>
        <w:t xml:space="preserve">Learning &amp; Developing, Recruiting. </w:t>
      </w:r>
      <w:r>
        <w:t xml:space="preserve">Retrieved from https://hrdailyadvisor.blr.com/2017/08/08/renewed-interestapprenticeships/ </w:t>
      </w:r>
    </w:p>
    <w:p w:rsidR="0023438A" w:rsidRDefault="00A02C86">
      <w:pPr>
        <w:ind w:left="1145" w:right="777" w:hanging="720"/>
      </w:pPr>
      <w:r>
        <w:t xml:space="preserve">Shapiro, D., </w:t>
      </w:r>
      <w:proofErr w:type="spellStart"/>
      <w:r>
        <w:t>Dundar</w:t>
      </w:r>
      <w:proofErr w:type="spellEnd"/>
      <w:r>
        <w:t xml:space="preserve">, A., </w:t>
      </w:r>
      <w:proofErr w:type="spellStart"/>
      <w:r>
        <w:t>Huie</w:t>
      </w:r>
      <w:proofErr w:type="spellEnd"/>
      <w:r>
        <w:t xml:space="preserve">, F., </w:t>
      </w:r>
      <w:proofErr w:type="spellStart"/>
      <w:r>
        <w:t>Wakhungu</w:t>
      </w:r>
      <w:proofErr w:type="spellEnd"/>
      <w:r>
        <w:t xml:space="preserve">, P. K., </w:t>
      </w:r>
      <w:proofErr w:type="spellStart"/>
      <w:r>
        <w:t>Bhimdiwali</w:t>
      </w:r>
      <w:proofErr w:type="spellEnd"/>
      <w:r>
        <w:t xml:space="preserve">, A., Nathan, A., &amp; </w:t>
      </w:r>
      <w:proofErr w:type="spellStart"/>
      <w:r>
        <w:t>Youngsik</w:t>
      </w:r>
      <w:proofErr w:type="spellEnd"/>
      <w:r>
        <w:t>, H. (2018). Transfer a</w:t>
      </w:r>
      <w:r>
        <w:t xml:space="preserve">nd mobility: A national view of student movement in postsecondary institutions, </w:t>
      </w:r>
      <w:proofErr w:type="gramStart"/>
      <w:r>
        <w:t>Fall</w:t>
      </w:r>
      <w:proofErr w:type="gramEnd"/>
      <w:r>
        <w:t xml:space="preserve"> 2011 Cohort. (Signature Report No. 15). </w:t>
      </w:r>
      <w:r>
        <w:rPr>
          <w:i/>
        </w:rPr>
        <w:t xml:space="preserve">National Student </w:t>
      </w:r>
    </w:p>
    <w:p w:rsidR="0023438A" w:rsidRDefault="00A02C86">
      <w:pPr>
        <w:spacing w:after="244" w:line="267" w:lineRule="auto"/>
        <w:ind w:left="1170" w:right="715"/>
      </w:pPr>
      <w:r>
        <w:rPr>
          <w:i/>
        </w:rPr>
        <w:lastRenderedPageBreak/>
        <w:t>Clearinghouse</w:t>
      </w:r>
      <w:r>
        <w:t xml:space="preserve">. </w:t>
      </w:r>
    </w:p>
    <w:p w:rsidR="0023438A" w:rsidRDefault="00A02C86">
      <w:pPr>
        <w:spacing w:after="252" w:line="259" w:lineRule="auto"/>
        <w:ind w:left="435" w:right="777"/>
      </w:pPr>
      <w:proofErr w:type="spellStart"/>
      <w:r>
        <w:t>Sigelman</w:t>
      </w:r>
      <w:proofErr w:type="spellEnd"/>
      <w:r>
        <w:t xml:space="preserve">, M., </w:t>
      </w:r>
      <w:proofErr w:type="spellStart"/>
      <w:r>
        <w:t>Taska</w:t>
      </w:r>
      <w:proofErr w:type="spellEnd"/>
      <w:r>
        <w:t xml:space="preserve">, B., </w:t>
      </w:r>
      <w:proofErr w:type="spellStart"/>
      <w:r>
        <w:t>Restuccia</w:t>
      </w:r>
      <w:proofErr w:type="spellEnd"/>
      <w:r>
        <w:t xml:space="preserve">, D., Braganza, S., &amp; </w:t>
      </w:r>
      <w:proofErr w:type="spellStart"/>
      <w:r>
        <w:t>Bittle</w:t>
      </w:r>
      <w:proofErr w:type="spellEnd"/>
      <w:r>
        <w:t xml:space="preserve">, S. (2018). Majors that matter: </w:t>
      </w:r>
    </w:p>
    <w:p w:rsidR="0023438A" w:rsidRDefault="00A02C86">
      <w:pPr>
        <w:spacing w:after="0" w:line="476" w:lineRule="auto"/>
        <w:ind w:left="1155" w:right="630"/>
      </w:pPr>
      <w:r>
        <w:t>E</w:t>
      </w:r>
      <w:r>
        <w:t xml:space="preserve">nsuring college graduates avoid underemployment. </w:t>
      </w:r>
      <w:r>
        <w:rPr>
          <w:i/>
        </w:rPr>
        <w:t xml:space="preserve">Burning Glass Technologies. </w:t>
      </w:r>
      <w:r>
        <w:t xml:space="preserve">Retrieved online October 20, 2019 from </w:t>
      </w:r>
      <w:r>
        <w:rPr>
          <w:u w:val="single" w:color="000000"/>
        </w:rPr>
        <w:t>https://www.burning-glass.com/wpcontent/uploads/underemployment_majors_that_matter_final.pdf</w:t>
      </w:r>
      <w:r>
        <w:t xml:space="preserve"> </w:t>
      </w:r>
    </w:p>
    <w:p w:rsidR="0023438A" w:rsidRDefault="00A02C86">
      <w:pPr>
        <w:ind w:left="1145" w:right="777" w:hanging="720"/>
      </w:pPr>
      <w:r>
        <w:t xml:space="preserve">Silva, P., Lopes, B., Costa, M., </w:t>
      </w:r>
      <w:proofErr w:type="spellStart"/>
      <w:r>
        <w:t>Melo</w:t>
      </w:r>
      <w:proofErr w:type="spellEnd"/>
      <w:r>
        <w:t xml:space="preserve">, A. I., </w:t>
      </w:r>
      <w:r>
        <w:t xml:space="preserve">Dias, G. P., </w:t>
      </w:r>
      <w:proofErr w:type="spellStart"/>
      <w:r>
        <w:t>Brito</w:t>
      </w:r>
      <w:proofErr w:type="spellEnd"/>
      <w:r>
        <w:t xml:space="preserve">, E., &amp; </w:t>
      </w:r>
      <w:proofErr w:type="spellStart"/>
      <w:r>
        <w:t>Seabra</w:t>
      </w:r>
      <w:proofErr w:type="spellEnd"/>
      <w:r>
        <w:t xml:space="preserve">, D. (2016). The million-dollar question: can internships boost employment? </w:t>
      </w:r>
      <w:r>
        <w:rPr>
          <w:i/>
        </w:rPr>
        <w:t>Studies in Higher Education</w:t>
      </w:r>
      <w:proofErr w:type="gramStart"/>
      <w:r>
        <w:t xml:space="preserve">,  </w:t>
      </w:r>
      <w:r>
        <w:rPr>
          <w:i/>
        </w:rPr>
        <w:t>20</w:t>
      </w:r>
      <w:proofErr w:type="gramEnd"/>
      <w:r>
        <w:rPr>
          <w:i/>
        </w:rPr>
        <w:t xml:space="preserve">(1), </w:t>
      </w:r>
      <w:r>
        <w:t xml:space="preserve">2. </w:t>
      </w:r>
    </w:p>
    <w:p w:rsidR="0023438A" w:rsidRDefault="00A02C86">
      <w:pPr>
        <w:ind w:left="1145" w:right="777" w:hanging="720"/>
      </w:pPr>
      <w:r>
        <w:t>Snell, A</w:t>
      </w:r>
      <w:proofErr w:type="gramStart"/>
      <w:r>
        <w:t>. ,</w:t>
      </w:r>
      <w:proofErr w:type="gramEnd"/>
      <w:r>
        <w:t xml:space="preserve"> Voss, J. , Kline, J. (2017). Attitudes towards apprenticeship programs. New America and Lake Re</w:t>
      </w:r>
      <w:r>
        <w:t xml:space="preserve">search </w:t>
      </w:r>
      <w:proofErr w:type="gramStart"/>
      <w:r>
        <w:t>Partners .</w:t>
      </w:r>
      <w:proofErr w:type="gramEnd"/>
      <w:r>
        <w:t xml:space="preserve"> </w:t>
      </w:r>
      <w:proofErr w:type="spellStart"/>
      <w:r>
        <w:t>Retreived</w:t>
      </w:r>
      <w:proofErr w:type="spellEnd"/>
      <w:r>
        <w:t xml:space="preserve"> </w:t>
      </w:r>
      <w:proofErr w:type="gramStart"/>
      <w:r>
        <w:t>from  https</w:t>
      </w:r>
      <w:proofErr w:type="gramEnd"/>
      <w:r>
        <w:t xml:space="preserve">://na-production.s3.amazonaws.com/ documents/report.New_America.omnibus.F.2017.08.17.pdf. </w:t>
      </w:r>
    </w:p>
    <w:p w:rsidR="0023438A" w:rsidRDefault="00A02C86">
      <w:pPr>
        <w:spacing w:after="0" w:line="476" w:lineRule="auto"/>
        <w:ind w:left="1160" w:right="630" w:hanging="720"/>
      </w:pPr>
      <w:proofErr w:type="spellStart"/>
      <w:r>
        <w:t>Spiker</w:t>
      </w:r>
      <w:proofErr w:type="spellEnd"/>
      <w:r>
        <w:t xml:space="preserve">, K. (2019). Partnering up. </w:t>
      </w:r>
      <w:r>
        <w:rPr>
          <w:i/>
        </w:rPr>
        <w:t xml:space="preserve">National Skills Coalition. </w:t>
      </w:r>
      <w:r>
        <w:t xml:space="preserve">Retrieved online September 29, 2019 from </w:t>
      </w:r>
      <w:r>
        <w:rPr>
          <w:u w:val="single" w:color="000000"/>
        </w:rPr>
        <w:t>https://www.nationalskillscoalition.org/resources/publications/file/Partnering-Up-</w:t>
      </w:r>
    </w:p>
    <w:p w:rsidR="0023438A" w:rsidRDefault="00A02C86">
      <w:pPr>
        <w:spacing w:after="249" w:line="259" w:lineRule="auto"/>
        <w:ind w:left="1155" w:right="630"/>
      </w:pPr>
      <w:r>
        <w:rPr>
          <w:u w:val="single" w:color="000000"/>
        </w:rPr>
        <w:t>Brief-FIN-LOW-RES.pdf</w:t>
      </w:r>
      <w:r>
        <w:t xml:space="preserve"> </w:t>
      </w:r>
    </w:p>
    <w:p w:rsidR="0023438A" w:rsidRDefault="00A02C86">
      <w:pPr>
        <w:ind w:left="1145" w:right="777" w:hanging="720"/>
      </w:pPr>
      <w:proofErr w:type="spellStart"/>
      <w:r>
        <w:t>Stirling</w:t>
      </w:r>
      <w:proofErr w:type="spellEnd"/>
      <w:r>
        <w:t xml:space="preserve">, A., Kerr, G., MacPherson, E., </w:t>
      </w:r>
      <w:proofErr w:type="spellStart"/>
      <w:r>
        <w:t>Banwell</w:t>
      </w:r>
      <w:proofErr w:type="spellEnd"/>
      <w:r>
        <w:t xml:space="preserve">, J., </w:t>
      </w:r>
      <w:proofErr w:type="spellStart"/>
      <w:r>
        <w:t>Bandealy</w:t>
      </w:r>
      <w:proofErr w:type="spellEnd"/>
      <w:r>
        <w:t>, A., &amp;</w:t>
      </w:r>
      <w:r>
        <w:t xml:space="preserve"> </w:t>
      </w:r>
      <w:proofErr w:type="spellStart"/>
      <w:r>
        <w:t>Battaglia</w:t>
      </w:r>
      <w:proofErr w:type="spellEnd"/>
      <w:r>
        <w:t xml:space="preserve">, A. (2017). Do postsecondary internships address the four learning modes of experiential learning theory? An exploration through document analysis. </w:t>
      </w:r>
      <w:r>
        <w:rPr>
          <w:i/>
        </w:rPr>
        <w:t>Canadian Journal of Higher Education</w:t>
      </w:r>
      <w:r>
        <w:t xml:space="preserve">, </w:t>
      </w:r>
      <w:r>
        <w:rPr>
          <w:i/>
        </w:rPr>
        <w:t>47</w:t>
      </w:r>
      <w:r>
        <w:t xml:space="preserve">(1), 27-48. </w:t>
      </w:r>
    </w:p>
    <w:p w:rsidR="0023438A" w:rsidRDefault="00A02C86">
      <w:pPr>
        <w:spacing w:after="0" w:line="476" w:lineRule="auto"/>
        <w:ind w:left="1160" w:right="630" w:hanging="720"/>
      </w:pPr>
      <w:r>
        <w:t>State University of New York. (2019). The SU</w:t>
      </w:r>
      <w:r>
        <w:t xml:space="preserve">NY applied learning initiative. Retrieved September 29, 2019 from </w:t>
      </w:r>
      <w:r>
        <w:rPr>
          <w:u w:val="single" w:color="000000"/>
        </w:rPr>
        <w:t>https://www.suny.edu/media/suny/contentassets/documents/applied-learning/SUNY-AppliedLearningInititiative-Snapshot.pdf</w:t>
      </w:r>
      <w:r>
        <w:t xml:space="preserve">.  </w:t>
      </w:r>
    </w:p>
    <w:p w:rsidR="0023438A" w:rsidRDefault="00A02C86">
      <w:pPr>
        <w:ind w:left="1145" w:right="777" w:hanging="720"/>
      </w:pPr>
      <w:r>
        <w:t xml:space="preserve">Steinberg, S. &amp; </w:t>
      </w:r>
      <w:proofErr w:type="spellStart"/>
      <w:r>
        <w:t>Gurwitz</w:t>
      </w:r>
      <w:proofErr w:type="spellEnd"/>
      <w:r>
        <w:t xml:space="preserve">, E. (2014) </w:t>
      </w:r>
      <w:proofErr w:type="gramStart"/>
      <w:r>
        <w:t>The</w:t>
      </w:r>
      <w:proofErr w:type="gramEnd"/>
      <w:r>
        <w:t xml:space="preserve"> underuse of apprenticeships i</w:t>
      </w:r>
      <w:r>
        <w:t xml:space="preserve">n America. Center for American Progress. Retrieved online September 5, 2019 from </w:t>
      </w:r>
      <w:r>
        <w:rPr>
          <w:u w:val="single" w:color="000000"/>
        </w:rPr>
        <w:t>https://www.americanprogress.org/issues/economy/news/2014/07/22/93932/theunderuse-of-apprenticeships-in-america/</w:t>
      </w:r>
      <w:r>
        <w:t xml:space="preserve"> </w:t>
      </w:r>
    </w:p>
    <w:p w:rsidR="0023438A" w:rsidRDefault="00A02C86">
      <w:pPr>
        <w:spacing w:after="252" w:line="259" w:lineRule="auto"/>
        <w:ind w:left="435" w:right="777"/>
      </w:pPr>
      <w:r>
        <w:lastRenderedPageBreak/>
        <w:t>Stone, J. (2017) Introduction to pathways to a productive adu</w:t>
      </w:r>
      <w:r>
        <w:t xml:space="preserve">lthood: The role of CTE in the </w:t>
      </w:r>
    </w:p>
    <w:p w:rsidR="0023438A" w:rsidRDefault="00A02C86">
      <w:pPr>
        <w:spacing w:after="252" w:line="259" w:lineRule="auto"/>
        <w:ind w:left="1170" w:right="777"/>
      </w:pPr>
      <w:r>
        <w:t xml:space="preserve">American high school, </w:t>
      </w:r>
      <w:r>
        <w:rPr>
          <w:i/>
        </w:rPr>
        <w:t>Peabody Journal of Education</w:t>
      </w:r>
      <w:r>
        <w:t xml:space="preserve">, </w:t>
      </w:r>
      <w:r>
        <w:rPr>
          <w:i/>
        </w:rPr>
        <w:t>92</w:t>
      </w:r>
      <w:r>
        <w:t xml:space="preserve">:2, 155-165,   </w:t>
      </w:r>
    </w:p>
    <w:p w:rsidR="0023438A" w:rsidRDefault="00A02C86">
      <w:pPr>
        <w:spacing w:after="252" w:line="259" w:lineRule="auto"/>
        <w:ind w:left="1170" w:right="777"/>
      </w:pPr>
      <w:r>
        <w:t xml:space="preserve">DOI: 10.1080/0161956X.2017.1302207 </w:t>
      </w:r>
    </w:p>
    <w:p w:rsidR="0023438A" w:rsidRDefault="00A02C86">
      <w:pPr>
        <w:ind w:left="1145" w:right="777" w:hanging="720"/>
      </w:pPr>
      <w:proofErr w:type="spellStart"/>
      <w:r>
        <w:t>Strada</w:t>
      </w:r>
      <w:proofErr w:type="spellEnd"/>
      <w:r>
        <w:t xml:space="preserve"> Education Network. (2018). </w:t>
      </w:r>
      <w:proofErr w:type="gramStart"/>
      <w:r>
        <w:t>From</w:t>
      </w:r>
      <w:proofErr w:type="gramEnd"/>
      <w:r>
        <w:t xml:space="preserve"> college to life: Relevance and the value of higher education. Retrieved online </w:t>
      </w:r>
      <w:r>
        <w:t xml:space="preserve">June 11, 2019 </w:t>
      </w:r>
      <w:proofErr w:type="gramStart"/>
      <w:r>
        <w:t xml:space="preserve">from  </w:t>
      </w:r>
      <w:r>
        <w:rPr>
          <w:u w:val="single" w:color="000000"/>
        </w:rPr>
        <w:t>https</w:t>
      </w:r>
      <w:proofErr w:type="gramEnd"/>
      <w:r>
        <w:rPr>
          <w:u w:val="single" w:color="000000"/>
        </w:rPr>
        <w:t>://stradaeducation.gallup.com/reports/232583/from-college-to-life-part- 2</w:t>
      </w:r>
      <w:r>
        <w:t xml:space="preserve"> </w:t>
      </w:r>
      <w:proofErr w:type="spellStart"/>
      <w:r>
        <w:t>Symonds,W</w:t>
      </w:r>
      <w:proofErr w:type="spellEnd"/>
      <w:r>
        <w:t xml:space="preserve">., Schwartz, R., &amp; Ferguson, R. (2011). Pathways to prosperity: Meeting the challenge of preparing young Americans for the 21st century. Cambridge, </w:t>
      </w:r>
      <w:r>
        <w:t xml:space="preserve">MA: Pathways to Prosperity Project, Harvard University Graduate School of Education. </w:t>
      </w:r>
    </w:p>
    <w:p w:rsidR="0023438A" w:rsidRDefault="00A02C86">
      <w:pPr>
        <w:spacing w:after="0" w:line="476" w:lineRule="auto"/>
        <w:ind w:left="277" w:right="590"/>
        <w:jc w:val="center"/>
      </w:pPr>
      <w:proofErr w:type="spellStart"/>
      <w:r>
        <w:t>Threeton</w:t>
      </w:r>
      <w:proofErr w:type="spellEnd"/>
      <w:r>
        <w:t xml:space="preserve">, M. D. (2007). The Carl D. Perkins Career and Technical Education (CTE) Act of 2006 and the roles and responsibilities of CTE teachers and faculty members. </w:t>
      </w:r>
      <w:r>
        <w:rPr>
          <w:i/>
        </w:rPr>
        <w:t>Journ</w:t>
      </w:r>
      <w:r>
        <w:rPr>
          <w:i/>
        </w:rPr>
        <w:t xml:space="preserve">al of </w:t>
      </w:r>
    </w:p>
    <w:p w:rsidR="0023438A" w:rsidRDefault="00A02C86">
      <w:pPr>
        <w:spacing w:after="244" w:line="267" w:lineRule="auto"/>
        <w:ind w:left="1170" w:right="715"/>
      </w:pPr>
      <w:r>
        <w:rPr>
          <w:i/>
        </w:rPr>
        <w:t>Industrial Teacher Education</w:t>
      </w:r>
      <w:r>
        <w:t xml:space="preserve">, </w:t>
      </w:r>
      <w:r>
        <w:rPr>
          <w:i/>
        </w:rPr>
        <w:t>44</w:t>
      </w:r>
      <w:r>
        <w:t xml:space="preserve">(1), 66–82. </w:t>
      </w:r>
    </w:p>
    <w:p w:rsidR="0023438A" w:rsidRDefault="00A02C86">
      <w:pPr>
        <w:spacing w:after="252" w:line="259" w:lineRule="auto"/>
        <w:ind w:left="435" w:right="777"/>
      </w:pPr>
      <w:r>
        <w:t xml:space="preserve">U.S. Department of Labor. (2019). Apprenticeship history and Fitzgerald act. Retrieved online </w:t>
      </w:r>
    </w:p>
    <w:p w:rsidR="0023438A" w:rsidRDefault="00A02C86">
      <w:pPr>
        <w:spacing w:after="252" w:line="259" w:lineRule="auto"/>
        <w:ind w:left="1170" w:right="777"/>
      </w:pPr>
      <w:r>
        <w:t xml:space="preserve">June 19, 2019 from https://www.doleta.gov/oa/history.cfm#original </w:t>
      </w:r>
    </w:p>
    <w:p w:rsidR="0023438A" w:rsidRDefault="00A02C86">
      <w:pPr>
        <w:ind w:left="1145" w:right="777" w:hanging="720"/>
      </w:pPr>
      <w:r>
        <w:t xml:space="preserve">U.S. Department of Labor. (2016). </w:t>
      </w:r>
      <w:proofErr w:type="gramStart"/>
      <w:r>
        <w:t>The</w:t>
      </w:r>
      <w:proofErr w:type="gramEnd"/>
      <w:r>
        <w:t xml:space="preserve"> work</w:t>
      </w:r>
      <w:r>
        <w:t xml:space="preserve">force innovation and opportunity act: Advancing apprenticeship as a workforce strategy. Retrieved online June 19, 2019 from </w:t>
      </w:r>
      <w:r>
        <w:rPr>
          <w:u w:val="single" w:color="000000"/>
        </w:rPr>
        <w:t>https://www.dol.gov/apprenticeship/docs/WIOA-RA-Fact-Sheet.pdf</w:t>
      </w:r>
      <w:r>
        <w:t xml:space="preserve"> </w:t>
      </w:r>
    </w:p>
    <w:p w:rsidR="0023438A" w:rsidRDefault="00A02C86">
      <w:pPr>
        <w:ind w:left="1145" w:right="777" w:hanging="720"/>
      </w:pPr>
      <w:proofErr w:type="spellStart"/>
      <w:r>
        <w:t>Vedder</w:t>
      </w:r>
      <w:proofErr w:type="spellEnd"/>
      <w:r>
        <w:t xml:space="preserve">, R., </w:t>
      </w:r>
      <w:proofErr w:type="spellStart"/>
      <w:r>
        <w:t>Denhart</w:t>
      </w:r>
      <w:proofErr w:type="spellEnd"/>
      <w:r>
        <w:t xml:space="preserve">, C. &amp; Robe, J. (2013). Why </w:t>
      </w:r>
      <w:proofErr w:type="gramStart"/>
      <w:r>
        <w:t>are recent college</w:t>
      </w:r>
      <w:proofErr w:type="gramEnd"/>
      <w:r>
        <w:t xml:space="preserve"> gr</w:t>
      </w:r>
      <w:r>
        <w:t xml:space="preserve">aduates underemployed? </w:t>
      </w:r>
      <w:r>
        <w:rPr>
          <w:i/>
        </w:rPr>
        <w:t xml:space="preserve">University Enrollments and Labor-Market Realities. </w:t>
      </w:r>
      <w:r>
        <w:t xml:space="preserve">Washington, DC: Center for College Affordability and Productivity. </w:t>
      </w:r>
    </w:p>
    <w:p w:rsidR="0023438A" w:rsidRDefault="00A02C86">
      <w:pPr>
        <w:spacing w:after="252" w:line="259" w:lineRule="auto"/>
        <w:ind w:left="435" w:right="777"/>
      </w:pPr>
      <w:r>
        <w:t xml:space="preserve">West Virginia Department of Education (2019). Simulated workplace. Retrieved online June 2, </w:t>
      </w:r>
    </w:p>
    <w:p w:rsidR="0023438A" w:rsidRDefault="00A02C86">
      <w:pPr>
        <w:spacing w:after="249" w:line="259" w:lineRule="auto"/>
        <w:ind w:left="1155" w:right="630"/>
      </w:pPr>
      <w:r>
        <w:t xml:space="preserve">2019 </w:t>
      </w:r>
      <w:r>
        <w:rPr>
          <w:u w:val="single" w:color="000000"/>
        </w:rPr>
        <w:t>https://wvde.us/simulated-workplace/</w:t>
      </w:r>
      <w:r>
        <w:t xml:space="preserve">.  </w:t>
      </w:r>
    </w:p>
    <w:p w:rsidR="0023438A" w:rsidRDefault="00A02C86">
      <w:pPr>
        <w:spacing w:after="252" w:line="259" w:lineRule="auto"/>
        <w:ind w:left="435" w:right="777"/>
      </w:pPr>
      <w:proofErr w:type="spellStart"/>
      <w:r>
        <w:t>Zessoules</w:t>
      </w:r>
      <w:proofErr w:type="spellEnd"/>
      <w:r>
        <w:t xml:space="preserve">, D., &amp; </w:t>
      </w:r>
      <w:proofErr w:type="spellStart"/>
      <w:r>
        <w:t>Ajilore</w:t>
      </w:r>
      <w:proofErr w:type="spellEnd"/>
      <w:r>
        <w:t xml:space="preserve">, O. (2018). Wage Gaps and Outcomes in Apprenticeship Programs: The </w:t>
      </w:r>
    </w:p>
    <w:p w:rsidR="0023438A" w:rsidRDefault="00A02C86" w:rsidP="003E09E2">
      <w:pPr>
        <w:spacing w:after="244" w:line="267" w:lineRule="auto"/>
        <w:ind w:left="925" w:right="715"/>
      </w:pPr>
      <w:r>
        <w:t>Effects of Gender, Race, and Region.</w:t>
      </w:r>
      <w:r>
        <w:rPr>
          <w:i/>
        </w:rPr>
        <w:t xml:space="preserve"> Washington: Center for American Progress</w:t>
      </w:r>
      <w:r>
        <w:t xml:space="preserve">. </w:t>
      </w:r>
      <w:r>
        <w:rPr>
          <w:b/>
        </w:rPr>
        <w:t xml:space="preserve"> </w:t>
      </w:r>
    </w:p>
    <w:p w:rsidR="0023438A" w:rsidRDefault="00A02C86">
      <w:pPr>
        <w:spacing w:after="0" w:line="259" w:lineRule="auto"/>
        <w:ind w:left="0" w:right="280" w:firstLine="0"/>
        <w:jc w:val="center"/>
      </w:pPr>
      <w:r>
        <w:rPr>
          <w:b/>
        </w:rPr>
        <w:t xml:space="preserve"> </w:t>
      </w:r>
    </w:p>
    <w:p w:rsidR="0023438A" w:rsidRDefault="00A02C86">
      <w:pPr>
        <w:spacing w:after="0" w:line="259" w:lineRule="auto"/>
        <w:ind w:left="0" w:right="280" w:firstLine="0"/>
        <w:jc w:val="center"/>
      </w:pPr>
      <w:r>
        <w:rPr>
          <w:b/>
        </w:rPr>
        <w:t xml:space="preserve"> </w:t>
      </w:r>
    </w:p>
    <w:p w:rsidR="0023438A" w:rsidRDefault="00A02C86">
      <w:pPr>
        <w:spacing w:after="0" w:line="259" w:lineRule="auto"/>
        <w:ind w:left="0" w:right="280" w:firstLine="0"/>
        <w:jc w:val="center"/>
      </w:pPr>
      <w:r>
        <w:rPr>
          <w:b/>
        </w:rPr>
        <w:t xml:space="preserve"> </w:t>
      </w:r>
    </w:p>
    <w:p w:rsidR="0023438A" w:rsidRDefault="00A02C86">
      <w:pPr>
        <w:spacing w:after="0" w:line="259" w:lineRule="auto"/>
        <w:ind w:left="0" w:right="5400" w:firstLine="0"/>
        <w:jc w:val="right"/>
      </w:pPr>
      <w:r>
        <w:rPr>
          <w:b/>
        </w:rPr>
        <w:lastRenderedPageBreak/>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2" w:line="259" w:lineRule="auto"/>
        <w:ind w:left="440" w:firstLine="0"/>
      </w:pPr>
      <w:r>
        <w:t xml:space="preserve"> </w:t>
      </w:r>
    </w:p>
    <w:p w:rsidR="0023438A" w:rsidRDefault="00A02C86">
      <w:pPr>
        <w:spacing w:after="256" w:line="259" w:lineRule="auto"/>
        <w:ind w:left="440" w:firstLine="0"/>
      </w:pPr>
      <w: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pPr>
        <w:spacing w:after="0" w:line="259" w:lineRule="auto"/>
        <w:ind w:left="0" w:right="5400" w:firstLine="0"/>
        <w:jc w:val="right"/>
      </w:pPr>
      <w:r>
        <w:rPr>
          <w:b/>
        </w:rPr>
        <w:t xml:space="preserve"> </w:t>
      </w:r>
    </w:p>
    <w:p w:rsidR="0023438A" w:rsidRDefault="00A02C86" w:rsidP="003E09E2">
      <w:pPr>
        <w:spacing w:after="0" w:line="259" w:lineRule="auto"/>
        <w:ind w:left="0" w:right="5400" w:firstLine="0"/>
      </w:pPr>
      <w:r>
        <w:rPr>
          <w:b/>
        </w:rPr>
        <w:t xml:space="preserve"> </w:t>
      </w:r>
    </w:p>
    <w:p w:rsidR="0023438A" w:rsidRDefault="0023438A">
      <w:pPr>
        <w:spacing w:after="0" w:line="259" w:lineRule="auto"/>
        <w:ind w:left="0" w:right="5400" w:firstLine="0"/>
        <w:jc w:val="right"/>
      </w:pPr>
    </w:p>
    <w:sectPr w:rsidR="0023438A" w:rsidSect="003E09E2">
      <w:headerReference w:type="even" r:id="rId14"/>
      <w:headerReference w:type="default" r:id="rId15"/>
      <w:headerReference w:type="first" r:id="rId16"/>
      <w:pgSz w:w="12240" w:h="15840"/>
      <w:pgMar w:top="1440" w:right="660" w:bottom="83" w:left="1000" w:header="71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C86" w:rsidRDefault="00A02C86">
      <w:pPr>
        <w:spacing w:after="0" w:line="240" w:lineRule="auto"/>
      </w:pPr>
      <w:r>
        <w:separator/>
      </w:r>
    </w:p>
  </w:endnote>
  <w:endnote w:type="continuationSeparator" w:id="0">
    <w:p w:rsidR="00A02C86" w:rsidRDefault="00A02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C86" w:rsidRDefault="00A02C86">
      <w:pPr>
        <w:spacing w:after="0" w:line="240" w:lineRule="auto"/>
      </w:pPr>
      <w:r>
        <w:separator/>
      </w:r>
    </w:p>
  </w:footnote>
  <w:footnote w:type="continuationSeparator" w:id="0">
    <w:p w:rsidR="00A02C86" w:rsidRDefault="00A02C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A02C86">
    <w:pPr>
      <w:tabs>
        <w:tab w:val="center" w:pos="4607"/>
        <w:tab w:val="center" w:pos="9342"/>
      </w:tabs>
      <w:spacing w:after="95" w:line="259" w:lineRule="auto"/>
      <w:ind w:left="0" w:firstLine="0"/>
    </w:pPr>
    <w:r>
      <w:rPr>
        <w:rFonts w:ascii="Calibri" w:eastAsia="Calibri" w:hAnsi="Calibri" w:cs="Calibri"/>
        <w:sz w:val="22"/>
      </w:rPr>
      <w:tab/>
    </w:r>
    <w:r>
      <w:t xml:space="preserve">Running head: HIGHER EDUCATION AND APPRENTICESHIP ALIGNMENT        </w:t>
    </w:r>
    <w:r>
      <w:tab/>
    </w:r>
    <w:r>
      <w:fldChar w:fldCharType="begin"/>
    </w:r>
    <w:r>
      <w:instrText xml:space="preserve"> PAGE   \* MERGEFORMAT </w:instrText>
    </w:r>
    <w:r>
      <w:fldChar w:fldCharType="separate"/>
    </w:r>
    <w:r>
      <w:t>2</w:t>
    </w:r>
    <w:r>
      <w:fldChar w:fldCharType="end"/>
    </w:r>
    <w:r>
      <w:t xml:space="preserve"> </w:t>
    </w:r>
  </w:p>
  <w:p w:rsidR="0023438A" w:rsidRDefault="00A02C86">
    <w:pPr>
      <w:spacing w:after="0" w:line="259" w:lineRule="auto"/>
      <w:ind w:left="643" w:firstLine="0"/>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A02C86">
    <w:pPr>
      <w:tabs>
        <w:tab w:val="center" w:pos="4607"/>
        <w:tab w:val="center" w:pos="9342"/>
      </w:tabs>
      <w:spacing w:after="95" w:line="259" w:lineRule="auto"/>
      <w:ind w:left="0" w:firstLine="0"/>
    </w:pPr>
    <w:r>
      <w:rPr>
        <w:rFonts w:ascii="Calibri" w:eastAsia="Calibri" w:hAnsi="Calibri" w:cs="Calibri"/>
        <w:sz w:val="22"/>
      </w:rPr>
      <w:tab/>
    </w:r>
    <w:r>
      <w:t xml:space="preserve">Running head: HIGHER EDUCATION AND APPRENTICESHIP ALIGNMENT        </w:t>
    </w:r>
    <w:r>
      <w:tab/>
    </w:r>
    <w:r>
      <w:fldChar w:fldCharType="begin"/>
    </w:r>
    <w:r>
      <w:instrText xml:space="preserve"> PAGE   \* MERGEFORMAT </w:instrText>
    </w:r>
    <w:r>
      <w:fldChar w:fldCharType="separate"/>
    </w:r>
    <w:r w:rsidR="003E09E2">
      <w:rPr>
        <w:noProof/>
      </w:rPr>
      <w:t>1</w:t>
    </w:r>
    <w:r>
      <w:fldChar w:fldCharType="end"/>
    </w:r>
    <w:r>
      <w:t xml:space="preserve"> </w:t>
    </w:r>
  </w:p>
  <w:p w:rsidR="0023438A" w:rsidRDefault="00A02C86">
    <w:pPr>
      <w:spacing w:after="0" w:line="259" w:lineRule="auto"/>
      <w:ind w:left="643" w:firstLine="0"/>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23438A">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A02C86">
    <w:pPr>
      <w:tabs>
        <w:tab w:val="center" w:pos="7200"/>
        <w:tab w:val="center" w:pos="8340"/>
      </w:tabs>
      <w:spacing w:after="0" w:line="259" w:lineRule="auto"/>
      <w:ind w:left="0" w:firstLine="0"/>
    </w:pPr>
    <w:r>
      <w:t xml:space="preserve">HIGHER EDUCATION AND APPRENTICESHIP ALIGNMENT    </w:t>
    </w:r>
    <w:r>
      <w:tab/>
      <w:t xml:space="preserve"> </w:t>
    </w:r>
    <w:r>
      <w:tab/>
      <w:t xml:space="preserve">            </w:t>
    </w:r>
    <w:r>
      <w:fldChar w:fldCharType="begin"/>
    </w:r>
    <w:r>
      <w:instrText xml:space="preserve"> PAGE   \* MERGEFORMAT </w:instrText>
    </w:r>
    <w:r>
      <w:fldChar w:fldCharType="separate"/>
    </w:r>
    <w:r>
      <w:t>5</w:t>
    </w:r>
    <w:r>
      <w:fldChar w:fldCharType="end"/>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Pr="003E09E2" w:rsidRDefault="0023438A" w:rsidP="003E09E2">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A02C86">
    <w:pPr>
      <w:tabs>
        <w:tab w:val="center" w:pos="7200"/>
        <w:tab w:val="center" w:pos="8340"/>
      </w:tabs>
      <w:spacing w:after="0" w:line="259" w:lineRule="auto"/>
      <w:ind w:left="0" w:firstLine="0"/>
    </w:pPr>
    <w:r>
      <w:t xml:space="preserve">HIGHER EDUCATION AND APPRENTICESHIP ALIGNMENT    </w:t>
    </w:r>
    <w:r>
      <w:tab/>
      <w:t xml:space="preserve"> </w:t>
    </w:r>
    <w:r>
      <w:tab/>
      <w:t xml:space="preserve">            </w:t>
    </w:r>
    <w:r>
      <w:fldChar w:fldCharType="begin"/>
    </w:r>
    <w:r>
      <w:instrText xml:space="preserve"> PAGE   \* MERGEFORMAT </w:instrText>
    </w:r>
    <w:r>
      <w:fldChar w:fldCharType="separate"/>
    </w:r>
    <w:r>
      <w:t>5</w:t>
    </w:r>
    <w:r>
      <w:fldChar w:fldCharType="end"/>
    </w:r>
    <w: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Default="00A02C86">
    <w:pPr>
      <w:tabs>
        <w:tab w:val="center" w:pos="3670"/>
        <w:tab w:val="center" w:pos="7639"/>
        <w:tab w:val="center" w:pos="8840"/>
      </w:tabs>
      <w:spacing w:after="0" w:line="259" w:lineRule="auto"/>
      <w:ind w:left="0" w:firstLine="0"/>
    </w:pPr>
    <w:r>
      <w:rPr>
        <w:rFonts w:ascii="Calibri" w:eastAsia="Calibri" w:hAnsi="Calibri" w:cs="Calibri"/>
        <w:sz w:val="22"/>
      </w:rPr>
      <w:tab/>
    </w:r>
    <w:r>
      <w:t xml:space="preserve">HIGHER EDUCATION AND APPRENTICESHIP ALIGNMENT    </w:t>
    </w:r>
    <w:r>
      <w:tab/>
      <w:t xml:space="preserve"> </w:t>
    </w:r>
    <w:r>
      <w:tab/>
      <w:t xml:space="preserve">            </w:t>
    </w:r>
    <w:r>
      <w:fldChar w:fldCharType="begin"/>
    </w:r>
    <w:r>
      <w:instrText xml:space="preserve"> PAGE   \* MERGEFORMAT </w:instrText>
    </w:r>
    <w:r>
      <w:fldChar w:fldCharType="separate"/>
    </w:r>
    <w:r>
      <w:t>12</w:t>
    </w:r>
    <w:r>
      <w:fldChar w:fldCharType="end"/>
    </w:r>
    <w: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Pr="003E09E2" w:rsidRDefault="0023438A" w:rsidP="003E09E2">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38A" w:rsidRPr="003E09E2" w:rsidRDefault="00A02C86" w:rsidP="003E09E2">
    <w:pPr>
      <w:pStyle w:val="Header"/>
    </w:pPr>
    <w:r w:rsidRPr="003E09E2">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E5BCD"/>
    <w:multiLevelType w:val="hybridMultilevel"/>
    <w:tmpl w:val="0CDCD31E"/>
    <w:lvl w:ilvl="0" w:tplc="BB7AAB02">
      <w:numFmt w:val="decimal"/>
      <w:lvlText w:val="%1"/>
      <w:lvlJc w:val="left"/>
      <w:pPr>
        <w:ind w:left="53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FEEE7312">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15B661DE">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ECA8906C">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0B9220EA">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271A7878">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F8A6BA24">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5C25E56">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7422B6A0">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nsid w:val="0FF71DCB"/>
    <w:multiLevelType w:val="hybridMultilevel"/>
    <w:tmpl w:val="675A5294"/>
    <w:lvl w:ilvl="0" w:tplc="4D344386">
      <w:start w:val="1"/>
      <w:numFmt w:val="decimal"/>
      <w:lvlText w:val="%1."/>
      <w:lvlJc w:val="left"/>
      <w:pPr>
        <w:ind w:left="1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D6D0C4">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8C95A2">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FE6420">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B25D38">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A2A88A">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128E6E">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827482">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C4DC4A">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228C0E33"/>
    <w:multiLevelType w:val="hybridMultilevel"/>
    <w:tmpl w:val="EF0079CA"/>
    <w:lvl w:ilvl="0" w:tplc="B6427474">
      <w:start w:val="1"/>
      <w:numFmt w:val="decimal"/>
      <w:lvlText w:val="%1."/>
      <w:lvlJc w:val="left"/>
      <w:pPr>
        <w:ind w:left="1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EA2FA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F2911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6AB4E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1071A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28482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D2032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1AE31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9E763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42DE01ED"/>
    <w:multiLevelType w:val="hybridMultilevel"/>
    <w:tmpl w:val="3A924B72"/>
    <w:lvl w:ilvl="0" w:tplc="D524735A">
      <w:start w:val="1"/>
      <w:numFmt w:val="decimal"/>
      <w:lvlText w:val="%1."/>
      <w:lvlJc w:val="left"/>
      <w:pPr>
        <w:ind w:left="1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56327C">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740316">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126B38">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048C88">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82C6CE">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E8FE44">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7C0340">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4E453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495F0A80"/>
    <w:multiLevelType w:val="hybridMultilevel"/>
    <w:tmpl w:val="04B876FE"/>
    <w:lvl w:ilvl="0" w:tplc="81FE6F10">
      <w:start w:val="1"/>
      <w:numFmt w:val="bullet"/>
      <w:lvlText w:val="*"/>
      <w:lvlJc w:val="left"/>
      <w:pPr>
        <w:ind w:left="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FE0F94">
      <w:start w:val="1"/>
      <w:numFmt w:val="bullet"/>
      <w:lvlText w:val="o"/>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066632">
      <w:start w:val="1"/>
      <w:numFmt w:val="bullet"/>
      <w:lvlText w:val="▪"/>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526A1C">
      <w:start w:val="1"/>
      <w:numFmt w:val="bullet"/>
      <w:lvlText w:val="•"/>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CE6C1A">
      <w:start w:val="1"/>
      <w:numFmt w:val="bullet"/>
      <w:lvlText w:val="o"/>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189B1C">
      <w:start w:val="1"/>
      <w:numFmt w:val="bullet"/>
      <w:lvlText w:val="▪"/>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381BFC">
      <w:start w:val="1"/>
      <w:numFmt w:val="bullet"/>
      <w:lvlText w:val="•"/>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6681D8">
      <w:start w:val="1"/>
      <w:numFmt w:val="bullet"/>
      <w:lvlText w:val="o"/>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86E5C8">
      <w:start w:val="1"/>
      <w:numFmt w:val="bullet"/>
      <w:lvlText w:val="▪"/>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4FF6613F"/>
    <w:multiLevelType w:val="hybridMultilevel"/>
    <w:tmpl w:val="F4784CF2"/>
    <w:lvl w:ilvl="0" w:tplc="325A03CE">
      <w:start w:val="1"/>
      <w:numFmt w:val="decimal"/>
      <w:lvlText w:val="%1."/>
      <w:lvlJc w:val="left"/>
      <w:pPr>
        <w:ind w:left="1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2890D0">
      <w:start w:val="1"/>
      <w:numFmt w:val="lowerLetter"/>
      <w:lvlText w:val="%2"/>
      <w:lvlJc w:val="left"/>
      <w:pPr>
        <w:ind w:left="1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78C4DE">
      <w:start w:val="1"/>
      <w:numFmt w:val="lowerRoman"/>
      <w:lvlText w:val="%3"/>
      <w:lvlJc w:val="left"/>
      <w:pPr>
        <w:ind w:left="2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CAC76C">
      <w:start w:val="1"/>
      <w:numFmt w:val="decimal"/>
      <w:lvlText w:val="%4"/>
      <w:lvlJc w:val="left"/>
      <w:pPr>
        <w:ind w:left="3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1ECFAA">
      <w:start w:val="1"/>
      <w:numFmt w:val="lowerLetter"/>
      <w:lvlText w:val="%5"/>
      <w:lvlJc w:val="left"/>
      <w:pPr>
        <w:ind w:left="3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B859FE">
      <w:start w:val="1"/>
      <w:numFmt w:val="lowerRoman"/>
      <w:lvlText w:val="%6"/>
      <w:lvlJc w:val="left"/>
      <w:pPr>
        <w:ind w:left="4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46A426">
      <w:start w:val="1"/>
      <w:numFmt w:val="decimal"/>
      <w:lvlText w:val="%7"/>
      <w:lvlJc w:val="left"/>
      <w:pPr>
        <w:ind w:left="5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A6B44E">
      <w:start w:val="1"/>
      <w:numFmt w:val="lowerLetter"/>
      <w:lvlText w:val="%8"/>
      <w:lvlJc w:val="left"/>
      <w:pPr>
        <w:ind w:left="6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92B5F2">
      <w:start w:val="1"/>
      <w:numFmt w:val="lowerRoman"/>
      <w:lvlText w:val="%9"/>
      <w:lvlJc w:val="left"/>
      <w:pPr>
        <w:ind w:left="6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57D969D1"/>
    <w:multiLevelType w:val="hybridMultilevel"/>
    <w:tmpl w:val="6EB21036"/>
    <w:lvl w:ilvl="0" w:tplc="457C1232">
      <w:start w:val="1"/>
      <w:numFmt w:val="decimal"/>
      <w:lvlText w:val="%1."/>
      <w:lvlJc w:val="left"/>
      <w:pPr>
        <w:ind w:left="1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D2941C">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928572">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1A8046">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607BF6">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F8C09A">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2018C0">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30B208">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0E889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582B2146"/>
    <w:multiLevelType w:val="hybridMultilevel"/>
    <w:tmpl w:val="668EBE48"/>
    <w:lvl w:ilvl="0" w:tplc="461E49CA">
      <w:start w:val="1"/>
      <w:numFmt w:val="decimal"/>
      <w:lvlText w:val="%1."/>
      <w:lvlJc w:val="left"/>
      <w:pPr>
        <w:ind w:left="1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5AADD2">
      <w:start w:val="1"/>
      <w:numFmt w:val="lowerLetter"/>
      <w:lvlText w:val="%2"/>
      <w:lvlJc w:val="left"/>
      <w:pPr>
        <w:ind w:left="1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462D86">
      <w:start w:val="1"/>
      <w:numFmt w:val="lowerRoman"/>
      <w:lvlText w:val="%3"/>
      <w:lvlJc w:val="left"/>
      <w:pPr>
        <w:ind w:left="2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6CDFD0">
      <w:start w:val="1"/>
      <w:numFmt w:val="decimal"/>
      <w:lvlText w:val="%4"/>
      <w:lvlJc w:val="left"/>
      <w:pPr>
        <w:ind w:left="3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FA8DAC">
      <w:start w:val="1"/>
      <w:numFmt w:val="lowerLetter"/>
      <w:lvlText w:val="%5"/>
      <w:lvlJc w:val="left"/>
      <w:pPr>
        <w:ind w:left="3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0E5AB8">
      <w:start w:val="1"/>
      <w:numFmt w:val="lowerRoman"/>
      <w:lvlText w:val="%6"/>
      <w:lvlJc w:val="left"/>
      <w:pPr>
        <w:ind w:left="4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B028C2">
      <w:start w:val="1"/>
      <w:numFmt w:val="decimal"/>
      <w:lvlText w:val="%7"/>
      <w:lvlJc w:val="left"/>
      <w:pPr>
        <w:ind w:left="5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16609E">
      <w:start w:val="1"/>
      <w:numFmt w:val="lowerLetter"/>
      <w:lvlText w:val="%8"/>
      <w:lvlJc w:val="left"/>
      <w:pPr>
        <w:ind w:left="6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4E150C">
      <w:start w:val="1"/>
      <w:numFmt w:val="lowerRoman"/>
      <w:lvlText w:val="%9"/>
      <w:lvlJc w:val="left"/>
      <w:pPr>
        <w:ind w:left="6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59572F3F"/>
    <w:multiLevelType w:val="hybridMultilevel"/>
    <w:tmpl w:val="94062CA0"/>
    <w:lvl w:ilvl="0" w:tplc="3D1CCF2A">
      <w:start w:val="1"/>
      <w:numFmt w:val="decimal"/>
      <w:lvlText w:val="%1."/>
      <w:lvlJc w:val="left"/>
      <w:pPr>
        <w:ind w:left="1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BE5D0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E038A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409EE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96AF5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5091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3E15B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18242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9E6BD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597A6981"/>
    <w:multiLevelType w:val="hybridMultilevel"/>
    <w:tmpl w:val="89FE5882"/>
    <w:lvl w:ilvl="0" w:tplc="EAA2E024">
      <w:start w:val="1"/>
      <w:numFmt w:val="decimal"/>
      <w:lvlText w:val="%1."/>
      <w:lvlJc w:val="left"/>
      <w:pPr>
        <w:ind w:left="1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B22324">
      <w:start w:val="1"/>
      <w:numFmt w:val="lowerLetter"/>
      <w:lvlText w:val="%2"/>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80F110">
      <w:start w:val="1"/>
      <w:numFmt w:val="lowerRoman"/>
      <w:lvlText w:val="%3"/>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90BA0E">
      <w:start w:val="1"/>
      <w:numFmt w:val="decimal"/>
      <w:lvlText w:val="%4"/>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CC5468">
      <w:start w:val="1"/>
      <w:numFmt w:val="lowerLetter"/>
      <w:lvlText w:val="%5"/>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0AFD68">
      <w:start w:val="1"/>
      <w:numFmt w:val="lowerRoman"/>
      <w:lvlText w:val="%6"/>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1C548C">
      <w:start w:val="1"/>
      <w:numFmt w:val="decimal"/>
      <w:lvlText w:val="%7"/>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92091A">
      <w:start w:val="1"/>
      <w:numFmt w:val="lowerLetter"/>
      <w:lvlText w:val="%8"/>
      <w:lvlJc w:val="left"/>
      <w:pPr>
        <w:ind w:left="6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3CA136">
      <w:start w:val="1"/>
      <w:numFmt w:val="lowerRoman"/>
      <w:lvlText w:val="%9"/>
      <w:lvlJc w:val="left"/>
      <w:pPr>
        <w:ind w:left="6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67503916"/>
    <w:multiLevelType w:val="hybridMultilevel"/>
    <w:tmpl w:val="80408026"/>
    <w:lvl w:ilvl="0" w:tplc="A74CA5C6">
      <w:start w:val="1"/>
      <w:numFmt w:val="decimal"/>
      <w:lvlText w:val="%1."/>
      <w:lvlJc w:val="left"/>
      <w:pPr>
        <w:ind w:left="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942112">
      <w:start w:val="1"/>
      <w:numFmt w:val="lowerLetter"/>
      <w:lvlText w:val="%2"/>
      <w:lvlJc w:val="left"/>
      <w:pPr>
        <w:ind w:left="1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4446A2">
      <w:start w:val="1"/>
      <w:numFmt w:val="lowerRoman"/>
      <w:lvlText w:val="%3"/>
      <w:lvlJc w:val="left"/>
      <w:pPr>
        <w:ind w:left="1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96F374">
      <w:start w:val="1"/>
      <w:numFmt w:val="decimal"/>
      <w:lvlText w:val="%4"/>
      <w:lvlJc w:val="left"/>
      <w:pPr>
        <w:ind w:left="27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401F44">
      <w:start w:val="1"/>
      <w:numFmt w:val="lowerLetter"/>
      <w:lvlText w:val="%5"/>
      <w:lvlJc w:val="left"/>
      <w:pPr>
        <w:ind w:left="3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3CFAB0">
      <w:start w:val="1"/>
      <w:numFmt w:val="lowerRoman"/>
      <w:lvlText w:val="%6"/>
      <w:lvlJc w:val="left"/>
      <w:pPr>
        <w:ind w:left="4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FE6390">
      <w:start w:val="1"/>
      <w:numFmt w:val="decimal"/>
      <w:lvlText w:val="%7"/>
      <w:lvlJc w:val="left"/>
      <w:pPr>
        <w:ind w:left="4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3ACEBE">
      <w:start w:val="1"/>
      <w:numFmt w:val="lowerLetter"/>
      <w:lvlText w:val="%8"/>
      <w:lvlJc w:val="left"/>
      <w:pPr>
        <w:ind w:left="5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E2962C">
      <w:start w:val="1"/>
      <w:numFmt w:val="lowerRoman"/>
      <w:lvlText w:val="%9"/>
      <w:lvlJc w:val="left"/>
      <w:pPr>
        <w:ind w:left="63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6A341716"/>
    <w:multiLevelType w:val="hybridMultilevel"/>
    <w:tmpl w:val="B6683240"/>
    <w:lvl w:ilvl="0" w:tplc="42144566">
      <w:start w:val="1"/>
      <w:numFmt w:val="decimal"/>
      <w:lvlText w:val="%1."/>
      <w:lvlJc w:val="left"/>
      <w:pPr>
        <w:ind w:left="1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227C3A">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28A9C0">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94C5C8">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2E3276">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C246AE">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0C4238">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AEACC2">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C89394">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7"/>
  </w:num>
  <w:num w:numId="3">
    <w:abstractNumId w:val="9"/>
  </w:num>
  <w:num w:numId="4">
    <w:abstractNumId w:val="2"/>
  </w:num>
  <w:num w:numId="5">
    <w:abstractNumId w:val="10"/>
  </w:num>
  <w:num w:numId="6">
    <w:abstractNumId w:val="5"/>
  </w:num>
  <w:num w:numId="7">
    <w:abstractNumId w:val="4"/>
  </w:num>
  <w:num w:numId="8">
    <w:abstractNumId w:val="11"/>
  </w:num>
  <w:num w:numId="9">
    <w:abstractNumId w:val="1"/>
  </w:num>
  <w:num w:numId="10">
    <w:abstractNumId w:val="8"/>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38A"/>
    <w:rsid w:val="0023438A"/>
    <w:rsid w:val="003E09E2"/>
    <w:rsid w:val="00A02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EAA739-2724-4906-A771-5B9B367EC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479" w:lineRule="auto"/>
      <w:ind w:left="2971"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47"/>
      <w:ind w:left="907"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E09E2"/>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E09E2"/>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3E09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09E2"/>
    <w:rPr>
      <w:rFonts w:ascii="Times New Roman" w:eastAsia="Times New Roman" w:hAnsi="Times New Roman" w:cs="Times New Roman"/>
      <w:color w:val="000000"/>
      <w:sz w:val="24"/>
    </w:rPr>
  </w:style>
  <w:style w:type="paragraph" w:styleId="Header">
    <w:name w:val="header"/>
    <w:basedOn w:val="Normal"/>
    <w:link w:val="HeaderChar"/>
    <w:uiPriority w:val="99"/>
    <w:semiHidden/>
    <w:unhideWhenUsed/>
    <w:rsid w:val="003E09E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E09E2"/>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8.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116</Pages>
  <Words>33790</Words>
  <Characters>192603</Characters>
  <Application>Microsoft Office Word</Application>
  <DocSecurity>0</DocSecurity>
  <Lines>1605</Lines>
  <Paragraphs>451</Paragraphs>
  <ScaleCrop>false</ScaleCrop>
  <Company/>
  <LinksUpToDate>false</LinksUpToDate>
  <CharactersWithSpaces>225942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- 800745_pdfconv_b18b8876-c559-44bc-b0c8-991804af3227.docx</dc:title>
  <dc:subject/>
  <dc:creator>laptopcare</dc:creator>
  <cp:keywords/>
  <cp:lastModifiedBy>laptopcare</cp:lastModifiedBy>
  <cp:revision>2</cp:revision>
  <dcterms:created xsi:type="dcterms:W3CDTF">2022-01-06T10:50:00Z</dcterms:created>
  <dcterms:modified xsi:type="dcterms:W3CDTF">2022-01-06T10:50:00Z</dcterms:modified>
</cp:coreProperties>
</file>