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148" w:rsidRDefault="00995148" w:rsidP="00995148">
      <w:r>
        <w:rPr>
          <w:b/>
          <w:sz w:val="32"/>
        </w:rPr>
        <w:t>Flexible Pavement Layer Design (CBR-Based)</w:t>
      </w:r>
    </w:p>
    <w:p w:rsidR="002E6562" w:rsidRDefault="00995148" w:rsidP="00995148">
      <w:r>
        <w:t>Problem</w:t>
      </w:r>
      <w:r>
        <w:br/>
        <w:t>Select a flexible pavement section for a local roadway using a CBR-based design approach.</w:t>
      </w:r>
      <w:r>
        <w:br/>
      </w:r>
      <w:r>
        <w:br/>
        <w:t>Given</w:t>
      </w:r>
      <w:r>
        <w:br/>
        <w:t>• Subgrade CBR = 5%</w:t>
      </w:r>
      <w:r>
        <w:br/>
        <w:t>• Design traffic = 10 million ESALs (approx. 10 MSA)</w:t>
      </w:r>
      <w:r>
        <w:br/>
        <w:t>• Service environment: typical US local roadway conditions</w:t>
      </w:r>
      <w:r>
        <w:br/>
      </w:r>
      <w:r>
        <w:br/>
        <w:t>Solution</w:t>
      </w:r>
      <w:r>
        <w:br/>
        <w:t>A practical layered pavement structure meeting typical performance expectations:</w:t>
      </w:r>
      <w:r>
        <w:br/>
      </w:r>
      <w:r>
        <w:br/>
        <w:t>Selected Pavement Section (Total Thickness ≈ 22 in)</w:t>
      </w:r>
      <w:r>
        <w:br/>
        <w:t>1) Asphalt Concrete Surface Course: 2 in</w:t>
      </w:r>
      <w:r>
        <w:br/>
        <w:t>2) Asphalt Base / Binder Course: 4 in</w:t>
      </w:r>
      <w:r>
        <w:br/>
        <w:t>3) Aggregate Base Course: 10 in</w:t>
      </w:r>
      <w:r>
        <w:br/>
        <w:t xml:space="preserve">4) Granular </w:t>
      </w:r>
      <w:proofErr w:type="spellStart"/>
      <w:r>
        <w:t>Subbase</w:t>
      </w:r>
      <w:proofErr w:type="spellEnd"/>
      <w:r>
        <w:t>: 6 in</w:t>
      </w:r>
      <w:r>
        <w:br/>
      </w:r>
      <w:r>
        <w:br/>
        <w:t>Notes (Engineering Rationale)</w:t>
      </w:r>
      <w:r>
        <w:br/>
        <w:t>• CBR 5% indicates weak to medium subgrade → needs strong granular support</w:t>
      </w:r>
      <w:r>
        <w:br/>
        <w:t>• Asphalt thickness is split into surface + binder for durability and constructability</w:t>
      </w:r>
      <w:r>
        <w:br/>
        <w:t>• Drainage and compaction control are critical for performance</w:t>
      </w:r>
      <w:r>
        <w:br/>
      </w:r>
      <w:r>
        <w:br/>
        <w:t>Final Answer (Summary)</w:t>
      </w:r>
      <w:r>
        <w:br/>
        <w:t>Use a 22-inch total flexible pavement section:</w:t>
      </w:r>
      <w:r>
        <w:br/>
        <w:t xml:space="preserve">2 in AC surface + 4 in asphalt base + 10 in aggregate base + 6 in </w:t>
      </w:r>
      <w:proofErr w:type="spellStart"/>
      <w:r>
        <w:t>subbase</w:t>
      </w:r>
      <w:proofErr w:type="spellEnd"/>
      <w:r>
        <w:t>.</w:t>
      </w:r>
      <w:r>
        <w:br/>
      </w:r>
      <w:bookmarkStart w:id="0" w:name="_GoBack"/>
      <w:bookmarkEnd w:id="0"/>
    </w:p>
    <w:sectPr w:rsidR="002E6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148"/>
    <w:rsid w:val="002E6562"/>
    <w:rsid w:val="0099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E8E63-2C65-43BD-82EE-E7436FCE9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5148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2026-01-17T13:07:00Z</dcterms:created>
  <dcterms:modified xsi:type="dcterms:W3CDTF">2026-01-17T13:08:00Z</dcterms:modified>
</cp:coreProperties>
</file>