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6A1A" w:rsidRDefault="00FD6A1A" w:rsidP="00FD6A1A">
      <w:pPr>
        <w:pStyle w:val="Title"/>
        <w:jc w:val="center"/>
        <w:rPr>
          <w:rFonts w:ascii="Times New Roman" w:eastAsia="Times New Roman" w:hAnsi="Times New Roman" w:cs="Times New Roman"/>
          <w:sz w:val="28"/>
        </w:rPr>
      </w:pPr>
      <w:bookmarkStart w:id="0" w:name="_GoBack"/>
      <w:r>
        <w:rPr>
          <w:shd w:val="clear" w:color="auto" w:fill="FFFFFF"/>
        </w:rPr>
        <w:t>Epidemiological Studies</w:t>
      </w:r>
    </w:p>
    <w:bookmarkEnd w:id="0"/>
    <w:p w:rsidR="00133226" w:rsidRDefault="002C2855">
      <w:pPr>
        <w:spacing w:after="465" w:line="351" w:lineRule="auto"/>
        <w:ind w:left="1125" w:right="732" w:firstLine="710"/>
        <w:jc w:val="both"/>
      </w:pPr>
      <w:r>
        <w:rPr>
          <w:rFonts w:ascii="Times New Roman" w:eastAsia="Times New Roman" w:hAnsi="Times New Roman" w:cs="Times New Roman"/>
          <w:sz w:val="28"/>
        </w:rPr>
        <w:t xml:space="preserve">Epidemiology is the scientific study and analysis of the distribution of diseases within a specific demographic of people or animals. It </w:t>
      </w:r>
      <w:r>
        <w:rPr>
          <w:rFonts w:ascii="Times New Roman" w:eastAsia="Times New Roman" w:hAnsi="Times New Roman" w:cs="Times New Roman"/>
          <w:sz w:val="28"/>
        </w:rPr>
        <w:t>involves a particular evaluation of when, how and where the condition occurred (Trichopoulos et al.2015). Through the study, the epidemiologist determines the risk factors associated with the disease and their following protective factors to safeguard peop</w:t>
      </w:r>
      <w:r>
        <w:rPr>
          <w:rFonts w:ascii="Times New Roman" w:eastAsia="Times New Roman" w:hAnsi="Times New Roman" w:cs="Times New Roman"/>
          <w:sz w:val="28"/>
        </w:rPr>
        <w:t>le and animals against such diseases or conditions. Different types of epidemiology studies impact diverse knowledge of prognosis, diagnosis, and treatment of diseases and conditions among different medical practitioners and scientists. For instance, cohor</w:t>
      </w:r>
      <w:r>
        <w:rPr>
          <w:rFonts w:ascii="Times New Roman" w:eastAsia="Times New Roman" w:hAnsi="Times New Roman" w:cs="Times New Roman"/>
          <w:sz w:val="28"/>
        </w:rPr>
        <w:t xml:space="preserve">t studies involve an examination of the risk factors over a specific duration. It encompasses the observation of a specified population with unique characteristics such as the same age group, comorbidity, or different level of severity of their condition. </w:t>
      </w:r>
      <w:r>
        <w:rPr>
          <w:rFonts w:ascii="Times New Roman" w:eastAsia="Times New Roman" w:hAnsi="Times New Roman" w:cs="Times New Roman"/>
          <w:sz w:val="28"/>
        </w:rPr>
        <w:t>By accumulating adequate, relevant information on the population such as historical backgrounds, physical health, and imaging, it equips researchers with the right tools for predicting, diagnosing the disease through laboratory tests and device appropriate</w:t>
      </w:r>
      <w:r>
        <w:rPr>
          <w:rFonts w:ascii="Times New Roman" w:eastAsia="Times New Roman" w:hAnsi="Times New Roman" w:cs="Times New Roman"/>
          <w:sz w:val="28"/>
        </w:rPr>
        <w:t xml:space="preserve"> treatments (Croft et al. 2015). </w:t>
      </w:r>
    </w:p>
    <w:p w:rsidR="00133226" w:rsidRDefault="002C2855">
      <w:pPr>
        <w:spacing w:after="590" w:line="351" w:lineRule="auto"/>
        <w:ind w:left="1125" w:right="732" w:firstLine="710"/>
        <w:jc w:val="both"/>
      </w:pPr>
      <w:r>
        <w:rPr>
          <w:rFonts w:ascii="Times New Roman" w:eastAsia="Times New Roman" w:hAnsi="Times New Roman" w:cs="Times New Roman"/>
          <w:sz w:val="28"/>
        </w:rPr>
        <w:t xml:space="preserve">Additionally, other epidemiological studies such as the cross-section and casecontrol studies fundamentally attribute to the primary objective of evaluating and improving the health standards within the society. Through a </w:t>
      </w:r>
      <w:r>
        <w:rPr>
          <w:rFonts w:ascii="Times New Roman" w:eastAsia="Times New Roman" w:hAnsi="Times New Roman" w:cs="Times New Roman"/>
          <w:sz w:val="28"/>
        </w:rPr>
        <w:t>well-extrapolated descriptive and analytical analysis conducted at various levels, the epidemiologist understands the patterns and clinical importance of the symptoms and conditions prevailing during the prognosis and diagnosis. The established information</w:t>
      </w:r>
      <w:r>
        <w:rPr>
          <w:rFonts w:ascii="Times New Roman" w:eastAsia="Times New Roman" w:hAnsi="Times New Roman" w:cs="Times New Roman"/>
          <w:sz w:val="28"/>
        </w:rPr>
        <w:t xml:space="preserve"> optimizes the efficient of the diagnosis process that would facilitate the acquisition of the relevant treatment of the disease. For example, it postulates a framework for the design of an acceptable and feasible intervention like the medical imaging of t</w:t>
      </w:r>
      <w:r>
        <w:rPr>
          <w:rFonts w:ascii="Times New Roman" w:eastAsia="Times New Roman" w:hAnsi="Times New Roman" w:cs="Times New Roman"/>
          <w:sz w:val="28"/>
        </w:rPr>
        <w:t xml:space="preserve">he suspected coronary artery and myocardial ischemia without endangering the patients’ (Vandenbroucke et al. 2007).  </w:t>
      </w:r>
    </w:p>
    <w:p w:rsidR="00133226" w:rsidRDefault="002C2855">
      <w:pPr>
        <w:spacing w:after="5" w:line="351" w:lineRule="auto"/>
        <w:ind w:left="1135" w:right="709" w:hanging="10"/>
      </w:pPr>
      <w:r>
        <w:rPr>
          <w:rFonts w:ascii="Times New Roman" w:eastAsia="Times New Roman" w:hAnsi="Times New Roman" w:cs="Times New Roman"/>
          <w:sz w:val="28"/>
        </w:rPr>
        <w:t xml:space="preserve">         Therefore, epidemiological studies facilitate improved analysis of clinical trials that enable individual scientist or medical st</w:t>
      </w:r>
      <w:r>
        <w:rPr>
          <w:rFonts w:ascii="Times New Roman" w:eastAsia="Times New Roman" w:hAnsi="Times New Roman" w:cs="Times New Roman"/>
          <w:sz w:val="28"/>
        </w:rPr>
        <w:t xml:space="preserve">udents to deduce viable treatments of diverse conditions with risk stratifications. It allows inventions of appropriate </w:t>
      </w:r>
      <w:r>
        <w:rPr>
          <w:rFonts w:ascii="Times New Roman" w:eastAsia="Times New Roman" w:hAnsi="Times New Roman" w:cs="Times New Roman"/>
          <w:sz w:val="28"/>
        </w:rPr>
        <w:lastRenderedPageBreak/>
        <w:t xml:space="preserve">interventions to eradicate the socio-economic epidemics caused by different diseases, which has resulted in the formulation of numerous </w:t>
      </w:r>
      <w:r>
        <w:rPr>
          <w:rFonts w:ascii="Times New Roman" w:eastAsia="Times New Roman" w:hAnsi="Times New Roman" w:cs="Times New Roman"/>
          <w:sz w:val="28"/>
        </w:rPr>
        <w:t xml:space="preserve">health reforms.  </w:t>
      </w:r>
    </w:p>
    <w:p w:rsidR="00133226" w:rsidRDefault="002C2855">
      <w:pPr>
        <w:spacing w:after="130"/>
        <w:ind w:left="1140"/>
      </w:pPr>
      <w:r>
        <w:rPr>
          <w:rFonts w:ascii="Times New Roman" w:eastAsia="Times New Roman" w:hAnsi="Times New Roman" w:cs="Times New Roman"/>
          <w:sz w:val="28"/>
        </w:rPr>
        <w:t xml:space="preserve">          </w:t>
      </w:r>
    </w:p>
    <w:p w:rsidR="00133226" w:rsidRDefault="002C2855">
      <w:pPr>
        <w:spacing w:after="465" w:line="351" w:lineRule="auto"/>
        <w:ind w:left="1135" w:right="709" w:hanging="10"/>
      </w:pPr>
      <w:r>
        <w:rPr>
          <w:rFonts w:ascii="Times New Roman" w:eastAsia="Times New Roman" w:hAnsi="Times New Roman" w:cs="Times New Roman"/>
          <w:sz w:val="28"/>
        </w:rPr>
        <w:t xml:space="preserve">         Creation of awareness for every individuals and stakeholder within the medical sector is vital to ensure the safety of all patients and utilization of an acceptable and feasible intervention to deduce appropriate treatment of prevailing conditions</w:t>
      </w:r>
      <w:r>
        <w:rPr>
          <w:rFonts w:ascii="Times New Roman" w:eastAsia="Times New Roman" w:hAnsi="Times New Roman" w:cs="Times New Roman"/>
          <w:sz w:val="28"/>
        </w:rPr>
        <w:t xml:space="preserve"> that affect all spheres of life such as socio-cultural, economic and political sectors. Having participated in an investigation and epidemiological study, it is vital for medical research institutions to establish measures and regulations that protect bot</w:t>
      </w:r>
      <w:r>
        <w:rPr>
          <w:rFonts w:ascii="Times New Roman" w:eastAsia="Times New Roman" w:hAnsi="Times New Roman" w:cs="Times New Roman"/>
          <w:sz w:val="28"/>
        </w:rPr>
        <w:t>h the researchers and the participants of investigations to facilitate health and the conducive relationship between the two parties without discrimination and prejudice. However, with the advancement in technology, the complexity of medical issues have al</w:t>
      </w:r>
      <w:r>
        <w:rPr>
          <w:rFonts w:ascii="Times New Roman" w:eastAsia="Times New Roman" w:hAnsi="Times New Roman" w:cs="Times New Roman"/>
          <w:sz w:val="28"/>
        </w:rPr>
        <w:t>so risen and advocated for the rejuvenation of new ideas is vital to enable the researcher to invent safety methods of conducting clinical trials that would result in proper diagnosis and treatment of conditions without exposing patients into unnecessary m</w:t>
      </w:r>
      <w:r>
        <w:rPr>
          <w:rFonts w:ascii="Times New Roman" w:eastAsia="Times New Roman" w:hAnsi="Times New Roman" w:cs="Times New Roman"/>
          <w:sz w:val="28"/>
        </w:rPr>
        <w:t xml:space="preserve">edical risks and threats (Moscoe, et al, 2015).  </w:t>
      </w:r>
    </w:p>
    <w:p w:rsidR="00133226" w:rsidRDefault="002C2855">
      <w:pPr>
        <w:spacing w:after="405" w:line="351" w:lineRule="auto"/>
        <w:ind w:left="1135" w:right="709" w:hanging="10"/>
      </w:pPr>
      <w:r>
        <w:rPr>
          <w:rFonts w:ascii="Times New Roman" w:eastAsia="Times New Roman" w:hAnsi="Times New Roman" w:cs="Times New Roman"/>
          <w:sz w:val="28"/>
        </w:rPr>
        <w:t xml:space="preserve">        Further, understanding the basic framework of the outbreak of different diseases enable the researcher to rapidly develop principal diagnosis to treat the disease and prevent its future occurrence. </w:t>
      </w:r>
      <w:r>
        <w:rPr>
          <w:rFonts w:ascii="Times New Roman" w:eastAsia="Times New Roman" w:hAnsi="Times New Roman" w:cs="Times New Roman"/>
          <w:sz w:val="28"/>
        </w:rPr>
        <w:t>For example, through brain imaging, a scientist can evaluate and comprehend the molecular circuitry level within a patient and develop an appropriate treatment. Nevertheless, only providing an accurate depiction of a disease and its risk factor is inadequa</w:t>
      </w:r>
      <w:r>
        <w:rPr>
          <w:rFonts w:ascii="Times New Roman" w:eastAsia="Times New Roman" w:hAnsi="Times New Roman" w:cs="Times New Roman"/>
          <w:sz w:val="28"/>
        </w:rPr>
        <w:t xml:space="preserve">te as all the stakeholders should be equipped with proper tools accompanies by constant communication, teamwork, and attention to the outcome to propel viable judgment (Boulware et al. 2016). </w:t>
      </w:r>
    </w:p>
    <w:p w:rsidR="00133226" w:rsidRDefault="002C2855">
      <w:pPr>
        <w:spacing w:after="295"/>
        <w:ind w:left="373" w:hanging="10"/>
        <w:jc w:val="center"/>
      </w:pPr>
      <w:r>
        <w:rPr>
          <w:rFonts w:ascii="Times New Roman" w:eastAsia="Times New Roman" w:hAnsi="Times New Roman" w:cs="Times New Roman"/>
          <w:sz w:val="24"/>
        </w:rPr>
        <w:t xml:space="preserve">Example By </w:t>
      </w:r>
      <w:r>
        <w:rPr>
          <w:rFonts w:ascii="Times New Roman" w:eastAsia="Times New Roman" w:hAnsi="Times New Roman" w:cs="Times New Roman"/>
          <w:sz w:val="24"/>
          <w:u w:val="single" w:color="000000"/>
        </w:rPr>
        <w:t>essaypro.com</w:t>
      </w:r>
    </w:p>
    <w:p w:rsidR="00133226" w:rsidRDefault="002C2855">
      <w:pPr>
        <w:spacing w:after="12145" w:line="351" w:lineRule="auto"/>
        <w:ind w:left="1135" w:right="709" w:hanging="10"/>
      </w:pPr>
      <w:r>
        <w:rPr>
          <w:rFonts w:ascii="Arial" w:eastAsia="Arial" w:hAnsi="Arial" w:cs="Arial"/>
          <w:sz w:val="24"/>
        </w:rPr>
        <w:t xml:space="preserve">         </w:t>
      </w:r>
      <w:r>
        <w:rPr>
          <w:rFonts w:ascii="Times New Roman" w:eastAsia="Times New Roman" w:hAnsi="Times New Roman" w:cs="Times New Roman"/>
          <w:sz w:val="28"/>
        </w:rPr>
        <w:t>Finally, advocating for accoun</w:t>
      </w:r>
      <w:r>
        <w:rPr>
          <w:rFonts w:ascii="Times New Roman" w:eastAsia="Times New Roman" w:hAnsi="Times New Roman" w:cs="Times New Roman"/>
          <w:sz w:val="28"/>
        </w:rPr>
        <w:t>tability within the medical institutions and the entire sector would eradicate instances of carelessness during the investigation, prognosis, diagnosis, and intervention. Also, it is appropriate to foster association between the federal agencies and the ph</w:t>
      </w:r>
      <w:r>
        <w:rPr>
          <w:rFonts w:ascii="Times New Roman" w:eastAsia="Times New Roman" w:hAnsi="Times New Roman" w:cs="Times New Roman"/>
          <w:sz w:val="28"/>
        </w:rPr>
        <w:t xml:space="preserve">armaceutical industry to encourage constant </w:t>
      </w:r>
      <w:r>
        <w:rPr>
          <w:rFonts w:ascii="Times New Roman" w:eastAsia="Times New Roman" w:hAnsi="Times New Roman" w:cs="Times New Roman"/>
          <w:sz w:val="28"/>
        </w:rPr>
        <w:lastRenderedPageBreak/>
        <w:t xml:space="preserve">epidemiological studies on the outbreak of diseases and indorse meta-analysis tools to help develop a treatment for disorders (Beydoun et al. 2014).   </w:t>
      </w:r>
    </w:p>
    <w:p w:rsidR="00133226" w:rsidRDefault="002C2855">
      <w:pPr>
        <w:spacing w:after="295"/>
        <w:ind w:left="373" w:hanging="10"/>
        <w:jc w:val="center"/>
      </w:pPr>
      <w:r>
        <w:rPr>
          <w:rFonts w:ascii="Times New Roman" w:eastAsia="Times New Roman" w:hAnsi="Times New Roman" w:cs="Times New Roman"/>
          <w:sz w:val="24"/>
        </w:rPr>
        <w:t xml:space="preserve">Example By </w:t>
      </w:r>
      <w:r>
        <w:rPr>
          <w:rFonts w:ascii="Times New Roman" w:eastAsia="Times New Roman" w:hAnsi="Times New Roman" w:cs="Times New Roman"/>
          <w:sz w:val="24"/>
          <w:u w:val="single" w:color="000000"/>
        </w:rPr>
        <w:t>essaypro.com</w:t>
      </w:r>
    </w:p>
    <w:p w:rsidR="00133226" w:rsidRDefault="002C2855">
      <w:pPr>
        <w:spacing w:after="218"/>
        <w:ind w:left="1135" w:right="709" w:hanging="10"/>
      </w:pPr>
      <w:r>
        <w:rPr>
          <w:rFonts w:ascii="Arial" w:eastAsia="Arial" w:hAnsi="Arial" w:cs="Arial"/>
          <w:sz w:val="24"/>
        </w:rPr>
        <w:t xml:space="preserve">                                    </w:t>
      </w:r>
      <w:r>
        <w:rPr>
          <w:rFonts w:ascii="Arial" w:eastAsia="Arial" w:hAnsi="Arial" w:cs="Arial"/>
          <w:sz w:val="24"/>
        </w:rPr>
        <w:t xml:space="preserve">                            </w:t>
      </w:r>
      <w:r>
        <w:rPr>
          <w:rFonts w:ascii="Arial" w:eastAsia="Arial" w:hAnsi="Arial" w:cs="Arial"/>
          <w:sz w:val="28"/>
        </w:rPr>
        <w:t xml:space="preserve"> </w:t>
      </w:r>
      <w:r>
        <w:rPr>
          <w:rFonts w:ascii="Times New Roman" w:eastAsia="Times New Roman" w:hAnsi="Times New Roman" w:cs="Times New Roman"/>
          <w:sz w:val="28"/>
        </w:rPr>
        <w:t xml:space="preserve">Reference </w:t>
      </w:r>
    </w:p>
    <w:p w:rsidR="00133226" w:rsidRDefault="002C2855">
      <w:pPr>
        <w:spacing w:after="511"/>
      </w:pPr>
      <w:r>
        <w:rPr>
          <w:rFonts w:ascii="Times New Roman" w:eastAsia="Times New Roman" w:hAnsi="Times New Roman" w:cs="Times New Roman"/>
          <w:sz w:val="28"/>
        </w:rPr>
        <w:t xml:space="preserve">             </w:t>
      </w:r>
    </w:p>
    <w:p w:rsidR="00133226" w:rsidRDefault="002C2855">
      <w:pPr>
        <w:spacing w:after="123" w:line="339" w:lineRule="auto"/>
        <w:ind w:left="720" w:hanging="720"/>
        <w:jc w:val="both"/>
      </w:pPr>
      <w:r>
        <w:rPr>
          <w:rFonts w:ascii="Times New Roman" w:eastAsia="Times New Roman" w:hAnsi="Times New Roman" w:cs="Times New Roman"/>
          <w:sz w:val="28"/>
        </w:rPr>
        <w:lastRenderedPageBreak/>
        <w:t xml:space="preserve">                    </w:t>
      </w:r>
      <w:r>
        <w:rPr>
          <w:rFonts w:ascii="Times New Roman" w:eastAsia="Times New Roman" w:hAnsi="Times New Roman" w:cs="Times New Roman"/>
          <w:color w:val="212121"/>
          <w:sz w:val="28"/>
        </w:rPr>
        <w:t xml:space="preserve">Beydoun, M. A., Beydoun, H. A., Gamaldo, A. A., Teel, A., Zonderman, A. B., </w:t>
      </w:r>
      <w:r>
        <w:rPr>
          <w:color w:val="212121"/>
          <w:sz w:val="28"/>
        </w:rPr>
        <w:t> </w:t>
      </w:r>
      <w:r>
        <w:rPr>
          <w:rFonts w:ascii="Times New Roman" w:eastAsia="Times New Roman" w:hAnsi="Times New Roman" w:cs="Times New Roman"/>
          <w:color w:val="212121"/>
          <w:sz w:val="28"/>
        </w:rPr>
        <w:t xml:space="preserve">    &amp; Wang, Y. (2014).  Epidemiologic studies of modifiable factors associated with </w:t>
      </w:r>
      <w:r>
        <w:rPr>
          <w:color w:val="212121"/>
          <w:sz w:val="28"/>
        </w:rPr>
        <w:t> </w:t>
      </w:r>
      <w:r>
        <w:rPr>
          <w:rFonts w:ascii="Times New Roman" w:eastAsia="Times New Roman" w:hAnsi="Times New Roman" w:cs="Times New Roman"/>
          <w:color w:val="212121"/>
          <w:sz w:val="28"/>
        </w:rPr>
        <w:t xml:space="preserve">    cognition and dementia: systematic review and meta-analysis. </w:t>
      </w:r>
      <w:r>
        <w:rPr>
          <w:rFonts w:ascii="Times New Roman" w:eastAsia="Times New Roman" w:hAnsi="Times New Roman" w:cs="Times New Roman"/>
          <w:i/>
          <w:color w:val="212121"/>
          <w:sz w:val="28"/>
        </w:rPr>
        <w:t>BMC public health</w:t>
      </w:r>
      <w:r>
        <w:rPr>
          <w:rFonts w:ascii="Times New Roman" w:eastAsia="Times New Roman" w:hAnsi="Times New Roman" w:cs="Times New Roman"/>
          <w:color w:val="212121"/>
          <w:sz w:val="28"/>
        </w:rPr>
        <w:t xml:space="preserve">, </w:t>
      </w:r>
      <w:r>
        <w:rPr>
          <w:rFonts w:ascii="Times New Roman" w:eastAsia="Times New Roman" w:hAnsi="Times New Roman" w:cs="Times New Roman"/>
          <w:i/>
          <w:color w:val="212121"/>
          <w:sz w:val="28"/>
        </w:rPr>
        <w:t>14</w:t>
      </w:r>
      <w:r>
        <w:rPr>
          <w:rFonts w:ascii="Times New Roman" w:eastAsia="Times New Roman" w:hAnsi="Times New Roman" w:cs="Times New Roman"/>
          <w:color w:val="212121"/>
          <w:sz w:val="28"/>
        </w:rPr>
        <w:t xml:space="preserve">(1), 643. </w:t>
      </w:r>
    </w:p>
    <w:p w:rsidR="00133226" w:rsidRDefault="002C2855">
      <w:pPr>
        <w:spacing w:after="122" w:line="340" w:lineRule="auto"/>
        <w:ind w:left="715" w:right="264" w:hanging="730"/>
      </w:pPr>
      <w:r>
        <w:rPr>
          <w:rFonts w:ascii="Times New Roman" w:eastAsia="Times New Roman" w:hAnsi="Times New Roman" w:cs="Times New Roman"/>
          <w:color w:val="212121"/>
          <w:sz w:val="28"/>
        </w:rPr>
        <w:t xml:space="preserve">                    Boulware, L. E., Cooper, L. A., Ratner, L. E., LaVeist, T. A., &amp; Powe, N. R. (2016).</w:t>
      </w:r>
      <w:r>
        <w:rPr>
          <w:color w:val="212121"/>
          <w:sz w:val="28"/>
        </w:rPr>
        <w:t> </w:t>
      </w:r>
      <w:r>
        <w:rPr>
          <w:rFonts w:ascii="Times New Roman" w:eastAsia="Times New Roman" w:hAnsi="Times New Roman" w:cs="Times New Roman"/>
          <w:color w:val="212121"/>
          <w:sz w:val="28"/>
        </w:rPr>
        <w:t xml:space="preserve">     Race and trust in the health care system. </w:t>
      </w:r>
      <w:r>
        <w:rPr>
          <w:rFonts w:ascii="Times New Roman" w:eastAsia="Times New Roman" w:hAnsi="Times New Roman" w:cs="Times New Roman"/>
          <w:i/>
          <w:color w:val="212121"/>
          <w:sz w:val="28"/>
        </w:rPr>
        <w:t xml:space="preserve">Public </w:t>
      </w:r>
      <w:r>
        <w:rPr>
          <w:rFonts w:ascii="Times New Roman" w:eastAsia="Times New Roman" w:hAnsi="Times New Roman" w:cs="Times New Roman"/>
          <w:i/>
          <w:color w:val="212121"/>
          <w:sz w:val="28"/>
        </w:rPr>
        <w:t>health reports</w:t>
      </w:r>
      <w:r>
        <w:rPr>
          <w:rFonts w:ascii="Times New Roman" w:eastAsia="Times New Roman" w:hAnsi="Times New Roman" w:cs="Times New Roman"/>
          <w:color w:val="212121"/>
          <w:sz w:val="28"/>
        </w:rPr>
        <w:t xml:space="preserve">. </w:t>
      </w:r>
    </w:p>
    <w:p w:rsidR="00133226" w:rsidRDefault="002C2855">
      <w:pPr>
        <w:spacing w:after="123" w:line="339" w:lineRule="auto"/>
        <w:ind w:left="720" w:right="414" w:hanging="720"/>
      </w:pPr>
      <w:r>
        <w:rPr>
          <w:rFonts w:ascii="Times New Roman" w:eastAsia="Times New Roman" w:hAnsi="Times New Roman" w:cs="Times New Roman"/>
          <w:color w:val="212121"/>
          <w:sz w:val="28"/>
        </w:rPr>
        <w:t xml:space="preserve">                  </w:t>
      </w:r>
      <w:r>
        <w:rPr>
          <w:rFonts w:ascii="Times New Roman" w:eastAsia="Times New Roman" w:hAnsi="Times New Roman" w:cs="Times New Roman"/>
          <w:color w:val="303030"/>
          <w:sz w:val="28"/>
        </w:rPr>
        <w:t>Croft, P., Altman, D. G., Deeks, J. J., Dunn, K. M., Hay, A. D., Hemingway, H.,</w:t>
      </w:r>
      <w:r>
        <w:rPr>
          <w:color w:val="303030"/>
          <w:sz w:val="28"/>
        </w:rPr>
        <w:t> </w:t>
      </w:r>
      <w:r>
        <w:rPr>
          <w:rFonts w:ascii="Times New Roman" w:eastAsia="Times New Roman" w:hAnsi="Times New Roman" w:cs="Times New Roman"/>
          <w:color w:val="303030"/>
          <w:sz w:val="28"/>
        </w:rPr>
        <w:t xml:space="preserve">     Timmis, A. (2015). The science of clinical practice: disease diagnosis or patient</w:t>
      </w:r>
      <w:r>
        <w:rPr>
          <w:color w:val="303030"/>
          <w:sz w:val="28"/>
        </w:rPr>
        <w:t> </w:t>
      </w:r>
      <w:r>
        <w:rPr>
          <w:rFonts w:ascii="Times New Roman" w:eastAsia="Times New Roman" w:hAnsi="Times New Roman" w:cs="Times New Roman"/>
          <w:color w:val="303030"/>
          <w:sz w:val="28"/>
        </w:rPr>
        <w:t xml:space="preserve">     prognosis? Evidence about “what is likely to happ</w:t>
      </w:r>
      <w:r>
        <w:rPr>
          <w:rFonts w:ascii="Times New Roman" w:eastAsia="Times New Roman" w:hAnsi="Times New Roman" w:cs="Times New Roman"/>
          <w:color w:val="303030"/>
          <w:sz w:val="28"/>
        </w:rPr>
        <w:t xml:space="preserve">en” should shape clinical practice. </w:t>
      </w:r>
      <w:r>
        <w:rPr>
          <w:color w:val="303030"/>
          <w:sz w:val="28"/>
        </w:rPr>
        <w:t> </w:t>
      </w:r>
      <w:r>
        <w:rPr>
          <w:rFonts w:ascii="Times New Roman" w:eastAsia="Times New Roman" w:hAnsi="Times New Roman" w:cs="Times New Roman"/>
          <w:color w:val="303030"/>
          <w:sz w:val="28"/>
        </w:rPr>
        <w:t xml:space="preserve">     </w:t>
      </w:r>
      <w:r>
        <w:rPr>
          <w:rFonts w:ascii="Times New Roman" w:eastAsia="Times New Roman" w:hAnsi="Times New Roman" w:cs="Times New Roman"/>
          <w:i/>
          <w:color w:val="303030"/>
          <w:sz w:val="28"/>
        </w:rPr>
        <w:t>BMC Medicine</w:t>
      </w:r>
      <w:r>
        <w:rPr>
          <w:rFonts w:ascii="Times New Roman" w:eastAsia="Times New Roman" w:hAnsi="Times New Roman" w:cs="Times New Roman"/>
          <w:color w:val="303030"/>
          <w:sz w:val="28"/>
        </w:rPr>
        <w:t xml:space="preserve">, </w:t>
      </w:r>
      <w:r>
        <w:rPr>
          <w:rFonts w:ascii="Times New Roman" w:eastAsia="Times New Roman" w:hAnsi="Times New Roman" w:cs="Times New Roman"/>
          <w:i/>
          <w:color w:val="303030"/>
          <w:sz w:val="28"/>
        </w:rPr>
        <w:t>13</w:t>
      </w:r>
      <w:r>
        <w:rPr>
          <w:rFonts w:ascii="Times New Roman" w:eastAsia="Times New Roman" w:hAnsi="Times New Roman" w:cs="Times New Roman"/>
          <w:color w:val="303030"/>
          <w:sz w:val="28"/>
        </w:rPr>
        <w:t xml:space="preserve">, 20. </w:t>
      </w:r>
      <w:hyperlink r:id="rId6">
        <w:r>
          <w:rPr>
            <w:rFonts w:ascii="Times New Roman" w:eastAsia="Times New Roman" w:hAnsi="Times New Roman" w:cs="Times New Roman"/>
            <w:color w:val="000099"/>
            <w:sz w:val="28"/>
            <w:u w:val="single" w:color="000000"/>
          </w:rPr>
          <w:t>http://doi.org/10.1186/s12916-014-0265-4</w:t>
        </w:r>
      </w:hyperlink>
      <w:r>
        <w:rPr>
          <w:rFonts w:ascii="Times New Roman" w:eastAsia="Times New Roman" w:hAnsi="Times New Roman" w:cs="Times New Roman"/>
          <w:color w:val="303030"/>
          <w:sz w:val="28"/>
        </w:rPr>
        <w:t xml:space="preserve"> </w:t>
      </w:r>
    </w:p>
    <w:p w:rsidR="00133226" w:rsidRDefault="002C2855">
      <w:pPr>
        <w:spacing w:after="122" w:line="340" w:lineRule="auto"/>
        <w:ind w:left="715" w:right="704" w:hanging="730"/>
      </w:pPr>
      <w:r>
        <w:rPr>
          <w:rFonts w:ascii="Times New Roman" w:eastAsia="Times New Roman" w:hAnsi="Times New Roman" w:cs="Times New Roman"/>
          <w:color w:val="303030"/>
          <w:sz w:val="28"/>
        </w:rPr>
        <w:t xml:space="preserve">                   </w:t>
      </w:r>
      <w:r>
        <w:rPr>
          <w:rFonts w:ascii="Times New Roman" w:eastAsia="Times New Roman" w:hAnsi="Times New Roman" w:cs="Times New Roman"/>
          <w:color w:val="212121"/>
          <w:sz w:val="28"/>
        </w:rPr>
        <w:t>Moscoe, E., Bor, J., &amp;</w:t>
      </w:r>
      <w:r>
        <w:rPr>
          <w:rFonts w:ascii="Times New Roman" w:eastAsia="Times New Roman" w:hAnsi="Times New Roman" w:cs="Times New Roman"/>
          <w:color w:val="212121"/>
          <w:sz w:val="28"/>
        </w:rPr>
        <w:t xml:space="preserve"> Bärnighausen, T. (2015). Regression discontinuity designs </w:t>
      </w:r>
      <w:r>
        <w:rPr>
          <w:color w:val="212121"/>
          <w:sz w:val="28"/>
        </w:rPr>
        <w:t> </w:t>
      </w:r>
      <w:r>
        <w:rPr>
          <w:rFonts w:ascii="Times New Roman" w:eastAsia="Times New Roman" w:hAnsi="Times New Roman" w:cs="Times New Roman"/>
          <w:color w:val="212121"/>
          <w:sz w:val="28"/>
        </w:rPr>
        <w:t xml:space="preserve">     are underutilized in medicine, epidemiology, and public health: a review of current </w:t>
      </w:r>
      <w:r>
        <w:rPr>
          <w:color w:val="212121"/>
          <w:sz w:val="28"/>
        </w:rPr>
        <w:t> </w:t>
      </w:r>
      <w:r>
        <w:rPr>
          <w:rFonts w:ascii="Times New Roman" w:eastAsia="Times New Roman" w:hAnsi="Times New Roman" w:cs="Times New Roman"/>
          <w:color w:val="212121"/>
          <w:sz w:val="28"/>
        </w:rPr>
        <w:t xml:space="preserve">     and best practice. </w:t>
      </w:r>
      <w:r>
        <w:rPr>
          <w:rFonts w:ascii="Times New Roman" w:eastAsia="Times New Roman" w:hAnsi="Times New Roman" w:cs="Times New Roman"/>
          <w:i/>
          <w:color w:val="212121"/>
          <w:sz w:val="28"/>
        </w:rPr>
        <w:t>Journal of clinical epidemiology</w:t>
      </w:r>
      <w:r>
        <w:rPr>
          <w:rFonts w:ascii="Times New Roman" w:eastAsia="Times New Roman" w:hAnsi="Times New Roman" w:cs="Times New Roman"/>
          <w:color w:val="212121"/>
          <w:sz w:val="28"/>
        </w:rPr>
        <w:t xml:space="preserve">, </w:t>
      </w:r>
      <w:r>
        <w:rPr>
          <w:rFonts w:ascii="Times New Roman" w:eastAsia="Times New Roman" w:hAnsi="Times New Roman" w:cs="Times New Roman"/>
          <w:i/>
          <w:color w:val="212121"/>
          <w:sz w:val="28"/>
        </w:rPr>
        <w:t>68</w:t>
      </w:r>
      <w:r>
        <w:rPr>
          <w:rFonts w:ascii="Times New Roman" w:eastAsia="Times New Roman" w:hAnsi="Times New Roman" w:cs="Times New Roman"/>
          <w:color w:val="212121"/>
          <w:sz w:val="28"/>
        </w:rPr>
        <w:t xml:space="preserve">(2), 132-143. </w:t>
      </w:r>
    </w:p>
    <w:p w:rsidR="00133226" w:rsidRDefault="002C2855">
      <w:pPr>
        <w:spacing w:after="122" w:line="340" w:lineRule="auto"/>
        <w:ind w:left="715" w:right="465" w:hanging="730"/>
      </w:pPr>
      <w:r>
        <w:rPr>
          <w:rFonts w:ascii="Times New Roman" w:eastAsia="Times New Roman" w:hAnsi="Times New Roman" w:cs="Times New Roman"/>
          <w:color w:val="212121"/>
          <w:sz w:val="28"/>
        </w:rPr>
        <w:t xml:space="preserve">                    Trichopoulo</w:t>
      </w:r>
      <w:r>
        <w:rPr>
          <w:rFonts w:ascii="Times New Roman" w:eastAsia="Times New Roman" w:hAnsi="Times New Roman" w:cs="Times New Roman"/>
          <w:color w:val="212121"/>
          <w:sz w:val="28"/>
        </w:rPr>
        <w:t xml:space="preserve">s, D., Olsen, J., Saracci, R., &amp; Greene, N. (2015). </w:t>
      </w:r>
      <w:r>
        <w:rPr>
          <w:rFonts w:ascii="Times New Roman" w:eastAsia="Times New Roman" w:hAnsi="Times New Roman" w:cs="Times New Roman"/>
          <w:i/>
          <w:color w:val="212121"/>
          <w:sz w:val="28"/>
        </w:rPr>
        <w:t xml:space="preserve">Teaching epidemiology: </w:t>
      </w:r>
      <w:r>
        <w:rPr>
          <w:color w:val="212121"/>
          <w:sz w:val="28"/>
        </w:rPr>
        <w:t> </w:t>
      </w:r>
      <w:r>
        <w:rPr>
          <w:rFonts w:ascii="Times New Roman" w:eastAsia="Times New Roman" w:hAnsi="Times New Roman" w:cs="Times New Roman"/>
          <w:i/>
          <w:color w:val="212121"/>
          <w:sz w:val="28"/>
        </w:rPr>
        <w:t xml:space="preserve">      a guide for teachers in epidemiology, public health, and clinical medicine</w:t>
      </w:r>
      <w:r>
        <w:rPr>
          <w:rFonts w:ascii="Times New Roman" w:eastAsia="Times New Roman" w:hAnsi="Times New Roman" w:cs="Times New Roman"/>
          <w:color w:val="212121"/>
          <w:sz w:val="28"/>
        </w:rPr>
        <w:t xml:space="preserve">. </w:t>
      </w:r>
      <w:r>
        <w:rPr>
          <w:color w:val="212121"/>
          <w:sz w:val="28"/>
        </w:rPr>
        <w:t> </w:t>
      </w:r>
      <w:r>
        <w:rPr>
          <w:rFonts w:ascii="Times New Roman" w:eastAsia="Times New Roman" w:hAnsi="Times New Roman" w:cs="Times New Roman"/>
          <w:color w:val="212121"/>
          <w:sz w:val="28"/>
        </w:rPr>
        <w:t xml:space="preserve">      Oxford University Press.</w:t>
      </w:r>
      <w:r>
        <w:rPr>
          <w:rFonts w:ascii="Times New Roman" w:eastAsia="Times New Roman" w:hAnsi="Times New Roman" w:cs="Times New Roman"/>
          <w:sz w:val="28"/>
        </w:rPr>
        <w:t xml:space="preserve"> </w:t>
      </w:r>
    </w:p>
    <w:p w:rsidR="00133226" w:rsidRDefault="002C2855">
      <w:pPr>
        <w:spacing w:after="122"/>
        <w:ind w:left="-15" w:right="264"/>
      </w:pPr>
      <w:r>
        <w:rPr>
          <w:rFonts w:ascii="Times New Roman" w:eastAsia="Times New Roman" w:hAnsi="Times New Roman" w:cs="Times New Roman"/>
          <w:sz w:val="28"/>
        </w:rPr>
        <w:t xml:space="preserve">                    </w:t>
      </w:r>
      <w:r>
        <w:rPr>
          <w:rFonts w:ascii="Times New Roman" w:eastAsia="Times New Roman" w:hAnsi="Times New Roman" w:cs="Times New Roman"/>
          <w:color w:val="212121"/>
          <w:sz w:val="28"/>
        </w:rPr>
        <w:t xml:space="preserve">Vandenbroucke, J. P., Von Elm, E., Altman, D. G., Gøtzsche, P. C., Mulrow, C. D., </w:t>
      </w:r>
      <w:r>
        <w:rPr>
          <w:color w:val="212121"/>
          <w:sz w:val="28"/>
        </w:rPr>
        <w:t> </w:t>
      </w:r>
    </w:p>
    <w:p w:rsidR="00133226" w:rsidRDefault="002C2855">
      <w:pPr>
        <w:spacing w:after="122" w:line="340" w:lineRule="auto"/>
        <w:ind w:left="720" w:right="264"/>
      </w:pPr>
      <w:r>
        <w:rPr>
          <w:rFonts w:ascii="Times New Roman" w:eastAsia="Times New Roman" w:hAnsi="Times New Roman" w:cs="Times New Roman"/>
          <w:color w:val="212121"/>
          <w:sz w:val="28"/>
        </w:rPr>
        <w:t xml:space="preserve">      Pocock, S. J., ... &amp; Strobe Initiative. (2007). Strengthening the Reporting of Observational </w:t>
      </w:r>
      <w:r>
        <w:rPr>
          <w:color w:val="212121"/>
          <w:sz w:val="28"/>
        </w:rPr>
        <w:t> </w:t>
      </w:r>
      <w:r>
        <w:rPr>
          <w:rFonts w:ascii="Times New Roman" w:eastAsia="Times New Roman" w:hAnsi="Times New Roman" w:cs="Times New Roman"/>
          <w:color w:val="212121"/>
          <w:sz w:val="28"/>
        </w:rPr>
        <w:t xml:space="preserve">      Studies in Epidemiology (STROBE): explanation and elaboration. </w:t>
      </w:r>
      <w:r>
        <w:rPr>
          <w:color w:val="212121"/>
          <w:sz w:val="28"/>
        </w:rPr>
        <w:t> </w:t>
      </w:r>
      <w:r>
        <w:rPr>
          <w:rFonts w:ascii="Times New Roman" w:eastAsia="Times New Roman" w:hAnsi="Times New Roman" w:cs="Times New Roman"/>
          <w:color w:val="212121"/>
          <w:sz w:val="28"/>
        </w:rPr>
        <w:t xml:space="preserve">  </w:t>
      </w:r>
      <w:r>
        <w:rPr>
          <w:rFonts w:ascii="Times New Roman" w:eastAsia="Times New Roman" w:hAnsi="Times New Roman" w:cs="Times New Roman"/>
          <w:color w:val="212121"/>
          <w:sz w:val="28"/>
        </w:rPr>
        <w:t xml:space="preserve">    </w:t>
      </w:r>
      <w:r>
        <w:rPr>
          <w:rFonts w:ascii="Times New Roman" w:eastAsia="Times New Roman" w:hAnsi="Times New Roman" w:cs="Times New Roman"/>
          <w:i/>
          <w:color w:val="212121"/>
          <w:sz w:val="28"/>
        </w:rPr>
        <w:t>PLoS medicine</w:t>
      </w:r>
      <w:r>
        <w:rPr>
          <w:rFonts w:ascii="Times New Roman" w:eastAsia="Times New Roman" w:hAnsi="Times New Roman" w:cs="Times New Roman"/>
          <w:color w:val="212121"/>
          <w:sz w:val="28"/>
        </w:rPr>
        <w:t xml:space="preserve">, </w:t>
      </w:r>
      <w:r>
        <w:rPr>
          <w:rFonts w:ascii="Times New Roman" w:eastAsia="Times New Roman" w:hAnsi="Times New Roman" w:cs="Times New Roman"/>
          <w:i/>
          <w:color w:val="212121"/>
          <w:sz w:val="28"/>
        </w:rPr>
        <w:t>4</w:t>
      </w:r>
      <w:r>
        <w:rPr>
          <w:rFonts w:ascii="Times New Roman" w:eastAsia="Times New Roman" w:hAnsi="Times New Roman" w:cs="Times New Roman"/>
          <w:color w:val="212121"/>
          <w:sz w:val="28"/>
        </w:rPr>
        <w:t xml:space="preserve">(10), e297. </w:t>
      </w:r>
    </w:p>
    <w:sectPr w:rsidR="00133226">
      <w:pgSz w:w="11906" w:h="16838"/>
      <w:pgMar w:top="892" w:right="385" w:bottom="648" w:left="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2855" w:rsidRDefault="002C2855" w:rsidP="00FD6A1A">
      <w:pPr>
        <w:spacing w:after="0" w:line="240" w:lineRule="auto"/>
      </w:pPr>
      <w:r>
        <w:separator/>
      </w:r>
    </w:p>
  </w:endnote>
  <w:endnote w:type="continuationSeparator" w:id="0">
    <w:p w:rsidR="002C2855" w:rsidRDefault="002C2855" w:rsidP="00FD6A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2855" w:rsidRDefault="002C2855" w:rsidP="00FD6A1A">
      <w:pPr>
        <w:spacing w:after="0" w:line="240" w:lineRule="auto"/>
      </w:pPr>
      <w:r>
        <w:separator/>
      </w:r>
    </w:p>
  </w:footnote>
  <w:footnote w:type="continuationSeparator" w:id="0">
    <w:p w:rsidR="002C2855" w:rsidRDefault="002C2855" w:rsidP="00FD6A1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3226"/>
    <w:rsid w:val="00133226"/>
    <w:rsid w:val="002C2855"/>
    <w:rsid w:val="00FD6A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419BEC-5996-472F-BC60-715AF7F3D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6A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6A1A"/>
    <w:rPr>
      <w:rFonts w:ascii="Calibri" w:eastAsia="Calibri" w:hAnsi="Calibri" w:cs="Calibri"/>
      <w:color w:val="000000"/>
    </w:rPr>
  </w:style>
  <w:style w:type="paragraph" w:styleId="Footer">
    <w:name w:val="footer"/>
    <w:basedOn w:val="Normal"/>
    <w:link w:val="FooterChar"/>
    <w:uiPriority w:val="99"/>
    <w:unhideWhenUsed/>
    <w:rsid w:val="00FD6A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6A1A"/>
    <w:rPr>
      <w:rFonts w:ascii="Calibri" w:eastAsia="Calibri" w:hAnsi="Calibri" w:cs="Calibri"/>
      <w:color w:val="000000"/>
    </w:rPr>
  </w:style>
  <w:style w:type="paragraph" w:styleId="Title">
    <w:name w:val="Title"/>
    <w:basedOn w:val="Normal"/>
    <w:next w:val="Normal"/>
    <w:link w:val="TitleChar"/>
    <w:uiPriority w:val="10"/>
    <w:qFormat/>
    <w:rsid w:val="00FD6A1A"/>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FD6A1A"/>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i.org/10.1186/s12916-014-0265-4"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971</Words>
  <Characters>5538</Characters>
  <Application>Microsoft Office Word</Application>
  <DocSecurity>0</DocSecurity>
  <Lines>46</Lines>
  <Paragraphs>12</Paragraphs>
  <ScaleCrop>false</ScaleCrop>
  <Company/>
  <LinksUpToDate>false</LinksUpToDate>
  <CharactersWithSpaces>6497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 word essay epidemiological studies.pages</dc:title>
  <dc:subject/>
  <dc:creator>laptopcare</dc:creator>
  <cp:keywords/>
  <cp:lastModifiedBy>laptopcare</cp:lastModifiedBy>
  <cp:revision>2</cp:revision>
  <dcterms:created xsi:type="dcterms:W3CDTF">2022-01-15T10:39:00Z</dcterms:created>
  <dcterms:modified xsi:type="dcterms:W3CDTF">2022-01-15T10:39:00Z</dcterms:modified>
</cp:coreProperties>
</file>