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69DF" w:rsidRDefault="00F922FE">
      <w:pPr>
        <w:spacing w:after="228" w:line="259" w:lineRule="auto"/>
        <w:ind w:left="510" w:right="-1229" w:firstLine="0"/>
      </w:pPr>
      <w:r>
        <w:rPr>
          <w:rFonts w:ascii="Arial" w:eastAsia="Arial" w:hAnsi="Arial" w:cs="Arial"/>
        </w:rPr>
        <w:t xml:space="preserve"> </w:t>
      </w:r>
    </w:p>
    <w:p w:rsidR="00B269DF" w:rsidRDefault="00F922FE">
      <w:pPr>
        <w:spacing w:after="0" w:line="259" w:lineRule="auto"/>
        <w:ind w:left="10" w:right="-12" w:hanging="10"/>
        <w:jc w:val="right"/>
      </w:pPr>
      <w:r>
        <w:t>English 100­001</w:t>
      </w:r>
    </w:p>
    <w:p w:rsidR="00B269DF" w:rsidRDefault="00B269DF">
      <w:pPr>
        <w:spacing w:after="548" w:line="259" w:lineRule="auto"/>
        <w:ind w:right="25" w:firstLine="0"/>
        <w:jc w:val="right"/>
      </w:pPr>
    </w:p>
    <w:p w:rsidR="00B269DF" w:rsidRDefault="00F922FE">
      <w:pPr>
        <w:ind w:left="1730" w:right="1"/>
      </w:pPr>
      <w:r>
        <w:t>Roger Waters was born in September 1943. He was the main lyrist and</w:t>
      </w:r>
      <w:bookmarkStart w:id="0" w:name="_GoBack"/>
      <w:bookmarkEnd w:id="0"/>
      <w:r>
        <w:t xml:space="preserve"> bassist in the rock and roll group Pink Floyd, an extremely influential rock and roll group from the late 1965s through the </w:t>
      </w:r>
      <w:proofErr w:type="spellStart"/>
      <w:r>
        <w:t>mid­eighties</w:t>
      </w:r>
      <w:proofErr w:type="spellEnd"/>
      <w:r>
        <w:t xml:space="preserve"> when legal dilemma’s resulted in the breakup of the</w:t>
      </w:r>
      <w:r>
        <w:t xml:space="preserve"> group (Snyder).  Since then, band members of Pink Floyd, primarily Roger Waters and David Gilmour tour independently and play their most </w:t>
      </w:r>
      <w:proofErr w:type="spellStart"/>
      <w:r>
        <w:t>well known</w:t>
      </w:r>
      <w:proofErr w:type="spellEnd"/>
      <w:r>
        <w:t xml:space="preserve"> work. The focus of this review is Roger Waters’ work, “The Wall,” a rock and roll album that influenced a m</w:t>
      </w:r>
      <w:r>
        <w:t>usical as well as a live performance that I personally attended last year. It can be argued that Waters used much of his own life for the character of Pink in, “The Wall,” because there are many striking similarities to his own life and that of the main ch</w:t>
      </w:r>
      <w:r>
        <w:t xml:space="preserve">aracters. Waters’ own father was killed during World War II fighting in Anzio, Italy leaving only his mother to raise him. (Pink Floyd Online) Waters’ musical is also the voice </w:t>
      </w:r>
      <w:proofErr w:type="gramStart"/>
      <w:r>
        <w:t>of</w:t>
      </w:r>
      <w:proofErr w:type="gramEnd"/>
      <w:r>
        <w:t xml:space="preserve"> a generation in the way that rock and roll music was different than anything</w:t>
      </w:r>
      <w:r>
        <w:t xml:space="preserve"> that preceded it (</w:t>
      </w:r>
      <w:proofErr w:type="spellStart"/>
      <w:r>
        <w:t>Szatmary</w:t>
      </w:r>
      <w:proofErr w:type="spellEnd"/>
      <w:r>
        <w:t xml:space="preserve">). This stark difference allowed the youth of the time to differentiate their generation from their parents and established the beginning of a counterculture that can </w:t>
      </w:r>
    </w:p>
    <w:p w:rsidR="00B269DF" w:rsidRDefault="00F922FE">
      <w:pPr>
        <w:spacing w:after="262" w:line="259" w:lineRule="auto"/>
        <w:ind w:left="1730" w:right="1" w:firstLine="0"/>
      </w:pPr>
      <w:proofErr w:type="gramStart"/>
      <w:r>
        <w:t>be</w:t>
      </w:r>
      <w:proofErr w:type="gramEnd"/>
      <w:r>
        <w:t xml:space="preserve"> related in part to the formation of the widespread and </w:t>
      </w:r>
      <w:proofErr w:type="spellStart"/>
      <w:r>
        <w:t>wel</w:t>
      </w:r>
      <w:r>
        <w:t>l­known</w:t>
      </w:r>
      <w:proofErr w:type="spellEnd"/>
      <w:r>
        <w:t xml:space="preserve"> youth culture today.</w:t>
      </w:r>
    </w:p>
    <w:p w:rsidR="00B269DF" w:rsidRDefault="00F922FE">
      <w:pPr>
        <w:ind w:left="1730" w:right="1"/>
      </w:pPr>
      <w:r>
        <w:t xml:space="preserve"> I attended what I would attribute to my first real concert last year, and while I had previously seen other bands such as The Who, Boston, Styx, and Rush, seeing Roger Waters perform, “The Wall”, was an experience unlike any I</w:t>
      </w:r>
      <w:r>
        <w:t xml:space="preserve"> previously had. The reason I enjoyed Waters’ show so much is because this concert was the epitome of musical drama. “The Wall,” tells the story of a boy Pink, who grows up without a father and </w:t>
      </w:r>
      <w:r>
        <w:lastRenderedPageBreak/>
        <w:t>because of his overprotective mother, has trouble understandin</w:t>
      </w:r>
      <w:r>
        <w:t>g emotion and human relationships. He hides himself, out of fear, behind an emotionless wall, which is ultimately destroyed as he realizes that remaining devoid of emotional attachment will destroy the relationships with those for whom he cares deeply. Whe</w:t>
      </w:r>
      <w:r>
        <w:t>n I saw the show, I had recently watched the original musical and the showmanship and the talent of Roger Waters as well as the aura of the crowd itself blew me away. The concert itself was staged much like a live version of the movie. The opening song, “G</w:t>
      </w:r>
      <w:r>
        <w:t xml:space="preserve">oodbye Cruel World,” set the stage for the rest of the show with brilliant pyrotechnics. As the first song came to a close, a </w:t>
      </w:r>
      <w:proofErr w:type="spellStart"/>
      <w:r>
        <w:t>threedimensional</w:t>
      </w:r>
      <w:proofErr w:type="spellEnd"/>
      <w:r>
        <w:t xml:space="preserve"> model biplane hung by string was flown into a makeshift Styrofoam wall exploding in a brilliant blaze symbolizing</w:t>
      </w:r>
      <w:r>
        <w:t xml:space="preserve"> the bombing of the trench where Pink’s father was stationed. The death of Pink’s father is the rolling action that leads to the rest of the story and the way in which Waters dove directly from the ensuing explosion to a quick rendition of the famous song,</w:t>
      </w:r>
      <w:r>
        <w:t xml:space="preserve"> “Another Brick in the Wall,” blew me away. Throughout the show, Waters had his stagehands erect a huge wall that gradually obscured the band from view. While many would be upset that the act they paid money for was standing behind a paper </w:t>
      </w:r>
      <w:proofErr w:type="spellStart"/>
      <w:r>
        <w:t>mache</w:t>
      </w:r>
      <w:proofErr w:type="spellEnd"/>
      <w:r>
        <w:t xml:space="preserve"> wall, the </w:t>
      </w:r>
      <w:r>
        <w:t>audience accepted the fact that this wall represented the wall around Pink’s emotions. The wall was constructed early in the show, and I thought that it would solely be used for imagery, however Waters used this white background to project numerous beautif</w:t>
      </w:r>
      <w:r>
        <w:t>ully scripted animations. During his song, “Mother,” Waters projected a recording of himself playing the song in 1973 at a concert in London on to The Wall, and during “Empty Spaces,” Waters projected animated scenes from the musical film complete with lar</w:t>
      </w:r>
      <w:r>
        <w:t xml:space="preserve">ger than life marionettes of, “The Teacher,” and “Vera,” iconic characters in the film. In conclusion, we all chanted, “tear down the wall!” with the chorus of the final song, and just as the </w:t>
      </w:r>
      <w:r>
        <w:lastRenderedPageBreak/>
        <w:t xml:space="preserve">wall was blown to pieces in the movie, so too pieces of paper </w:t>
      </w:r>
      <w:proofErr w:type="spellStart"/>
      <w:r>
        <w:t>ma</w:t>
      </w:r>
      <w:r>
        <w:t>che</w:t>
      </w:r>
      <w:proofErr w:type="spellEnd"/>
      <w:r>
        <w:t xml:space="preserve"> wall went flying in all directions. The experience was one I will </w:t>
      </w:r>
    </w:p>
    <w:p w:rsidR="00B269DF" w:rsidRDefault="00F922FE">
      <w:pPr>
        <w:spacing w:after="262" w:line="259" w:lineRule="auto"/>
        <w:ind w:left="1730" w:right="1" w:firstLine="0"/>
      </w:pPr>
      <w:proofErr w:type="gramStart"/>
      <w:r>
        <w:t>always</w:t>
      </w:r>
      <w:proofErr w:type="gramEnd"/>
      <w:r>
        <w:t xml:space="preserve"> remember.</w:t>
      </w:r>
    </w:p>
    <w:p w:rsidR="00B269DF" w:rsidRDefault="00F922FE">
      <w:pPr>
        <w:ind w:left="1730" w:right="1"/>
      </w:pPr>
      <w:r>
        <w:t>The movie, “The Wall,” had a completely different feel to it than the concert. The musical has no dialogue and is instead told entirely though the soundtrack. The story</w:t>
      </w:r>
      <w:r>
        <w:t xml:space="preserve"> of The Wall begins as the main character sings the lyrics, “So you thought you might like to go to the show,” in an invitation to those watching, or listening to hear Pink’s story, which then continues to begin with Pink’s birth and continues into his chi</w:t>
      </w:r>
      <w:r>
        <w:t>ldhood as a fatherless boy with an overprotective mother. School offers no consolation from the emotional distresses at home, and the thought of growing up fatherless gives way to the foundation of Pink’s emotional Wall. The movie also raises a fairly anti</w:t>
      </w:r>
      <w:r>
        <w:t>­government sentiment as Pink grows older and begins to despise his country for the sole reason that his father died in battle and thus left Pink and his family alone. The song “Mother,” is one of the most essential points to the story line because it disp</w:t>
      </w:r>
      <w:r>
        <w:t>lays that the audience learns that Pink’s own mother is contributing to the building of his wall. Her overprotectiveness keeps him from experience and also instills her fears within her child. (</w:t>
      </w:r>
      <w:proofErr w:type="spellStart"/>
      <w:r>
        <w:t>Urick</w:t>
      </w:r>
      <w:proofErr w:type="spellEnd"/>
      <w:r>
        <w:t xml:space="preserve">) The story continues with </w:t>
      </w:r>
      <w:proofErr w:type="gramStart"/>
      <w:r>
        <w:t>Pink</w:t>
      </w:r>
      <w:proofErr w:type="gramEnd"/>
      <w:r>
        <w:t xml:space="preserve"> growing older, and failin</w:t>
      </w:r>
      <w:r>
        <w:t xml:space="preserve">g to find love in his relationship with Vera because of the fears his mother instilled in him as a child. Even as a famous </w:t>
      </w:r>
      <w:proofErr w:type="spellStart"/>
      <w:r>
        <w:t>rock­star</w:t>
      </w:r>
      <w:proofErr w:type="spellEnd"/>
      <w:r>
        <w:t>, Pink fails to find meaning in his life, and the song, “Comfortably Numb,” in which Pink imagines himself dying and rotting</w:t>
      </w:r>
      <w:r>
        <w:t xml:space="preserve"> away is the final sane testimony before Pink recedes into the inner recesses of his emotional blockade. As the story concludes and Pink holds a personal trial within his wall, he realizes that showing </w:t>
      </w:r>
    </w:p>
    <w:p w:rsidR="00B269DF" w:rsidRDefault="00F922FE">
      <w:pPr>
        <w:spacing w:after="262" w:line="259" w:lineRule="auto"/>
        <w:ind w:left="1730" w:right="1" w:firstLine="0"/>
      </w:pPr>
      <w:proofErr w:type="gramStart"/>
      <w:r>
        <w:t>emotion</w:t>
      </w:r>
      <w:proofErr w:type="gramEnd"/>
      <w:r>
        <w:t xml:space="preserve"> will not doom you, but emotion unchecked can </w:t>
      </w:r>
      <w:r>
        <w:t xml:space="preserve">lead to your demise. </w:t>
      </w:r>
    </w:p>
    <w:p w:rsidR="00B269DF" w:rsidRDefault="00F922FE">
      <w:pPr>
        <w:ind w:left="1730" w:right="1"/>
      </w:pPr>
      <w:r>
        <w:t xml:space="preserve">The album as a whole, while drawing reference from Waters’ own life also alludes to the post­war generation as a whole. The destruction that lay across Europe in </w:t>
      </w:r>
      <w:r>
        <w:lastRenderedPageBreak/>
        <w:t>the wake of World War II and the sorrow it left in the hearts of those a</w:t>
      </w:r>
      <w:r>
        <w:t>round the world that longed for their lost family members and friends is allegorically represented in the musical. (Hargreaves, North) The Wall that Pink built would be very similar to that which anyone who lost a family member or a friend to the war would</w:t>
      </w:r>
      <w:r>
        <w:t xml:space="preserve"> have built, as well as any child or adolescent caught during a rough patch in his or her life. The growing counter­culture of the 1960’s and 1970’s that had an extremely anti­war sentiment gave rise to a new “youth culture,” one that had been unprecedente</w:t>
      </w:r>
      <w:r>
        <w:t>d before simply because children were supposed to be seen and not heard. (</w:t>
      </w:r>
      <w:proofErr w:type="spellStart"/>
      <w:r>
        <w:t>Szatmary</w:t>
      </w:r>
      <w:proofErr w:type="spellEnd"/>
      <w:r>
        <w:t>) This growing youth movement inspired younger generations to speak out and can be paralleled to today’s very dynamic youth culture. During the show, Waters projected the pic</w:t>
      </w:r>
      <w:r>
        <w:t xml:space="preserve">tures of the countless millions that have been slaughtered during wars around the world, and during, “Bring the Boys Back Home,” he showed movies of surviving soldiers being reunited with their families.  (Lewis) This also displays Waters’ anti­government </w:t>
      </w:r>
      <w:r>
        <w:t xml:space="preserve">sentiment, as war is just a worthless waste of life. </w:t>
      </w:r>
    </w:p>
    <w:p w:rsidR="00B269DF" w:rsidRDefault="00F922FE">
      <w:pPr>
        <w:ind w:left="1730" w:right="1"/>
      </w:pPr>
      <w:r>
        <w:t>All in all, Roger Waters’ musical genius can be interpreted on and off the stage. His album, film, and concert theme of The Wall effectively builds up the fact that emotional trauma as a child can resul</w:t>
      </w:r>
      <w:r>
        <w:t>t in an emotionless adult. The youth of this era, having grown up from the terrors of World War II were especially vulnerable to negative influences in their lives. (</w:t>
      </w:r>
      <w:proofErr w:type="spellStart"/>
      <w:r>
        <w:t>Szatmary</w:t>
      </w:r>
      <w:proofErr w:type="spellEnd"/>
      <w:r>
        <w:t xml:space="preserve">) To sum it up, the </w:t>
      </w:r>
      <w:proofErr w:type="spellStart"/>
      <w:r>
        <w:t>over arching</w:t>
      </w:r>
      <w:proofErr w:type="spellEnd"/>
      <w:r>
        <w:t xml:space="preserve"> theme of the Rock and Roll era, the larger pictur</w:t>
      </w:r>
      <w:r>
        <w:t xml:space="preserve">e in fact, is that this music sounded different than anything that came before it. The youth were able to relate to it and because of seductive lyrics and catchy melodies, the older generations were fearful of the impact it would have on them. Although in </w:t>
      </w:r>
      <w:r>
        <w:t xml:space="preserve">the 1970’s the youth culture that we know today was hardly as defined then as it is now, the ideals it started in the form of counter­culture live on in the youth today. Teenagers attend crazy concerts, do drugs, and drink, much like they </w:t>
      </w:r>
      <w:r>
        <w:lastRenderedPageBreak/>
        <w:t xml:space="preserve">have done in the </w:t>
      </w:r>
      <w:r>
        <w:t xml:space="preserve">past, but the belief that the youth are discovering the world in their own way is something that was touched on even before Roger Waters wrote “The Wall.” </w:t>
      </w:r>
    </w:p>
    <w:p w:rsidR="00B269DF" w:rsidRDefault="00F922FE">
      <w:pPr>
        <w:spacing w:after="236" w:line="259" w:lineRule="auto"/>
        <w:ind w:left="1684" w:right="0" w:firstLine="0"/>
        <w:jc w:val="center"/>
      </w:pPr>
      <w:r>
        <w:t xml:space="preserve">Works Cited </w:t>
      </w:r>
    </w:p>
    <w:p w:rsidR="00B269DF" w:rsidRDefault="00F922FE">
      <w:pPr>
        <w:spacing w:after="276" w:line="226" w:lineRule="auto"/>
        <w:ind w:left="2450" w:right="0" w:hanging="720"/>
      </w:pPr>
      <w:r>
        <w:t xml:space="preserve">Hargreaves, David J., and Adrian C. North. "The Psychology of Music in Everyday Life." </w:t>
      </w:r>
      <w:r>
        <w:rPr>
          <w:i/>
        </w:rPr>
        <w:t>Psychology of Music</w:t>
      </w:r>
      <w:r>
        <w:t xml:space="preserve">. Sage Publications, 1999. Web. 19 Mar. 2012. &lt;http://pom.sagepub.com/content/27/1/71.full.pdf html&gt;. </w:t>
      </w:r>
    </w:p>
    <w:p w:rsidR="00B269DF" w:rsidRDefault="00F922FE">
      <w:pPr>
        <w:spacing w:after="0" w:line="226" w:lineRule="auto"/>
        <w:ind w:left="2450" w:right="0" w:hanging="720"/>
      </w:pPr>
      <w:r>
        <w:t xml:space="preserve">Lewis, Randy. "Pop &amp; Hiss." </w:t>
      </w:r>
      <w:r>
        <w:rPr>
          <w:i/>
        </w:rPr>
        <w:t>Live Review: Roger Waters and 'The Wall' at Staples Center</w:t>
      </w:r>
      <w:r>
        <w:t xml:space="preserve">. Los Angeles Times, 30 Nov. 2010. Web. 19 Mar. </w:t>
      </w:r>
      <w:r>
        <w:t xml:space="preserve">2012. </w:t>
      </w:r>
    </w:p>
    <w:p w:rsidR="00B269DF" w:rsidRDefault="00F922FE">
      <w:pPr>
        <w:spacing w:after="276" w:line="226" w:lineRule="auto"/>
        <w:ind w:left="2475" w:right="0" w:hanging="10"/>
      </w:pPr>
      <w:r>
        <w:t xml:space="preserve">&lt;http://latimesblogs.latimes.com/music_blog/2010/11/roger-waters-the-wallstaples.html&gt;. </w:t>
      </w:r>
    </w:p>
    <w:p w:rsidR="00B269DF" w:rsidRDefault="00F922FE">
      <w:pPr>
        <w:spacing w:after="33" w:line="226" w:lineRule="auto"/>
        <w:ind w:left="1740" w:right="0" w:hanging="10"/>
      </w:pPr>
      <w:r>
        <w:t xml:space="preserve">"Pink Floyd Online." </w:t>
      </w:r>
      <w:r>
        <w:rPr>
          <w:i/>
        </w:rPr>
        <w:t>Pink Floyd</w:t>
      </w:r>
      <w:r>
        <w:t xml:space="preserve">. Guitar Noise. Web. 22 Mar. 2012. </w:t>
      </w:r>
    </w:p>
    <w:p w:rsidR="00B269DF" w:rsidRDefault="00F922FE">
      <w:pPr>
        <w:spacing w:after="305" w:line="226" w:lineRule="auto"/>
        <w:ind w:left="1740" w:right="0" w:hanging="10"/>
      </w:pPr>
      <w:r>
        <w:t>&lt;http://www.pinkfloydonline.com/history/&gt;</w:t>
      </w:r>
    </w:p>
    <w:p w:rsidR="00B269DF" w:rsidRDefault="00F922FE">
      <w:pPr>
        <w:spacing w:after="310" w:line="226" w:lineRule="auto"/>
        <w:ind w:left="1740" w:right="0" w:hanging="10"/>
      </w:pPr>
      <w:proofErr w:type="spellStart"/>
      <w:r>
        <w:t>Szatmary</w:t>
      </w:r>
      <w:proofErr w:type="spellEnd"/>
      <w:r>
        <w:t xml:space="preserve">, David P. </w:t>
      </w:r>
      <w:proofErr w:type="spellStart"/>
      <w:r>
        <w:rPr>
          <w:i/>
        </w:rPr>
        <w:t>Rockin</w:t>
      </w:r>
      <w:proofErr w:type="spellEnd"/>
      <w:r>
        <w:rPr>
          <w:i/>
        </w:rPr>
        <w:t>' in Time: A Social Histor</w:t>
      </w:r>
      <w:r>
        <w:rPr>
          <w:i/>
        </w:rPr>
        <w:t>y of Rock and Roll</w:t>
      </w:r>
      <w:r>
        <w:t>. Englewood Cliffs, NJ: Prentice-Hall, 1987. Print.</w:t>
      </w:r>
    </w:p>
    <w:p w:rsidR="00B269DF" w:rsidRDefault="00F922FE">
      <w:pPr>
        <w:spacing w:after="276" w:line="226" w:lineRule="auto"/>
        <w:ind w:left="1740" w:right="0" w:hanging="10"/>
      </w:pPr>
      <w:r>
        <w:t xml:space="preserve">Snyder, Randall. </w:t>
      </w:r>
      <w:r>
        <w:rPr>
          <w:i/>
        </w:rPr>
        <w:t>An Outline History of Rock and Roll</w:t>
      </w:r>
      <w:r>
        <w:t>. Dubuque, IA: Kendall/Hunt, 1997. Print.</w:t>
      </w:r>
    </w:p>
    <w:p w:rsidR="00B269DF" w:rsidRDefault="00F922FE" w:rsidP="009D7970">
      <w:pPr>
        <w:spacing w:after="7432" w:line="226" w:lineRule="auto"/>
        <w:ind w:left="1740" w:right="0" w:hanging="10"/>
      </w:pPr>
      <w:proofErr w:type="spellStart"/>
      <w:r>
        <w:t>Urick</w:t>
      </w:r>
      <w:proofErr w:type="spellEnd"/>
      <w:r>
        <w:t xml:space="preserve">, Bret. "The Wall." </w:t>
      </w:r>
      <w:r>
        <w:rPr>
          <w:i/>
        </w:rPr>
        <w:t>A Complete Analysis of Pink Floyd's "The Wall"</w:t>
      </w:r>
      <w:r>
        <w:t xml:space="preserve"> Web. 22 Mar. 2012. &lt;</w:t>
      </w:r>
      <w:r>
        <w:t>http://www.thewallanalysis.com/main/&gt;.</w:t>
      </w:r>
    </w:p>
    <w:sectPr w:rsidR="00B269DF">
      <w:headerReference w:type="even" r:id="rId6"/>
      <w:headerReference w:type="default" r:id="rId7"/>
      <w:footerReference w:type="even" r:id="rId8"/>
      <w:footerReference w:type="default" r:id="rId9"/>
      <w:headerReference w:type="first" r:id="rId10"/>
      <w:footerReference w:type="first" r:id="rId11"/>
      <w:pgSz w:w="12240" w:h="15840"/>
      <w:pgMar w:top="387" w:right="1796"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22FE" w:rsidRDefault="00F922FE">
      <w:pPr>
        <w:spacing w:after="0" w:line="240" w:lineRule="auto"/>
      </w:pPr>
      <w:r>
        <w:separator/>
      </w:r>
    </w:p>
  </w:endnote>
  <w:endnote w:type="continuationSeparator" w:id="0">
    <w:p w:rsidR="00F922FE" w:rsidRDefault="00F922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69DF" w:rsidRDefault="00B269DF">
    <w:pPr>
      <w:spacing w:after="0" w:line="259" w:lineRule="auto"/>
      <w:ind w:left="567" w:right="0"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69DF" w:rsidRDefault="00B269DF">
    <w:pPr>
      <w:spacing w:after="0" w:line="259" w:lineRule="auto"/>
      <w:ind w:left="567" w:righ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69DF" w:rsidRDefault="00B269DF">
    <w:pPr>
      <w:spacing w:after="0" w:line="259" w:lineRule="auto"/>
      <w:ind w:left="567" w:righ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22FE" w:rsidRDefault="00F922FE">
      <w:pPr>
        <w:spacing w:after="0" w:line="240" w:lineRule="auto"/>
      </w:pPr>
      <w:r>
        <w:separator/>
      </w:r>
    </w:p>
  </w:footnote>
  <w:footnote w:type="continuationSeparator" w:id="0">
    <w:p w:rsidR="00F922FE" w:rsidRDefault="00F922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69DF" w:rsidRDefault="00B269DF">
    <w:pPr>
      <w:spacing w:after="0" w:line="238" w:lineRule="auto"/>
      <w:ind w:left="7997" w:right="0" w:firstLine="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69DF" w:rsidRDefault="00B269DF">
    <w:pPr>
      <w:spacing w:after="0" w:line="238" w:lineRule="auto"/>
      <w:ind w:left="7997" w:right="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69DF" w:rsidRDefault="00B269DF">
    <w:pPr>
      <w:spacing w:after="160" w:line="259" w:lineRule="auto"/>
      <w:ind w:righ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9DF"/>
    <w:rsid w:val="009D7970"/>
    <w:rsid w:val="00B269DF"/>
    <w:rsid w:val="00F922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A7CD389-AB59-4F7D-938B-61F16B9ED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73" w:lineRule="auto"/>
      <w:ind w:right="3" w:firstLine="7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1345</Words>
  <Characters>7673</Characters>
  <Application>Microsoft Office Word</Application>
  <DocSecurity>0</DocSecurity>
  <Lines>63</Lines>
  <Paragraphs>17</Paragraphs>
  <ScaleCrop>false</ScaleCrop>
  <Company/>
  <LinksUpToDate>false</LinksUpToDate>
  <CharactersWithSpaces>9001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100000753875810,CHDL-UGC-Meta</cp:keywords>
  <cp:lastModifiedBy>Microsoft account</cp:lastModifiedBy>
  <cp:revision>2</cp:revision>
  <dcterms:created xsi:type="dcterms:W3CDTF">2022-07-15T09:55:00Z</dcterms:created>
  <dcterms:modified xsi:type="dcterms:W3CDTF">2022-07-15T09:55:00Z</dcterms:modified>
</cp:coreProperties>
</file>