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A Critical Appraisal of the Literature on Diversification within Private Real Estate Portfolios in the United Kingdom</w:t>
      </w:r>
      <w:r w:rsidRPr="00FB321C">
        <w:rPr>
          <w:rFonts w:ascii="Segoe UI" w:eastAsia="Times New Roman" w:hAnsi="Segoe UI" w:cs="Segoe UI"/>
          <w:color w:val="212529"/>
          <w:sz w:val="24"/>
          <w:szCs w:val="24"/>
        </w:rPr>
        <w:t> </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Abstract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One of the two major ways in which institutional investors can invest in real estate is “private real estate”. Private real estate is to purchase un-securitized real estate directly through property pools, commingled real estate funds (CREFs), syndications or separate accounts that are managed by professional real estate portfolio managers or investment advisors. This form of ownership will henceforth be referred to as “private real estate”. There are different drivers of investing within the private real estate portfolios, including markets, sectors, management, area/building specific, scale, diversification, liquidity, tax and governance risks. The private real estate has a low level of linear dependence on equity, so private real estate requires the diversification of its portfolios. This paper provides a critical appraisal of the literature on diversification within private real estate portfolios. Does a U.K. market need to do the diversification within private real estate portfolios when British people need it? Not really.</w:t>
      </w:r>
    </w:p>
    <w:p w:rsidR="00FB321C" w:rsidRPr="00FB321C" w:rsidRDefault="00FB321C" w:rsidP="00FB321C">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Literature Review</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Investment in private real estate offers considerable advantages: it is a tangible asset with low volatility; and it generates an attractive income stream and long-term capital appreciation and particularly strong diversification benefits to stocks and bonds. Thus, there is extant literature showing that private real estate has a significant place in the U.S. mixed-asset portfolio: see </w:t>
      </w:r>
      <w:proofErr w:type="spellStart"/>
      <w:r w:rsidRPr="00FB321C">
        <w:rPr>
          <w:rFonts w:ascii="Segoe UI" w:eastAsia="Times New Roman" w:hAnsi="Segoe UI" w:cs="Segoe UI"/>
          <w:color w:val="212529"/>
          <w:sz w:val="24"/>
          <w:szCs w:val="24"/>
        </w:rPr>
        <w:t>Ziobrowski</w:t>
      </w:r>
      <w:proofErr w:type="spellEnd"/>
      <w:r w:rsidRPr="00FB321C">
        <w:rPr>
          <w:rFonts w:ascii="Segoe UI" w:eastAsia="Times New Roman" w:hAnsi="Segoe UI" w:cs="Segoe UI"/>
          <w:color w:val="212529"/>
          <w:sz w:val="24"/>
          <w:szCs w:val="24"/>
        </w:rPr>
        <w:t xml:space="preserve"> and </w:t>
      </w:r>
      <w:proofErr w:type="spellStart"/>
      <w:r w:rsidRPr="00FB321C">
        <w:rPr>
          <w:rFonts w:ascii="Segoe UI" w:eastAsia="Times New Roman" w:hAnsi="Segoe UI" w:cs="Segoe UI"/>
          <w:color w:val="212529"/>
          <w:sz w:val="24"/>
          <w:szCs w:val="24"/>
        </w:rPr>
        <w:t>Ziobrowski</w:t>
      </w:r>
      <w:proofErr w:type="spellEnd"/>
      <w:r w:rsidRPr="00FB321C">
        <w:rPr>
          <w:rFonts w:ascii="Segoe UI" w:eastAsia="Times New Roman" w:hAnsi="Segoe UI" w:cs="Segoe UI"/>
          <w:color w:val="212529"/>
          <w:sz w:val="24"/>
          <w:szCs w:val="24"/>
        </w:rPr>
        <w:t xml:space="preserve"> (1997); and </w:t>
      </w:r>
      <w:proofErr w:type="spellStart"/>
      <w:r w:rsidRPr="00FB321C">
        <w:rPr>
          <w:rFonts w:ascii="Segoe UI" w:eastAsia="Times New Roman" w:hAnsi="Segoe UI" w:cs="Segoe UI"/>
          <w:color w:val="212529"/>
          <w:sz w:val="24"/>
          <w:szCs w:val="24"/>
        </w:rPr>
        <w:t>Firstenberg</w:t>
      </w:r>
      <w:proofErr w:type="spellEnd"/>
      <w:r w:rsidRPr="00FB321C">
        <w:rPr>
          <w:rFonts w:ascii="Segoe UI" w:eastAsia="Times New Roman" w:hAnsi="Segoe UI" w:cs="Segoe UI"/>
          <w:color w:val="212529"/>
          <w:sz w:val="24"/>
          <w:szCs w:val="24"/>
        </w:rPr>
        <w:t xml:space="preserve">, Ross &amp; </w:t>
      </w:r>
      <w:proofErr w:type="spellStart"/>
      <w:r w:rsidRPr="00FB321C">
        <w:rPr>
          <w:rFonts w:ascii="Segoe UI" w:eastAsia="Times New Roman" w:hAnsi="Segoe UI" w:cs="Segoe UI"/>
          <w:color w:val="212529"/>
          <w:sz w:val="24"/>
          <w:szCs w:val="24"/>
        </w:rPr>
        <w:t>Zisler</w:t>
      </w:r>
      <w:proofErr w:type="spellEnd"/>
      <w:r w:rsidRPr="00FB321C">
        <w:rPr>
          <w:rFonts w:ascii="Segoe UI" w:eastAsia="Times New Roman" w:hAnsi="Segoe UI" w:cs="Segoe UI"/>
          <w:color w:val="212529"/>
          <w:sz w:val="24"/>
          <w:szCs w:val="24"/>
        </w:rPr>
        <w:t xml:space="preserve"> (1998); among others.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Researchers conducted several studies on real estate’s role as a component of asset-only portfolios, specifically focusing on real estate’s diversification benefits. These studies compensate for some of the issues with real estate data, in particular, that of valuation smoothing. Most of these studies conclude that the allocation to real estate should be from 10% upward. The results indicate that limited diversification benefits can be gained from international investments in pure office strategies, particularly for multi-asset investors seeking to reduce risk stemming from the capital markets.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Existing empirical evidence is generally consistent with firm owners’ portfolio diversification having a positive impact on their firms’ risk taking (e.g., </w:t>
      </w:r>
      <w:proofErr w:type="spellStart"/>
      <w:r w:rsidRPr="00FB321C">
        <w:rPr>
          <w:rFonts w:ascii="Segoe UI" w:eastAsia="Times New Roman" w:hAnsi="Segoe UI" w:cs="Segoe UI"/>
          <w:color w:val="212529"/>
          <w:sz w:val="24"/>
          <w:szCs w:val="24"/>
        </w:rPr>
        <w:t>Amihud</w:t>
      </w:r>
      <w:proofErr w:type="spellEnd"/>
      <w:r w:rsidRPr="00FB321C">
        <w:rPr>
          <w:rFonts w:ascii="Segoe UI" w:eastAsia="Times New Roman" w:hAnsi="Segoe UI" w:cs="Segoe UI"/>
          <w:color w:val="212529"/>
          <w:sz w:val="24"/>
          <w:szCs w:val="24"/>
        </w:rPr>
        <w:t xml:space="preserve"> and Lev (1981) and </w:t>
      </w:r>
      <w:proofErr w:type="spellStart"/>
      <w:r w:rsidRPr="00FB321C">
        <w:rPr>
          <w:rFonts w:ascii="Segoe UI" w:eastAsia="Times New Roman" w:hAnsi="Segoe UI" w:cs="Segoe UI"/>
          <w:color w:val="212529"/>
          <w:sz w:val="24"/>
          <w:szCs w:val="24"/>
        </w:rPr>
        <w:t>Faccio</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and Mura (2011)). The general theme in the existing literature is that firm riskiness can be reduced primarily by means of choosing safer investments, i.e. investments that result in lower cash flow volatility or stock return volatility (e.g.,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 and </w:t>
      </w:r>
      <w:proofErr w:type="spellStart"/>
      <w:r w:rsidRPr="00FB321C">
        <w:rPr>
          <w:rFonts w:ascii="Segoe UI" w:eastAsia="Times New Roman" w:hAnsi="Segoe UI" w:cs="Segoe UI"/>
          <w:color w:val="212529"/>
          <w:sz w:val="24"/>
          <w:szCs w:val="24"/>
        </w:rPr>
        <w:t>Faccio</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and </w:t>
      </w:r>
      <w:r w:rsidRPr="00FB321C">
        <w:rPr>
          <w:rFonts w:ascii="Segoe UI" w:eastAsia="Times New Roman" w:hAnsi="Segoe UI" w:cs="Segoe UI"/>
          <w:color w:val="212529"/>
          <w:sz w:val="24"/>
          <w:szCs w:val="24"/>
        </w:rPr>
        <w:lastRenderedPageBreak/>
        <w:t xml:space="preserve">Mura (2011)), or lower correlation with the rest of the firm decision makers’ cash flows (e.g., </w:t>
      </w:r>
      <w:proofErr w:type="spellStart"/>
      <w:r w:rsidRPr="00FB321C">
        <w:rPr>
          <w:rFonts w:ascii="Segoe UI" w:eastAsia="Times New Roman" w:hAnsi="Segoe UI" w:cs="Segoe UI"/>
          <w:color w:val="212529"/>
          <w:sz w:val="24"/>
          <w:szCs w:val="24"/>
        </w:rPr>
        <w:t>Amihud</w:t>
      </w:r>
      <w:proofErr w:type="spellEnd"/>
      <w:r w:rsidRPr="00FB321C">
        <w:rPr>
          <w:rFonts w:ascii="Segoe UI" w:eastAsia="Times New Roman" w:hAnsi="Segoe UI" w:cs="Segoe UI"/>
          <w:color w:val="212529"/>
          <w:sz w:val="24"/>
          <w:szCs w:val="24"/>
        </w:rPr>
        <w:t xml:space="preserve"> and Lev (1981) and </w:t>
      </w:r>
      <w:proofErr w:type="spellStart"/>
      <w:r w:rsidRPr="00FB321C">
        <w:rPr>
          <w:rFonts w:ascii="Segoe UI" w:eastAsia="Times New Roman" w:hAnsi="Segoe UI" w:cs="Segoe UI"/>
          <w:color w:val="212529"/>
          <w:sz w:val="24"/>
          <w:szCs w:val="24"/>
        </w:rPr>
        <w:t>Gormley</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Matsa</w:t>
      </w:r>
      <w:proofErr w:type="spellEnd"/>
      <w:r w:rsidRPr="00FB321C">
        <w:rPr>
          <w:rFonts w:ascii="Segoe UI" w:eastAsia="Times New Roman" w:hAnsi="Segoe UI" w:cs="Segoe UI"/>
          <w:color w:val="212529"/>
          <w:sz w:val="24"/>
          <w:szCs w:val="24"/>
        </w:rPr>
        <w:t xml:space="preserve"> and </w:t>
      </w:r>
      <w:proofErr w:type="spellStart"/>
      <w:r w:rsidRPr="00FB321C">
        <w:rPr>
          <w:rFonts w:ascii="Segoe UI" w:eastAsia="Times New Roman" w:hAnsi="Segoe UI" w:cs="Segoe UI"/>
          <w:color w:val="212529"/>
          <w:sz w:val="24"/>
          <w:szCs w:val="24"/>
        </w:rPr>
        <w:t>Milbourn</w:t>
      </w:r>
      <w:proofErr w:type="spellEnd"/>
      <w:r w:rsidRPr="00FB321C">
        <w:rPr>
          <w:rFonts w:ascii="Segoe UI" w:eastAsia="Times New Roman" w:hAnsi="Segoe UI" w:cs="Segoe UI"/>
          <w:color w:val="212529"/>
          <w:sz w:val="24"/>
          <w:szCs w:val="24"/>
        </w:rPr>
        <w:t xml:space="preserve"> (2013)).</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association between private (constrained) firm owners’ portfolio diversification and investment is negative and significant in most cases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 study possible </w:t>
      </w:r>
      <w:proofErr w:type="spellStart"/>
      <w:r w:rsidRPr="00FB321C">
        <w:rPr>
          <w:rFonts w:ascii="Segoe UI" w:eastAsia="Times New Roman" w:hAnsi="Segoe UI" w:cs="Segoe UI"/>
          <w:color w:val="212529"/>
          <w:sz w:val="24"/>
          <w:szCs w:val="24"/>
        </w:rPr>
        <w:t>endogeneity</w:t>
      </w:r>
      <w:proofErr w:type="spellEnd"/>
      <w:r w:rsidRPr="00FB321C">
        <w:rPr>
          <w:rFonts w:ascii="Segoe UI" w:eastAsia="Times New Roman" w:hAnsi="Segoe UI" w:cs="Segoe UI"/>
          <w:color w:val="212529"/>
          <w:sz w:val="24"/>
          <w:szCs w:val="24"/>
        </w:rPr>
        <w:t xml:space="preserve"> of firm owner’s portfolio diversification and of firm’s private status does not seem to drive their results. The inclusion of owner fixed effects does not impact the qualitative relation between owners’ portfolio diversification and private firms’ capital investment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 However, the fixed-effects results may still be affected by self-selection: better-diversified owners may select to invest in companies with higher investment rates, which better their risk preferences.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 suggest the firms’ capital investment depends on portfolio diversification of their controlling owners; the effect of owners’ portfolio diversification on firms’ investment levels depends crucially on firms financial constraints: the investment-diversification relation is positive for relatively unconstrained firms and is negatively for relatively constrained ones. Owner fixed-effects, a quasi-natural experiment, and instrumental variable analysis suggest that this result is not driven by potential </w:t>
      </w:r>
      <w:proofErr w:type="spellStart"/>
      <w:r w:rsidRPr="00FB321C">
        <w:rPr>
          <w:rFonts w:ascii="Segoe UI" w:eastAsia="Times New Roman" w:hAnsi="Segoe UI" w:cs="Segoe UI"/>
          <w:color w:val="212529"/>
          <w:sz w:val="24"/>
          <w:szCs w:val="24"/>
        </w:rPr>
        <w:t>endogeneity</w:t>
      </w:r>
      <w:proofErr w:type="spellEnd"/>
      <w:r w:rsidRPr="00FB321C">
        <w:rPr>
          <w:rFonts w:ascii="Segoe UI" w:eastAsia="Times New Roman" w:hAnsi="Segoe UI" w:cs="Segoe UI"/>
          <w:color w:val="212529"/>
          <w:sz w:val="24"/>
          <w:szCs w:val="24"/>
        </w:rPr>
        <w:t xml:space="preserve"> of owner’s diversification.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A matched-sample analysis, selection model, and an alternative measure of financial constraints show that </w:t>
      </w: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xml:space="preserve">, and Mura (2015)’s findings are also not driven by the </w:t>
      </w:r>
      <w:proofErr w:type="spellStart"/>
      <w:r w:rsidRPr="00FB321C">
        <w:rPr>
          <w:rFonts w:ascii="Segoe UI" w:eastAsia="Times New Roman" w:hAnsi="Segoe UI" w:cs="Segoe UI"/>
          <w:color w:val="212529"/>
          <w:sz w:val="24"/>
          <w:szCs w:val="24"/>
        </w:rPr>
        <w:t>endogeneity</w:t>
      </w:r>
      <w:proofErr w:type="spellEnd"/>
      <w:r w:rsidRPr="00FB321C">
        <w:rPr>
          <w:rFonts w:ascii="Segoe UI" w:eastAsia="Times New Roman" w:hAnsi="Segoe UI" w:cs="Segoe UI"/>
          <w:color w:val="212529"/>
          <w:sz w:val="24"/>
          <w:szCs w:val="24"/>
        </w:rPr>
        <w:t xml:space="preserve"> of their proxy for financial constraints. The analysis builds on and extends that of </w:t>
      </w:r>
      <w:proofErr w:type="spellStart"/>
      <w:r w:rsidRPr="00FB321C">
        <w:rPr>
          <w:rFonts w:ascii="Segoe UI" w:eastAsia="Times New Roman" w:hAnsi="Segoe UI" w:cs="Segoe UI"/>
          <w:color w:val="212529"/>
          <w:sz w:val="24"/>
          <w:szCs w:val="24"/>
        </w:rPr>
        <w:t>Hoesli</w:t>
      </w:r>
      <w:proofErr w:type="spellEnd"/>
      <w:r w:rsidRPr="00FB321C">
        <w:rPr>
          <w:rFonts w:ascii="Segoe UI" w:eastAsia="Times New Roman" w:hAnsi="Segoe UI" w:cs="Segoe UI"/>
          <w:color w:val="212529"/>
          <w:sz w:val="24"/>
          <w:szCs w:val="24"/>
        </w:rPr>
        <w:t xml:space="preserve"> et al. (2004) but broadens the length of the time series and the depth of analysis as they pertain to the real estate portfolio. They concluded that both domestic and international real estate contribute with risk diversification, and therefore portfolio efficiency, to the multi-asset portfolio and that the data support an allocation to real estate of between 15 and 25%, depending on risk preferences and the investor’s country of domicile.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purpose is to investigate how the composition of a real estate portfolio affects the ability to achieve risk diversification when management costs are taken into account and after removing the assumption that investors can only by a real estate market portfolio. The analysis contributes to the body of knowledge by exploring how the type of underlying tenant demand type affects the portfolio composition problem for real estate investors and thus how real estate strategies should be fashioned to more effectively support overall portfolio objectives.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Hoesli</w:t>
      </w:r>
      <w:proofErr w:type="spellEnd"/>
      <w:r w:rsidRPr="00FB321C">
        <w:rPr>
          <w:rFonts w:ascii="Segoe UI" w:eastAsia="Times New Roman" w:hAnsi="Segoe UI" w:cs="Segoe UI"/>
          <w:color w:val="212529"/>
          <w:sz w:val="24"/>
          <w:szCs w:val="24"/>
        </w:rPr>
        <w:t xml:space="preserve"> and </w:t>
      </w: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xml:space="preserve"> (2007) report correlations close to zero for private real estate in the UK. </w:t>
      </w: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xml:space="preserve"> (2013) finds that the correlation of the private real estate varies significantly over the market cycle, tending to increase in periods from 1995 to 2010 of poor stock </w:t>
      </w:r>
      <w:r w:rsidRPr="00FB321C">
        <w:rPr>
          <w:rFonts w:ascii="Segoe UI" w:eastAsia="Times New Roman" w:hAnsi="Segoe UI" w:cs="Segoe UI"/>
          <w:color w:val="212529"/>
          <w:sz w:val="24"/>
          <w:szCs w:val="24"/>
        </w:rPr>
        <w:lastRenderedPageBreak/>
        <w:t xml:space="preserve">market performance. </w:t>
      </w: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xml:space="preserve"> (2013) finds that the correlations of private real estate with equities and bonds changed in the last five years of the sample from around zero to 0.4 and -0.5 respectively. This would indicate that the diversification benefits from real estate disappear when they are most needed. However, it is also found that when the variance is decomposed, a high proportion of private real estate variance cannot be explained by wider capital market factors, which indicates substantial diversification benefits. Even though data construction issues for private real estate cannot be ruled out, </w:t>
      </w: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xml:space="preserve"> (2013) concludes that the results support the diversification role of the private real estate.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Ang</w:t>
      </w:r>
      <w:proofErr w:type="spellEnd"/>
      <w:r w:rsidRPr="00FB321C">
        <w:rPr>
          <w:rFonts w:ascii="Segoe UI" w:eastAsia="Times New Roman" w:hAnsi="Segoe UI" w:cs="Segoe UI"/>
          <w:color w:val="212529"/>
          <w:sz w:val="24"/>
          <w:szCs w:val="24"/>
        </w:rPr>
        <w:t xml:space="preserve"> (2012) explores the characteristics of real estate in the context of its real asset characteristics along with real estate’s role in the asset allocation puzzle. </w:t>
      </w:r>
      <w:proofErr w:type="spellStart"/>
      <w:r w:rsidRPr="00FB321C">
        <w:rPr>
          <w:rFonts w:ascii="Segoe UI" w:eastAsia="Times New Roman" w:hAnsi="Segoe UI" w:cs="Segoe UI"/>
          <w:color w:val="212529"/>
          <w:sz w:val="24"/>
          <w:szCs w:val="24"/>
        </w:rPr>
        <w:t>Ang</w:t>
      </w:r>
      <w:proofErr w:type="spellEnd"/>
      <w:r w:rsidRPr="00FB321C">
        <w:rPr>
          <w:rFonts w:ascii="Segoe UI" w:eastAsia="Times New Roman" w:hAnsi="Segoe UI" w:cs="Segoe UI"/>
          <w:color w:val="212529"/>
          <w:sz w:val="24"/>
          <w:szCs w:val="24"/>
        </w:rPr>
        <w:t xml:space="preserve"> (2012) concludes that real estate is different from other asset classes in several respects: the idiosyncratic risk, the heterogeneity of the assets and requirement to actively </w:t>
      </w:r>
      <w:proofErr w:type="spellStart"/>
      <w:r w:rsidRPr="00FB321C">
        <w:rPr>
          <w:rFonts w:ascii="Segoe UI" w:eastAsia="Times New Roman" w:hAnsi="Segoe UI" w:cs="Segoe UI"/>
          <w:color w:val="212529"/>
          <w:sz w:val="24"/>
          <w:szCs w:val="24"/>
        </w:rPr>
        <w:t>mange</w:t>
      </w:r>
      <w:proofErr w:type="spellEnd"/>
      <w:r w:rsidRPr="00FB321C">
        <w:rPr>
          <w:rFonts w:ascii="Segoe UI" w:eastAsia="Times New Roman" w:hAnsi="Segoe UI" w:cs="Segoe UI"/>
          <w:color w:val="212529"/>
          <w:sz w:val="24"/>
          <w:szCs w:val="24"/>
        </w:rPr>
        <w:t xml:space="preserve"> real estate holdings. </w:t>
      </w:r>
      <w:proofErr w:type="spellStart"/>
      <w:r w:rsidRPr="00FB321C">
        <w:rPr>
          <w:rFonts w:ascii="Segoe UI" w:eastAsia="Times New Roman" w:hAnsi="Segoe UI" w:cs="Segoe UI"/>
          <w:color w:val="212529"/>
          <w:sz w:val="24"/>
          <w:szCs w:val="24"/>
        </w:rPr>
        <w:t>Ang</w:t>
      </w:r>
      <w:proofErr w:type="spellEnd"/>
      <w:r w:rsidRPr="00FB321C">
        <w:rPr>
          <w:rFonts w:ascii="Segoe UI" w:eastAsia="Times New Roman" w:hAnsi="Segoe UI" w:cs="Segoe UI"/>
          <w:color w:val="212529"/>
          <w:sz w:val="24"/>
          <w:szCs w:val="24"/>
        </w:rPr>
        <w:t xml:space="preserve"> (2012) also points out the difficulty of including real estate in any asset allocation model on par with stocks and bonds because direct real estate total returns are not returns in the same sense as are total returns for the other asset classes. This is because real estate total returns are not transaction based nor is there a way to measure the whole market. </w:t>
      </w:r>
      <w:proofErr w:type="spellStart"/>
      <w:r w:rsidRPr="00FB321C">
        <w:rPr>
          <w:rFonts w:ascii="Segoe UI" w:eastAsia="Times New Roman" w:hAnsi="Segoe UI" w:cs="Segoe UI"/>
          <w:color w:val="212529"/>
          <w:sz w:val="24"/>
          <w:szCs w:val="24"/>
        </w:rPr>
        <w:t>Ang</w:t>
      </w:r>
      <w:proofErr w:type="spellEnd"/>
      <w:r w:rsidRPr="00FB321C">
        <w:rPr>
          <w:rFonts w:ascii="Segoe UI" w:eastAsia="Times New Roman" w:hAnsi="Segoe UI" w:cs="Segoe UI"/>
          <w:color w:val="212529"/>
          <w:sz w:val="24"/>
          <w:szCs w:val="24"/>
        </w:rPr>
        <w:t xml:space="preserve"> (2012) does not say that real estate has no role to play but rather that the only return derived from real estate measured on the same frequency as the return on mature asset classes is the income return.</w:t>
      </w:r>
    </w:p>
    <w:p w:rsidR="00FB321C" w:rsidRPr="00FB321C" w:rsidRDefault="00FB321C" w:rsidP="00FB321C">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Diversification of the Private Real Estate Portfolios with Equity REIT shares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An examination of resulting efficient frontiers and their corresponding optimal portfolio weights across various levels of expected return reveals that the ability of public real estate to rebalance and diversify private real estate only portfolios, using either long or short positions, is very much in doubt (Seiler, Webb and Neil </w:t>
      </w:r>
      <w:proofErr w:type="spellStart"/>
      <w:r w:rsidRPr="00FB321C">
        <w:rPr>
          <w:rFonts w:ascii="Segoe UI" w:eastAsia="Times New Roman" w:hAnsi="Segoe UI" w:cs="Segoe UI"/>
          <w:color w:val="212529"/>
          <w:sz w:val="24"/>
          <w:szCs w:val="24"/>
        </w:rPr>
        <w:t>Mye</w:t>
      </w:r>
      <w:proofErr w:type="spellEnd"/>
      <w:r w:rsidRPr="00FB321C">
        <w:rPr>
          <w:rFonts w:ascii="Segoe UI" w:eastAsia="Times New Roman" w:hAnsi="Segoe UI" w:cs="Segoe UI"/>
          <w:color w:val="212529"/>
          <w:sz w:val="24"/>
          <w:szCs w:val="24"/>
        </w:rPr>
        <w:t>, 2001). Private real estate helps reduce the risk of a portfolio because it has less than a perfect correlation with stocks, bonds and all other assets.</w:t>
      </w:r>
    </w:p>
    <w:p w:rsidR="00FB321C" w:rsidRPr="00FB321C" w:rsidRDefault="00FB321C" w:rsidP="00FB321C">
      <w:pPr>
        <w:numPr>
          <w:ilvl w:val="0"/>
          <w:numId w:val="3"/>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Qualitative Analysis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Standard Markowitz portfolio selection model assumes jointly normal and symmetric distributions. If that holds, then mean, variance and covariance are sufficient to define effective diversification strategy. Traditional diversification strategies no longer provide desired level of protection in bear markets. Portfolio risk and expected value fall in bear markets are systematically understated. Traditional notions of risk-return trade-off are systematically overstated. Frequent portfolio rebalancing needed to maintain target level of risk, leading to higher transaction costs. For example, </w:t>
      </w:r>
      <w:proofErr w:type="spellStart"/>
      <w:r w:rsidRPr="00FB321C">
        <w:rPr>
          <w:rFonts w:ascii="Segoe UI" w:eastAsia="Times New Roman" w:hAnsi="Segoe UI" w:cs="Segoe UI"/>
          <w:color w:val="212529"/>
          <w:sz w:val="24"/>
          <w:szCs w:val="24"/>
        </w:rPr>
        <w:t>Stichting</w:t>
      </w:r>
      <w:proofErr w:type="spellEnd"/>
      <w:r w:rsidRPr="00FB321C">
        <w:rPr>
          <w:rFonts w:ascii="Segoe UI" w:eastAsia="Times New Roman" w:hAnsi="Segoe UI" w:cs="Segoe UI"/>
          <w:color w:val="212529"/>
          <w:sz w:val="24"/>
          <w:szCs w:val="24"/>
        </w:rPr>
        <w:t xml:space="preserve"> </w:t>
      </w:r>
      <w:proofErr w:type="spellStart"/>
      <w:r w:rsidRPr="00FB321C">
        <w:rPr>
          <w:rFonts w:ascii="Segoe UI" w:eastAsia="Times New Roman" w:hAnsi="Segoe UI" w:cs="Segoe UI"/>
          <w:color w:val="212529"/>
          <w:sz w:val="24"/>
          <w:szCs w:val="24"/>
        </w:rPr>
        <w:t>Pensioenfonds</w:t>
      </w:r>
      <w:proofErr w:type="spellEnd"/>
      <w:r w:rsidRPr="00FB321C">
        <w:rPr>
          <w:rFonts w:ascii="Segoe UI" w:eastAsia="Times New Roman" w:hAnsi="Segoe UI" w:cs="Segoe UI"/>
          <w:color w:val="212529"/>
          <w:sz w:val="24"/>
          <w:szCs w:val="24"/>
        </w:rPr>
        <w:t xml:space="preserve"> X: Asset Mix is an archetypical private real estate portfolio. 9% property allocation is </w:t>
      </w:r>
      <w:r w:rsidRPr="00FB321C">
        <w:rPr>
          <w:rFonts w:ascii="Segoe UI" w:eastAsia="Times New Roman" w:hAnsi="Segoe UI" w:cs="Segoe UI"/>
          <w:color w:val="212529"/>
          <w:sz w:val="24"/>
          <w:szCs w:val="24"/>
        </w:rPr>
        <w:lastRenderedPageBreak/>
        <w:t xml:space="preserve">reasonable for a </w:t>
      </w:r>
      <w:proofErr w:type="spellStart"/>
      <w:r w:rsidRPr="00FB321C">
        <w:rPr>
          <w:rFonts w:ascii="Segoe UI" w:eastAsia="Times New Roman" w:hAnsi="Segoe UI" w:cs="Segoe UI"/>
          <w:color w:val="212529"/>
          <w:sz w:val="24"/>
          <w:szCs w:val="24"/>
        </w:rPr>
        <w:t>well funded</w:t>
      </w:r>
      <w:proofErr w:type="spellEnd"/>
      <w:r w:rsidRPr="00FB321C">
        <w:rPr>
          <w:rFonts w:ascii="Segoe UI" w:eastAsia="Times New Roman" w:hAnsi="Segoe UI" w:cs="Segoe UI"/>
          <w:color w:val="212529"/>
          <w:sz w:val="24"/>
          <w:szCs w:val="24"/>
        </w:rPr>
        <w:t xml:space="preserve"> and growing scheme if assume under-performs equities and out-performs bonds and adds some diversification.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Higher portfolio diversification reduces the variance of owner’s portfolio return and its covariance with the firm’s cash flow. As a result, higher portfolio diversification of firm owner lowers the risk avoidance incentives and leads to increased risk taking by the firm. The direct effect of higher owner’s portfolio diversification on an unconstrained firm’s capital investment is through the reduction in the variance of owner’s wealth and the resulting decrease in his or her risk-avoidance incentives. A more diversified owner is less concerned with higher cash flow volatility resulting from higher operating leverage, and chooses a higher level of capital investment. The result is a positive relation between owner’s portfolio diversification and firm investment for unconstrained firms.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mechanism behind the negative relation between a constrained firm’s investment and its owner’s portfolio diversification is different. A constrained firm cannot increase its capital investment level in response to an increase in firm owner’s portfolio diversification, as its investment is determined by the investment capacity constraint. The only channel the constrained firm can use to alter its cash flow volatility is the riskiness of its investments.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scale/diversification of assets depends upon the genuine efficiency from scale, diversification and impact on equity rising and the decrease of the default. The portfolio of loans demands diversification during the debt and credit crisis. High correlation among portfolios means diversification across sectors relatively little impact on risk reduction in UK historically compared to specific risk.</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degree of portfolio diversification of a firm’s controlling owner may influence its choice of riskiness of firm strategies. The reason is that an expected-utility-maximizing risk-averse owner takes into account the variance of the private real estate’s overall wealth when making decisions on behalf of the firm the CEO controls.</w:t>
      </w:r>
    </w:p>
    <w:p w:rsidR="00FB321C" w:rsidRPr="00FB321C" w:rsidRDefault="00FB321C" w:rsidP="00FB321C">
      <w:pPr>
        <w:numPr>
          <w:ilvl w:val="0"/>
          <w:numId w:val="4"/>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Drivers of diversification from equities</w:t>
      </w:r>
    </w:p>
    <w:p w:rsidR="00FB321C" w:rsidRPr="00FB321C" w:rsidRDefault="00FB321C" w:rsidP="00FB321C">
      <w:pPr>
        <w:numPr>
          <w:ilvl w:val="1"/>
          <w:numId w:val="4"/>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Drivers of rents</w:t>
      </w:r>
    </w:p>
    <w:p w:rsidR="00FB321C" w:rsidRPr="00FB321C" w:rsidRDefault="00FB321C" w:rsidP="00FB321C">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Demand-GDP, business and financial services, consumer spending, distribution, general price inflation, technology, profitability and other investment sentiment drivers.</w:t>
      </w:r>
    </w:p>
    <w:p w:rsidR="00FB321C" w:rsidRPr="00FB321C" w:rsidRDefault="00FB321C" w:rsidP="00FB321C">
      <w:pPr>
        <w:numPr>
          <w:ilvl w:val="0"/>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Supply-Construction, planning, obsolescence</w:t>
      </w:r>
    </w:p>
    <w:p w:rsidR="00FB321C" w:rsidRPr="00FB321C" w:rsidRDefault="00FB321C" w:rsidP="00FB321C">
      <w:pPr>
        <w:numPr>
          <w:ilvl w:val="1"/>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Drivers of yields</w:t>
      </w:r>
    </w:p>
    <w:p w:rsidR="00FB321C" w:rsidRPr="00FB321C" w:rsidRDefault="00FB321C" w:rsidP="00FB321C">
      <w:pPr>
        <w:numPr>
          <w:ilvl w:val="1"/>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Interest rates/term structure, credit availability, credit sentiment (high grade versus low grade), property sentiment.</w:t>
      </w:r>
    </w:p>
    <w:p w:rsidR="00FB321C" w:rsidRPr="00FB321C" w:rsidRDefault="00FB321C" w:rsidP="00FB321C">
      <w:pPr>
        <w:numPr>
          <w:ilvl w:val="1"/>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lastRenderedPageBreak/>
        <w:t>Other factors</w:t>
      </w:r>
    </w:p>
    <w:p w:rsidR="00FB321C" w:rsidRPr="00FB321C" w:rsidRDefault="00FB321C" w:rsidP="00FB321C">
      <w:pPr>
        <w:numPr>
          <w:ilvl w:val="1"/>
          <w:numId w:val="5"/>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Tax/political risks, property specific (e.g. lease structures)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earlier studies revealed real estate, with all its illiquidity, management intensity and information asymmetry, does exhibit characteristics that complement the multi-asset portfolio by contributing diversification (</w:t>
      </w:r>
      <w:proofErr w:type="spellStart"/>
      <w:r w:rsidRPr="00FB321C">
        <w:rPr>
          <w:rFonts w:ascii="Segoe UI" w:eastAsia="Times New Roman" w:hAnsi="Segoe UI" w:cs="Segoe UI"/>
          <w:color w:val="212529"/>
          <w:sz w:val="24"/>
          <w:szCs w:val="24"/>
        </w:rPr>
        <w:t>Lekander</w:t>
      </w:r>
      <w:proofErr w:type="spellEnd"/>
      <w:r w:rsidRPr="00FB321C">
        <w:rPr>
          <w:rFonts w:ascii="Segoe UI" w:eastAsia="Times New Roman" w:hAnsi="Segoe UI" w:cs="Segoe UI"/>
          <w:color w:val="212529"/>
          <w:sz w:val="24"/>
          <w:szCs w:val="24"/>
        </w:rPr>
        <w:t>, 2015). But the findings go further to suggest that diversification objectives in low-risk overall strategies are best achieved via types of real estate in which the tenant demand is less affected by global factors, whereas diversification strategies for higher overall risk strategies are best supported by real estate strategies focusing on globally dependent real estate (</w:t>
      </w:r>
      <w:proofErr w:type="spellStart"/>
      <w:r w:rsidRPr="00FB321C">
        <w:rPr>
          <w:rFonts w:ascii="Segoe UI" w:eastAsia="Times New Roman" w:hAnsi="Segoe UI" w:cs="Segoe UI"/>
          <w:color w:val="212529"/>
          <w:sz w:val="24"/>
          <w:szCs w:val="24"/>
        </w:rPr>
        <w:t>Lekander</w:t>
      </w:r>
      <w:proofErr w:type="spellEnd"/>
      <w:r w:rsidRPr="00FB321C">
        <w:rPr>
          <w:rFonts w:ascii="Segoe UI" w:eastAsia="Times New Roman" w:hAnsi="Segoe UI" w:cs="Segoe UI"/>
          <w:color w:val="212529"/>
          <w:sz w:val="24"/>
          <w:szCs w:val="24"/>
        </w:rPr>
        <w:t>, 2015).</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When accounting for the cost of liquidity, by defining the market value as the mean of the buyer reservation price distribution, a different return pattern emerges. This has implications on the correlation characteristics of real estate, reducing the real estate’s diversification potential. A similar bias affects investment indices through the population of transactions available to the appraiser to determine price evidence. As such, there is a risk that the return indices measuring private real estate performance are based on market evidence that suffers from selection bias and appraisal smoothing, thus skewing the characteristics of the private real estate returns.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A form test of the superiority of economic-based diversification strategies for real estate portfolio diversification was undertaken by Mueller (1992). Mueller (1992) showed that a diversification strategy based on his own classification, which relies solely on economic base, provided even greater risk-adjusted return possibilities.</w:t>
      </w:r>
    </w:p>
    <w:p w:rsidR="00FB321C" w:rsidRPr="00FB321C" w:rsidRDefault="00FB321C" w:rsidP="00FB321C">
      <w:pPr>
        <w:numPr>
          <w:ilvl w:val="0"/>
          <w:numId w:val="6"/>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Data and Quantitative Analysis</w:t>
      </w:r>
    </w:p>
    <w:p w:rsidR="00FB321C" w:rsidRPr="00FB321C" w:rsidRDefault="00FB321C" w:rsidP="00FB321C">
      <w:pPr>
        <w:numPr>
          <w:ilvl w:val="0"/>
          <w:numId w:val="7"/>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Model</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estimates produced and updated are based on a two-quadrant approach looking at private real estate (holdings of funds and other private investors) and private real estate debt (lending by banks and other institutions). I consider a situation in which a firm’s controlling owner is entitled to a proportion </w:t>
      </w:r>
      <w:r w:rsidRPr="00FB321C">
        <w:rPr>
          <w:rFonts w:ascii="Segoe UI" w:eastAsia="Times New Roman" w:hAnsi="Segoe UI" w:cs="Segoe UI"/>
          <w:noProof/>
          <w:color w:val="212529"/>
          <w:sz w:val="24"/>
          <w:szCs w:val="24"/>
        </w:rPr>
        <w:drawing>
          <wp:inline distT="0" distB="0" distL="0" distR="0">
            <wp:extent cx="83820" cy="177165"/>
            <wp:effectExtent l="0" t="0" r="0" b="0"/>
            <wp:docPr id="30" name="Picture 30" descr="https://aaimagestore.s3.amazonaws.com/july2017/0018043.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aimagestore.s3.amazonaws.com/july2017/0018043.0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of the firm’s cash flow. In addition, the firm’s owner is endowed with initial wealth x outside of the controlled firm, which is invested in an imperfectly diversified portfolio with a normally distributed return, whose mean is </w:t>
      </w:r>
      <w:r w:rsidRPr="00FB321C">
        <w:rPr>
          <w:rFonts w:ascii="Segoe UI" w:eastAsia="Times New Roman" w:hAnsi="Segoe UI" w:cs="Segoe UI"/>
          <w:noProof/>
          <w:color w:val="212529"/>
          <w:sz w:val="24"/>
          <w:szCs w:val="24"/>
        </w:rPr>
        <w:drawing>
          <wp:inline distT="0" distB="0" distL="0" distR="0">
            <wp:extent cx="102870" cy="177165"/>
            <wp:effectExtent l="0" t="0" r="0" b="0"/>
            <wp:docPr id="29" name="Picture 29" descr="https://aaimagestore.s3.amazonaws.com/july2017/0018043.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aimagestore.s3.amazonaws.com/july2017/0018043.00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87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xml:space="preserve"> and whose standard deviation </w:t>
      </w:r>
      <w:proofErr w:type="gramStart"/>
      <w:r w:rsidRPr="00FB321C">
        <w:rPr>
          <w:rFonts w:ascii="Segoe UI" w:eastAsia="Times New Roman" w:hAnsi="Segoe UI" w:cs="Segoe UI"/>
          <w:color w:val="212529"/>
          <w:sz w:val="24"/>
          <w:szCs w:val="24"/>
        </w:rPr>
        <w:t>is </w:t>
      </w:r>
      <w:proofErr w:type="gramEnd"/>
      <w:r w:rsidRPr="00FB321C">
        <w:rPr>
          <w:rFonts w:ascii="Segoe UI" w:eastAsia="Times New Roman" w:hAnsi="Segoe UI" w:cs="Segoe UI"/>
          <w:noProof/>
          <w:color w:val="212529"/>
          <w:sz w:val="24"/>
          <w:szCs w:val="24"/>
        </w:rPr>
        <w:drawing>
          <wp:inline distT="0" distB="0" distL="0" distR="0">
            <wp:extent cx="74930" cy="177165"/>
            <wp:effectExtent l="0" t="0" r="1270" b="0"/>
            <wp:docPr id="28" name="Picture 28" descr="https://aaimagestore.s3.amazonaws.com/july2017/0018043.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aimagestore.s3.amazonaws.com/july2017/0018043.0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93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Our model abstracts from the reasons for imperfect diversification of the firm’s owner, which is a feature consistent with the data. The focus is on the effects of imperfect diversification of owners’ portfolios on controlled firms’ investment strategies.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lastRenderedPageBreak/>
        <w:t>I assume that the firm’s controlling owner is risk-averse and that the CEO maximizes the expected utility of his or her terminal wealth</w:t>
      </w:r>
      <w:proofErr w:type="gramStart"/>
      <w:r w:rsidRPr="00FB321C">
        <w:rPr>
          <w:rFonts w:ascii="Segoe UI" w:eastAsia="Times New Roman" w:hAnsi="Segoe UI" w:cs="Segoe UI"/>
          <w:color w:val="212529"/>
          <w:sz w:val="24"/>
          <w:szCs w:val="24"/>
        </w:rPr>
        <w:t>, </w:t>
      </w:r>
      <w:proofErr w:type="gramEnd"/>
      <w:r w:rsidRPr="00FB321C">
        <w:rPr>
          <w:rFonts w:ascii="Segoe UI" w:eastAsia="Times New Roman" w:hAnsi="Segoe UI" w:cs="Segoe UI"/>
          <w:noProof/>
          <w:color w:val="212529"/>
          <w:sz w:val="24"/>
          <w:szCs w:val="24"/>
        </w:rPr>
        <w:drawing>
          <wp:inline distT="0" distB="0" distL="0" distR="0">
            <wp:extent cx="111760" cy="177165"/>
            <wp:effectExtent l="0" t="0" r="2540" b="0"/>
            <wp:docPr id="27" name="Picture 27" descr="https://aaimagestore.s3.amazonaws.com/july2017/0018043.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aimagestore.s3.amazonaws.com/july2017/0018043.00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76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This utility is given by</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1753870" cy="280035"/>
            <wp:effectExtent l="0" t="0" r="0" b="5715"/>
            <wp:docPr id="26" name="Picture 26" descr="https://aaimagestore.s3.amazonaws.com/july2017/0018043.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aaimagestore.s3.amazonaws.com/july2017/0018043.00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53870" cy="280035"/>
                    </a:xfrm>
                    <a:prstGeom prst="rect">
                      <a:avLst/>
                    </a:prstGeom>
                    <a:noFill/>
                    <a:ln>
                      <a:noFill/>
                    </a:ln>
                  </pic:spPr>
                </pic:pic>
              </a:graphicData>
            </a:graphic>
          </wp:inline>
        </w:drawing>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gramStart"/>
      <w:r w:rsidRPr="00FB321C">
        <w:rPr>
          <w:rFonts w:ascii="Segoe UI" w:eastAsia="Times New Roman" w:hAnsi="Segoe UI" w:cs="Segoe UI"/>
          <w:color w:val="212529"/>
          <w:sz w:val="24"/>
          <w:szCs w:val="24"/>
        </w:rPr>
        <w:t>where</w:t>
      </w:r>
      <w:proofErr w:type="gramEnd"/>
      <w:r w:rsidRPr="00FB321C">
        <w:rPr>
          <w:rFonts w:ascii="Segoe UI" w:eastAsia="Times New Roman" w:hAnsi="Segoe UI" w:cs="Segoe UI"/>
          <w:color w:val="212529"/>
          <w:sz w:val="24"/>
          <w:szCs w:val="24"/>
        </w:rPr>
        <w:t> </w:t>
      </w:r>
      <w:r w:rsidRPr="00FB321C">
        <w:rPr>
          <w:rFonts w:ascii="Segoe UI" w:eastAsia="Times New Roman" w:hAnsi="Segoe UI" w:cs="Segoe UI"/>
          <w:noProof/>
          <w:color w:val="212529"/>
          <w:sz w:val="24"/>
          <w:szCs w:val="24"/>
        </w:rPr>
        <w:drawing>
          <wp:inline distT="0" distB="0" distL="0" distR="0">
            <wp:extent cx="1073150" cy="205105"/>
            <wp:effectExtent l="0" t="0" r="0" b="4445"/>
            <wp:docPr id="25" name="Picture 25" descr="https://aaimagestore.s3.amazonaws.com/july2017/0018043.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aimagestore.s3.amazonaws.com/july2017/0018043.00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73150" cy="205105"/>
                    </a:xfrm>
                    <a:prstGeom prst="rect">
                      <a:avLst/>
                    </a:prstGeom>
                    <a:noFill/>
                    <a:ln>
                      <a:noFill/>
                    </a:ln>
                  </pic:spPr>
                </pic:pic>
              </a:graphicData>
            </a:graphic>
          </wp:inline>
        </w:drawing>
      </w:r>
      <w:r w:rsidRPr="00FB321C">
        <w:rPr>
          <w:rFonts w:ascii="Segoe UI" w:eastAsia="Times New Roman" w:hAnsi="Segoe UI" w:cs="Segoe UI"/>
          <w:color w:val="212529"/>
          <w:sz w:val="24"/>
          <w:szCs w:val="24"/>
        </w:rPr>
        <w:t> is the firm owner’s Arrow-Pratt coefficient of absolute risk aversion. Assuming that the firm’s cash flow (discussed below) is normally distributed, investor’s expected utility maximization simplifies into the mean-variance criterion: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2061845" cy="280035"/>
            <wp:effectExtent l="0" t="0" r="0" b="5715"/>
            <wp:docPr id="24" name="Picture 24" descr="https://aaimagestore.s3.amazonaws.com/july2017/0018043.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aimagestore.s3.amazonaws.com/july2017/0018043.007.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1845" cy="280035"/>
                    </a:xfrm>
                    <a:prstGeom prst="rect">
                      <a:avLst/>
                    </a:prstGeom>
                    <a:noFill/>
                    <a:ln>
                      <a:noFill/>
                    </a:ln>
                  </pic:spPr>
                </pic:pic>
              </a:graphicData>
            </a:graphic>
          </wp:inline>
        </w:drawing>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model shows that in order to understand the impact of firm owners’ portfolio diversification on firms’ investment strategies, it is crucial to consider simultaneous choices of both the level and riskiness of firms’ investments. The analysis focuses on the relation between owner’s portfolio diversification and firm’s investment level, extends and complements the existing literature that focuses on the riskiness of firm’s investment. The interaction between these two decisions results in a non-trivial and somewhat surprising relation between owner’s portfolio diversification and the level of her or his firm’s capital investment.</w:t>
      </w:r>
    </w:p>
    <w:p w:rsidR="00FB321C" w:rsidRPr="00FB321C" w:rsidRDefault="00FB321C" w:rsidP="00FB321C">
      <w:pPr>
        <w:numPr>
          <w:ilvl w:val="0"/>
          <w:numId w:val="8"/>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Comparative statics</w:t>
      </w:r>
    </w:p>
    <w:p w:rsidR="00FB321C" w:rsidRPr="00FB321C" w:rsidRDefault="00FB321C" w:rsidP="00FB321C">
      <w:pPr>
        <w:numPr>
          <w:ilvl w:val="1"/>
          <w:numId w:val="8"/>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Lemma 1: If the investment capacity constraint is not binding in equilibrium, then the firm’s equilibrium level of capital investment and its riskiness, </w:t>
      </w:r>
      <w:r w:rsidRPr="00FB321C">
        <w:rPr>
          <w:rFonts w:ascii="Segoe UI" w:eastAsia="Times New Roman" w:hAnsi="Segoe UI" w:cs="Segoe UI"/>
          <w:noProof/>
          <w:color w:val="212529"/>
          <w:sz w:val="24"/>
          <w:szCs w:val="24"/>
        </w:rPr>
        <w:drawing>
          <wp:inline distT="0" distB="0" distL="0" distR="0">
            <wp:extent cx="280035" cy="242570"/>
            <wp:effectExtent l="0" t="0" r="5715" b="5080"/>
            <wp:docPr id="23" name="Picture 23" descr="https://aaimagestore.s3.amazonaws.com/july2017/0018043.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aaimagestore.s3.amazonaws.com/july2017/0018043.00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035"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and </w:t>
      </w:r>
      <w:r w:rsidRPr="00FB321C">
        <w:rPr>
          <w:rFonts w:ascii="Segoe UI" w:eastAsia="Times New Roman" w:hAnsi="Segoe UI" w:cs="Segoe UI"/>
          <w:noProof/>
          <w:color w:val="212529"/>
          <w:sz w:val="24"/>
          <w:szCs w:val="24"/>
        </w:rPr>
        <w:drawing>
          <wp:inline distT="0" distB="0" distL="0" distR="0">
            <wp:extent cx="196215" cy="242570"/>
            <wp:effectExtent l="0" t="0" r="0" b="5080"/>
            <wp:docPr id="22" name="Picture 22" descr="https://aaimagestore.s3.amazonaws.com/july2017/0018043.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aaimagestore.s3.amazonaws.com/july2017/0018043.009.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215"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respectively, are given by the following system of equations: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1717040" cy="391795"/>
            <wp:effectExtent l="0" t="0" r="0" b="8255"/>
            <wp:docPr id="21" name="Picture 21" descr="https://aaimagestore.s3.amazonaws.com/july2017/0018043.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aaimagestore.s3.amazonaws.com/july2017/0018043.01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17040" cy="391795"/>
                    </a:xfrm>
                    <a:prstGeom prst="rect">
                      <a:avLst/>
                    </a:prstGeom>
                    <a:noFill/>
                    <a:ln>
                      <a:noFill/>
                    </a:ln>
                  </pic:spPr>
                </pic:pic>
              </a:graphicData>
            </a:graphic>
          </wp:inline>
        </w:drawing>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2248535" cy="260985"/>
            <wp:effectExtent l="0" t="0" r="0" b="5715"/>
            <wp:docPr id="20" name="Picture 20" descr="https://aaimagestore.s3.amazonaws.com/july2017/0018043.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aimagestore.s3.amazonaws.com/july2017/0018043.01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48535" cy="260985"/>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gramStart"/>
      <w:r w:rsidRPr="00FB321C">
        <w:rPr>
          <w:rFonts w:ascii="Segoe UI" w:eastAsia="Times New Roman" w:hAnsi="Segoe UI" w:cs="Segoe UI"/>
          <w:color w:val="212529"/>
          <w:sz w:val="24"/>
          <w:szCs w:val="24"/>
        </w:rPr>
        <w:t>subject</w:t>
      </w:r>
      <w:proofErr w:type="gramEnd"/>
      <w:r w:rsidRPr="00FB321C">
        <w:rPr>
          <w:rFonts w:ascii="Segoe UI" w:eastAsia="Times New Roman" w:hAnsi="Segoe UI" w:cs="Segoe UI"/>
          <w:color w:val="212529"/>
          <w:sz w:val="24"/>
          <w:szCs w:val="24"/>
        </w:rPr>
        <w:t xml:space="preserve"> to </w:t>
      </w:r>
      <w:r w:rsidRPr="00FB321C">
        <w:rPr>
          <w:rFonts w:ascii="Segoe UI" w:eastAsia="Times New Roman" w:hAnsi="Segoe UI" w:cs="Segoe UI"/>
          <w:noProof/>
          <w:color w:val="212529"/>
          <w:sz w:val="24"/>
          <w:szCs w:val="24"/>
        </w:rPr>
        <w:drawing>
          <wp:inline distT="0" distB="0" distL="0" distR="0">
            <wp:extent cx="942340" cy="242570"/>
            <wp:effectExtent l="0" t="0" r="0" b="5080"/>
            <wp:docPr id="19" name="Picture 19" descr="https://aaimagestore.s3.amazonaws.com/july2017/0018043.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aaimagestore.s3.amazonaws.com/july2017/0018043.01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2340"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I am interested in the effects of controlling owner’s portfolio diversification on the choice of the level and riskiness of capital investment of constrained and unconstrained firms. In what follows, we present comparative statics of the firm’s investment level and its riskiness with respect to the standard deviation of the owner’s portfolio</w:t>
      </w:r>
      <w:proofErr w:type="gramStart"/>
      <w:r w:rsidRPr="00FB321C">
        <w:rPr>
          <w:rFonts w:ascii="Segoe UI" w:eastAsia="Times New Roman" w:hAnsi="Segoe UI" w:cs="Segoe UI"/>
          <w:color w:val="212529"/>
          <w:sz w:val="24"/>
          <w:szCs w:val="24"/>
        </w:rPr>
        <w:t>, </w:t>
      </w:r>
      <w:proofErr w:type="gramEnd"/>
      <w:r w:rsidRPr="00FB321C">
        <w:rPr>
          <w:rFonts w:ascii="Segoe UI" w:eastAsia="Times New Roman" w:hAnsi="Segoe UI" w:cs="Segoe UI"/>
          <w:noProof/>
          <w:color w:val="212529"/>
          <w:sz w:val="24"/>
          <w:szCs w:val="24"/>
        </w:rPr>
        <w:drawing>
          <wp:inline distT="0" distB="0" distL="0" distR="0">
            <wp:extent cx="74930" cy="177165"/>
            <wp:effectExtent l="0" t="0" r="1270" b="0"/>
            <wp:docPr id="18" name="Picture 18" descr="https://aaimagestore.s3.amazonaws.com/july2017/0018043.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aimagestore.s3.amazonaws.com/july2017/0018043.0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93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xml:space="preserve">. I also graphically illustrate these comparative statics using the numerical example to help </w:t>
      </w:r>
      <w:r w:rsidRPr="00FB321C">
        <w:rPr>
          <w:rFonts w:ascii="Segoe UI" w:eastAsia="Times New Roman" w:hAnsi="Segoe UI" w:cs="Segoe UI"/>
          <w:color w:val="212529"/>
          <w:sz w:val="24"/>
          <w:szCs w:val="24"/>
        </w:rPr>
        <w:lastRenderedPageBreak/>
        <w:t>explain the intuition. Totally differentiating the unconstrained equilibrium conditions in (3) and (4) with respect to owner’s portfolio standard deviation produces the following result: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Proposition 1 </w:t>
      </w:r>
      <w:r w:rsidRPr="00FB321C">
        <w:rPr>
          <w:rFonts w:ascii="Segoe UI" w:eastAsia="Times New Roman" w:hAnsi="Segoe UI" w:cs="Segoe UI"/>
          <w:color w:val="212529"/>
          <w:sz w:val="24"/>
          <w:szCs w:val="24"/>
        </w:rPr>
        <w:t>For a firm whose capital investment is unconstrained in equilibrium, </w:t>
      </w:r>
      <w:r w:rsidRPr="00FB321C">
        <w:rPr>
          <w:rFonts w:ascii="Segoe UI" w:eastAsia="Times New Roman" w:hAnsi="Segoe UI" w:cs="Segoe UI"/>
          <w:noProof/>
          <w:color w:val="212529"/>
          <w:sz w:val="24"/>
          <w:szCs w:val="24"/>
        </w:rPr>
        <w:drawing>
          <wp:inline distT="0" distB="0" distL="0" distR="0">
            <wp:extent cx="942340" cy="242570"/>
            <wp:effectExtent l="0" t="0" r="0" b="5080"/>
            <wp:docPr id="17" name="Picture 17" descr="https://aaimagestore.s3.amazonaws.com/july2017/0018043.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aaimagestore.s3.amazonaws.com/july2017/0018043.01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42340"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equilibrium level of capital investment and its riskiness, </w:t>
      </w:r>
      <w:r w:rsidRPr="00FB321C">
        <w:rPr>
          <w:rFonts w:ascii="Segoe UI" w:eastAsia="Times New Roman" w:hAnsi="Segoe UI" w:cs="Segoe UI"/>
          <w:noProof/>
          <w:color w:val="212529"/>
          <w:sz w:val="24"/>
          <w:szCs w:val="24"/>
        </w:rPr>
        <w:drawing>
          <wp:inline distT="0" distB="0" distL="0" distR="0">
            <wp:extent cx="280035" cy="242570"/>
            <wp:effectExtent l="0" t="0" r="5715" b="5080"/>
            <wp:docPr id="16" name="Picture 16" descr="https://aaimagestore.s3.amazonaws.com/july2017/0018043.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aaimagestore.s3.amazonaws.com/july2017/0018043.00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0035"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and </w:t>
      </w:r>
      <w:r w:rsidRPr="00FB321C">
        <w:rPr>
          <w:rFonts w:ascii="Segoe UI" w:eastAsia="Times New Roman" w:hAnsi="Segoe UI" w:cs="Segoe UI"/>
          <w:noProof/>
          <w:color w:val="212529"/>
          <w:sz w:val="24"/>
          <w:szCs w:val="24"/>
        </w:rPr>
        <w:drawing>
          <wp:inline distT="0" distB="0" distL="0" distR="0">
            <wp:extent cx="196215" cy="242570"/>
            <wp:effectExtent l="0" t="0" r="0" b="5080"/>
            <wp:docPr id="15" name="Picture 15" descr="https://aaimagestore.s3.amazonaws.com/july2017/0018043.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aaimagestore.s3.amazonaws.com/july2017/0018043.009.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215"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respectively, are decreasing in the standard deviation of firm owner’s portfolio, </w:t>
      </w:r>
      <w:r w:rsidRPr="00FB321C">
        <w:rPr>
          <w:rFonts w:ascii="Segoe UI" w:eastAsia="Times New Roman" w:hAnsi="Segoe UI" w:cs="Segoe UI"/>
          <w:noProof/>
          <w:color w:val="212529"/>
          <w:sz w:val="24"/>
          <w:szCs w:val="24"/>
        </w:rPr>
        <w:drawing>
          <wp:inline distT="0" distB="0" distL="0" distR="0">
            <wp:extent cx="74930" cy="177165"/>
            <wp:effectExtent l="0" t="0" r="1270" b="0"/>
            <wp:docPr id="14" name="Picture 14" descr="https://aaimagestore.s3.amazonaws.com/july2017/0018043.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aaimagestore.s3.amazonaws.com/july2017/0018043.00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930"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owner’s objective function is: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5458460" cy="382270"/>
            <wp:effectExtent l="0" t="0" r="8890" b="0"/>
            <wp:docPr id="13" name="Picture 13" descr="https://aaimagestore.s3.amazonaws.com/july2017/0018043.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aimagestore.s3.amazonaws.com/july2017/0018043.01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58460" cy="382270"/>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gramStart"/>
      <w:r w:rsidRPr="00FB321C">
        <w:rPr>
          <w:rFonts w:ascii="Segoe UI" w:eastAsia="Times New Roman" w:hAnsi="Segoe UI" w:cs="Segoe UI"/>
          <w:color w:val="212529"/>
          <w:sz w:val="24"/>
          <w:szCs w:val="24"/>
        </w:rPr>
        <w:t>subject</w:t>
      </w:r>
      <w:proofErr w:type="gramEnd"/>
      <w:r w:rsidRPr="00FB321C">
        <w:rPr>
          <w:rFonts w:ascii="Segoe UI" w:eastAsia="Times New Roman" w:hAnsi="Segoe UI" w:cs="Segoe UI"/>
          <w:color w:val="212529"/>
          <w:sz w:val="24"/>
          <w:szCs w:val="24"/>
        </w:rPr>
        <w:t xml:space="preserve"> to </w:t>
      </w:r>
      <w:r w:rsidRPr="00FB321C">
        <w:rPr>
          <w:rFonts w:ascii="Segoe UI" w:eastAsia="Times New Roman" w:hAnsi="Segoe UI" w:cs="Segoe UI"/>
          <w:noProof/>
          <w:color w:val="212529"/>
          <w:sz w:val="24"/>
          <w:szCs w:val="24"/>
        </w:rPr>
        <w:drawing>
          <wp:inline distT="0" distB="0" distL="0" distR="0">
            <wp:extent cx="1325245" cy="177165"/>
            <wp:effectExtent l="0" t="0" r="8255" b="0"/>
            <wp:docPr id="12" name="Picture 12" descr="https://aaimagestore.s3.amazonaws.com/july2017/0018043.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aaimagestore.s3.amazonaws.com/july2017/0018043.014.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25245" cy="177165"/>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Maximizing the owner’s expected utility in (5) with respect </w:t>
      </w:r>
      <w:proofErr w:type="gramStart"/>
      <w:r w:rsidRPr="00FB321C">
        <w:rPr>
          <w:rFonts w:ascii="Segoe UI" w:eastAsia="Times New Roman" w:hAnsi="Segoe UI" w:cs="Segoe UI"/>
          <w:color w:val="212529"/>
          <w:sz w:val="24"/>
          <w:szCs w:val="24"/>
        </w:rPr>
        <w:t>to </w:t>
      </w:r>
      <w:proofErr w:type="gramEnd"/>
      <w:r w:rsidRPr="00FB321C">
        <w:rPr>
          <w:rFonts w:ascii="Segoe UI" w:eastAsia="Times New Roman" w:hAnsi="Segoe UI" w:cs="Segoe UI"/>
          <w:noProof/>
          <w:color w:val="212529"/>
          <w:sz w:val="24"/>
          <w:szCs w:val="24"/>
        </w:rPr>
        <w:drawing>
          <wp:inline distT="0" distB="0" distL="0" distR="0">
            <wp:extent cx="93345" cy="177165"/>
            <wp:effectExtent l="0" t="0" r="1905" b="0"/>
            <wp:docPr id="11" name="Picture 11" descr="https://aaimagestore.s3.amazonaws.com/july2017/0018043.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aaimagestore.s3.amazonaws.com/july2017/0018043.015.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3345" cy="177165"/>
                    </a:xfrm>
                    <a:prstGeom prst="rect">
                      <a:avLst/>
                    </a:prstGeom>
                    <a:noFill/>
                    <a:ln>
                      <a:noFill/>
                    </a:ln>
                  </pic:spPr>
                </pic:pic>
              </a:graphicData>
            </a:graphic>
          </wp:inline>
        </w:drawing>
      </w:r>
      <w:r w:rsidRPr="00FB321C">
        <w:rPr>
          <w:rFonts w:ascii="Segoe UI" w:eastAsia="Times New Roman" w:hAnsi="Segoe UI" w:cs="Segoe UI"/>
          <w:color w:val="212529"/>
          <w:sz w:val="24"/>
          <w:szCs w:val="24"/>
        </w:rPr>
        <w:t>, while assuming that the investment capacity is binding, i.e., that </w:t>
      </w:r>
      <w:r w:rsidRPr="00FB321C">
        <w:rPr>
          <w:rFonts w:ascii="Segoe UI" w:eastAsia="Times New Roman" w:hAnsi="Segoe UI" w:cs="Segoe UI"/>
          <w:noProof/>
          <w:color w:val="212529"/>
          <w:sz w:val="24"/>
          <w:szCs w:val="24"/>
        </w:rPr>
        <w:drawing>
          <wp:inline distT="0" distB="0" distL="0" distR="0">
            <wp:extent cx="942340" cy="242570"/>
            <wp:effectExtent l="0" t="0" r="0" b="5080"/>
            <wp:docPr id="10" name="Picture 10" descr="https://aaimagestore.s3.amazonaws.com/july2017/0018043.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aaimagestore.s3.amazonaws.com/july2017/0018043.01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42340"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leads to the following result: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Lemma 2 </w:t>
      </w:r>
      <w:r w:rsidRPr="00FB321C">
        <w:rPr>
          <w:rFonts w:ascii="Segoe UI" w:eastAsia="Times New Roman" w:hAnsi="Segoe UI" w:cs="Segoe UI"/>
          <w:color w:val="212529"/>
          <w:sz w:val="24"/>
          <w:szCs w:val="24"/>
        </w:rPr>
        <w:t>If the investment capacity constraint is binding</w:t>
      </w:r>
      <w:proofErr w:type="gramStart"/>
      <w:r w:rsidRPr="00FB321C">
        <w:rPr>
          <w:rFonts w:ascii="Segoe UI" w:eastAsia="Times New Roman" w:hAnsi="Segoe UI" w:cs="Segoe UI"/>
          <w:color w:val="212529"/>
          <w:sz w:val="24"/>
          <w:szCs w:val="24"/>
        </w:rPr>
        <w:t>, </w:t>
      </w:r>
      <w:proofErr w:type="gramEnd"/>
      <w:r w:rsidRPr="00FB321C">
        <w:rPr>
          <w:rFonts w:ascii="Segoe UI" w:eastAsia="Times New Roman" w:hAnsi="Segoe UI" w:cs="Segoe UI"/>
          <w:noProof/>
          <w:color w:val="212529"/>
          <w:sz w:val="24"/>
          <w:szCs w:val="24"/>
        </w:rPr>
        <w:drawing>
          <wp:inline distT="0" distB="0" distL="0" distR="0">
            <wp:extent cx="942340" cy="242570"/>
            <wp:effectExtent l="0" t="0" r="0" b="5080"/>
            <wp:docPr id="9" name="Picture 9" descr="https://aaimagestore.s3.amazonaws.com/july2017/0018043.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aaimagestore.s3.amazonaws.com/july2017/0018043.01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42340"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then the firm’s equilibrium riskiness of investment, </w:t>
      </w:r>
      <w:r w:rsidRPr="00FB321C">
        <w:rPr>
          <w:rFonts w:ascii="Segoe UI" w:eastAsia="Times New Roman" w:hAnsi="Segoe UI" w:cs="Segoe UI"/>
          <w:noProof/>
          <w:color w:val="212529"/>
          <w:sz w:val="24"/>
          <w:szCs w:val="24"/>
        </w:rPr>
        <w:drawing>
          <wp:inline distT="0" distB="0" distL="0" distR="0">
            <wp:extent cx="196215" cy="242570"/>
            <wp:effectExtent l="0" t="0" r="0" b="5080"/>
            <wp:docPr id="8" name="Picture 8" descr="https://aaimagestore.s3.amazonaws.com/july2017/0018043.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aimagestore.s3.amazonaws.com/july2017/0018043.017.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6215" cy="242570"/>
                    </a:xfrm>
                    <a:prstGeom prst="rect">
                      <a:avLst/>
                    </a:prstGeom>
                    <a:noFill/>
                    <a:ln>
                      <a:noFill/>
                    </a:ln>
                  </pic:spPr>
                </pic:pic>
              </a:graphicData>
            </a:graphic>
          </wp:inline>
        </w:drawing>
      </w:r>
      <w:r w:rsidRPr="00FB321C">
        <w:rPr>
          <w:rFonts w:ascii="Segoe UI" w:eastAsia="Times New Roman" w:hAnsi="Segoe UI" w:cs="Segoe UI"/>
          <w:color w:val="212529"/>
          <w:sz w:val="24"/>
          <w:szCs w:val="24"/>
        </w:rPr>
        <w:t>, is given by the following equation: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5710555" cy="1502410"/>
            <wp:effectExtent l="0" t="0" r="4445" b="2540"/>
            <wp:docPr id="7" name="Picture 7" descr="https://aaimagestore.s3.amazonaws.com/july2017/0018043.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aimagestore.s3.amazonaws.com/july2017/0018043.01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0555" cy="1502410"/>
                    </a:xfrm>
                    <a:prstGeom prst="rect">
                      <a:avLst/>
                    </a:prstGeom>
                    <a:noFill/>
                    <a:ln>
                      <a:noFill/>
                    </a:ln>
                  </pic:spPr>
                </pic:pic>
              </a:graphicData>
            </a:graphic>
          </wp:inline>
        </w:drawing>
      </w:r>
    </w:p>
    <w:p w:rsidR="00FB321C" w:rsidRPr="00FB321C" w:rsidRDefault="00FB321C" w:rsidP="00FB321C">
      <w:pPr>
        <w:numPr>
          <w:ilvl w:val="0"/>
          <w:numId w:val="9"/>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Data</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The UK data are from the Investors Chronicle Hillier Parker (ICHP) Index and comprise 32 semi-annual observations from 1977 to 1993. The UK data are available disaggregated by three property types (offices; industrial; and retail) and by 11 regions (London, South East, South West, East Anglia, East Midlands, West Midlands, Wales, Yorkshire and Humberside, North, North West, Scotland). The data exclude shopping </w:t>
      </w:r>
      <w:proofErr w:type="spellStart"/>
      <w:r w:rsidRPr="00FB321C">
        <w:rPr>
          <w:rFonts w:ascii="Segoe UI" w:eastAsia="Times New Roman" w:hAnsi="Segoe UI" w:cs="Segoe UI"/>
          <w:color w:val="212529"/>
          <w:sz w:val="24"/>
          <w:szCs w:val="24"/>
        </w:rPr>
        <w:t>centres</w:t>
      </w:r>
      <w:proofErr w:type="spellEnd"/>
      <w:r w:rsidRPr="00FB321C">
        <w:rPr>
          <w:rFonts w:ascii="Segoe UI" w:eastAsia="Times New Roman" w:hAnsi="Segoe UI" w:cs="Segoe UI"/>
          <w:color w:val="212529"/>
          <w:sz w:val="24"/>
          <w:szCs w:val="24"/>
        </w:rPr>
        <w:t xml:space="preserve">, mixed use buildings, and business space. Data for the U.K. 11 regions were also aggregated to </w:t>
      </w:r>
      <w:r w:rsidRPr="00FB321C">
        <w:rPr>
          <w:rFonts w:ascii="Segoe UI" w:eastAsia="Times New Roman" w:hAnsi="Segoe UI" w:cs="Segoe UI"/>
          <w:color w:val="212529"/>
          <w:sz w:val="24"/>
          <w:szCs w:val="24"/>
        </w:rPr>
        <w:lastRenderedPageBreak/>
        <w:t>produce three “super” regions as suggested by Key et al. (1994). These regions are London, South and North.</w:t>
      </w:r>
    </w:p>
    <w:p w:rsidR="00FB321C" w:rsidRPr="00FB321C" w:rsidRDefault="00FB321C" w:rsidP="00FB321C">
      <w:pPr>
        <w:numPr>
          <w:ilvl w:val="0"/>
          <w:numId w:val="10"/>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Quantitative Analysis Results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The estimated correlation matrices for the three UK property types and three UK regions are shown in Table I and II. As the number of regions differs from the number of property types, there is no test for the UK 11 region data comparable with the one undertaken above. It is, nonetheless, informative to </w:t>
      </w:r>
      <w:proofErr w:type="spellStart"/>
      <w:r w:rsidRPr="00FB321C">
        <w:rPr>
          <w:rFonts w:ascii="Segoe UI" w:eastAsia="Times New Roman" w:hAnsi="Segoe UI" w:cs="Segoe UI"/>
          <w:color w:val="212529"/>
          <w:sz w:val="24"/>
          <w:szCs w:val="24"/>
        </w:rPr>
        <w:t>analyse</w:t>
      </w:r>
      <w:proofErr w:type="spellEnd"/>
      <w:r w:rsidRPr="00FB321C">
        <w:rPr>
          <w:rFonts w:ascii="Segoe UI" w:eastAsia="Times New Roman" w:hAnsi="Segoe UI" w:cs="Segoe UI"/>
          <w:color w:val="212529"/>
          <w:sz w:val="24"/>
          <w:szCs w:val="24"/>
        </w:rPr>
        <w:t xml:space="preserve"> this data. This is done by calculating the correlations between all market segments, in which a market segment is defined as one property type in one region. The full matrix is given in Table III.</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In the UK it is a conventional wisdom that retail property offers least scope for regional diversification: retail sales tend not to have strong regional differences and the supply response of the retail property market does not differ significantly across regions. In contrast, in the office market, as the London market is driven by the financial sector has a strong international dimension; opportunities should exist for regional diversification within the office market.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 UK correlations based on semi-annual returns for 11 regions and three property types (1977-1993)</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lastRenderedPageBreak/>
        <w:drawing>
          <wp:inline distT="0" distB="0" distL="0" distR="0">
            <wp:extent cx="5943600" cy="4086860"/>
            <wp:effectExtent l="0" t="0" r="0" b="8890"/>
            <wp:docPr id="6" name="Picture 6" descr="Macintosh HD:Users:hehuidong94618:Desktop:Screen Shot 2017-03-11 at 4.31.05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hehuidong94618:Desktop:Screen Shot 2017-03-11 at 4.31.05 PM.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086860"/>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In conclusion, the results show that the scope for diversification within a region varies from region to region and is greatest the further from London, while the diversification within property type is generally limited but is better for office and industrial property. Retail property is poorly correlated with either industrial or offices. Thus, full diversification by both property type and region is to be preferred.</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II Insignificant correlations between market segments by property type, based on semi-annual returns, UK, 1977-1993</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lastRenderedPageBreak/>
        <w:drawing>
          <wp:inline distT="0" distB="0" distL="0" distR="0">
            <wp:extent cx="5943600" cy="2435225"/>
            <wp:effectExtent l="0" t="0" r="0" b="3175"/>
            <wp:docPr id="5" name="Picture 5" descr="Macintosh HD:Users:hehuidong94618:Desktop:Screen Shot 2017-03-11 at 4.33.21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hehuidong94618:Desktop:Screen Shot 2017-03-11 at 4.33.21 P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2435225"/>
                    </a:xfrm>
                    <a:prstGeom prst="rect">
                      <a:avLst/>
                    </a:prstGeom>
                    <a:noFill/>
                    <a:ln>
                      <a:noFill/>
                    </a:ln>
                  </pic:spPr>
                </pic:pic>
              </a:graphicData>
            </a:graphic>
          </wp:inline>
        </w:drawing>
      </w:r>
    </w:p>
    <w:p w:rsidR="00FB321C" w:rsidRPr="00FB321C" w:rsidRDefault="00FB321C" w:rsidP="00FB321C">
      <w:pPr>
        <w:numPr>
          <w:ilvl w:val="0"/>
          <w:numId w:val="11"/>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IPD/MSCI Data to Explore the Most Important Characteristics of Diversification in Private Real Estate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MSCI IPD is the only global </w:t>
      </w:r>
      <w:proofErr w:type="spellStart"/>
      <w:r w:rsidRPr="00FB321C">
        <w:rPr>
          <w:rFonts w:ascii="Segoe UI" w:eastAsia="Times New Roman" w:hAnsi="Segoe UI" w:cs="Segoe UI"/>
          <w:color w:val="212529"/>
          <w:sz w:val="24"/>
          <w:szCs w:val="24"/>
        </w:rPr>
        <w:t>provided</w:t>
      </w:r>
      <w:proofErr w:type="spellEnd"/>
      <w:r w:rsidRPr="00FB321C">
        <w:rPr>
          <w:rFonts w:ascii="Segoe UI" w:eastAsia="Times New Roman" w:hAnsi="Segoe UI" w:cs="Segoe UI"/>
          <w:color w:val="212529"/>
          <w:sz w:val="24"/>
          <w:szCs w:val="24"/>
        </w:rPr>
        <w:t xml:space="preserve"> of appraisal-based total return indices for private real estate across a number of different geographical markets. In this subsection, we look at the main factors affecting the performance of financial investments, i.e. economic growth, inflation and interest rates. These are the most important characteristics in driving differences in performance across the private real estate market over the past few decades. Also, the impact of these factors is partially overlaid with endogenous dynamics of real estate markets resulting from lagged responses of supply and demand. This subsection mainly suggests a specific real estate factor may exist that drives real estate returns but is not common with the drivers of equities or bonds, indicating the existence of long-term diversification benefits of private real estate.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III: Comparison of key statistics for selected total return indices in the UK</w:t>
      </w:r>
    </w:p>
    <w:tbl>
      <w:tblPr>
        <w:tblW w:w="12375"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4346"/>
        <w:gridCol w:w="2613"/>
        <w:gridCol w:w="3287"/>
        <w:gridCol w:w="2129"/>
      </w:tblGrid>
      <w:tr w:rsidR="00FB321C" w:rsidRPr="00FB321C" w:rsidTr="00FB321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UK (1990-2014, monthly)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Average return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Standard deviation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Sharpe ratio</w:t>
            </w:r>
          </w:p>
        </w:tc>
      </w:tr>
      <w:tr w:rsidR="00FB321C" w:rsidRPr="00FB321C" w:rsidTr="00FB321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Private RE (smoothed)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7.46%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3.76%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0.69</w:t>
            </w:r>
          </w:p>
        </w:tc>
      </w:tr>
      <w:tr w:rsidR="00FB321C" w:rsidRPr="00FB321C" w:rsidTr="00FB321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Private RE (unsmoothed)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7.46%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7.49%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0.37</w:t>
            </w:r>
          </w:p>
        </w:tc>
      </w:tr>
      <w:tr w:rsidR="00FB321C" w:rsidRPr="00FB321C" w:rsidTr="00FB321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Private Re (trans.-based)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10.39%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8.84%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B321C" w:rsidRPr="00FB321C" w:rsidRDefault="00FB321C" w:rsidP="00FB321C">
            <w:pPr>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0.06</w:t>
            </w:r>
          </w:p>
        </w:tc>
      </w:tr>
    </w:tbl>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Source: IPD and EPRA. IPD data available since 1987 but presented since 1990 to align with other indices. Sharpe ratio calculated relative to three-month T-bills.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IV: Overview of average annual returns and volatilities for selected international private real estate indices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lastRenderedPageBreak/>
        <w:drawing>
          <wp:inline distT="0" distB="0" distL="0" distR="0">
            <wp:extent cx="5934075" cy="2566035"/>
            <wp:effectExtent l="0" t="0" r="9525" b="5715"/>
            <wp:docPr id="4" name="Picture 4" descr="Macintosh HD:Users:hehuidong94618:Desktop:Screen Shot 2017-03-11 at 5.35.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hehuidong94618:Desktop:Screen Shot 2017-03-11 at 5.35.47 PM.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4075" cy="2566035"/>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IV summarizes the risk-return statistics of the IPD and NCREIF indices across a number of countries. Whilst we are aware that the statistical significance of comparisons based on only few observations is low, it is striking that the UK market is among the most volatile ones. The broad market opinion that the UK real estate market observes tends to see stronger cyclical movements. On the other hand, the UK private real estate market offers higher liquidity and market depth.</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Changes in the levels and volatility of returns from commercial real estate investments in the UK over a rolling ten-year view is presented in Figure 1.</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Figure 1: Rolling ten-year average returns and return volatilities in the UK</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3331210" cy="2332355"/>
            <wp:effectExtent l="0" t="0" r="2540" b="0"/>
            <wp:docPr id="3" name="Picture 3" descr="Macintosh HD:Users:hehuidong94618:Desktop:Screen Shot 2017-03-11 at 5.43.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hehuidong94618:Desktop:Screen Shot 2017-03-11 at 5.43.32 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31210" cy="2332355"/>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The risk-return profile of the UK market shows a regime shift following the financial crisis. Also, for the UK, unsmoothed real estate indices show Sharpe ratios comparable or slightly above the levels measured for equity and bond indices. However, one needs </w:t>
      </w:r>
      <w:r w:rsidRPr="00FB321C">
        <w:rPr>
          <w:rFonts w:ascii="Segoe UI" w:eastAsia="Times New Roman" w:hAnsi="Segoe UI" w:cs="Segoe UI"/>
          <w:color w:val="212529"/>
          <w:sz w:val="24"/>
          <w:szCs w:val="24"/>
        </w:rPr>
        <w:lastRenderedPageBreak/>
        <w:t>to consider that risk-return profiles may not be stable over time. Also, the risk-return profiles of investments may be different for long-term investors, although there is no conclusive evidence that the reduction of the effective volatility should be higher for real estate than for other types of assets. However, the fact that a high proportion of the return is derived from income may indeed favor real estate in the long term.</w:t>
      </w:r>
    </w:p>
    <w:p w:rsidR="00FB321C" w:rsidRPr="00FB321C" w:rsidRDefault="00FB321C" w:rsidP="00FB321C">
      <w:pPr>
        <w:numPr>
          <w:ilvl w:val="0"/>
          <w:numId w:val="12"/>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Real estate factor</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existence of a specific real estate factor is highly relevant for the construction of investment portfolios based on fundamental factors. Recent research supports the existence of such a factor for commercial private real estate. In order to verify the existence of a real estate factor, I ran a factor analysis for the UK following the reasoning of Mei and Lee (1994). Monthly data were used in the UK. A higher absolute value for a loading means that the factor has a higher impact, positive or negative, on the returns of the index, while a value close to zero indicates no significant impact.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5: Factor loading of stocks, bonds and alternative real estate index returns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drawing>
          <wp:inline distT="0" distB="0" distL="0" distR="0">
            <wp:extent cx="5943600" cy="2211070"/>
            <wp:effectExtent l="0" t="0" r="0" b="0"/>
            <wp:docPr id="2" name="Picture 2" descr="Macintosh HD:Users:hehuidong94618:Desktop:Screen Shot 2017-03-11 at 6.22.5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hehuidong94618:Desktop:Screen Shot 2017-03-11 at 6.22.57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211070"/>
                    </a:xfrm>
                    <a:prstGeom prst="rect">
                      <a:avLst/>
                    </a:prstGeom>
                    <a:noFill/>
                    <a:ln>
                      <a:noFill/>
                    </a:ln>
                  </pic:spPr>
                </pic:pic>
              </a:graphicData>
            </a:graphic>
          </wp:inline>
        </w:drawing>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Source: my own calculations.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The highest absolute loading for each index has been highlighted in bold in Table 5. While the levels of the loadings are not directly interpretable, the regularity in their relative values is striking. Factor F1 loads highly on stock market indices and on pubic real estate indices. In fact, it appears to represent mainly listed real estate, while pure stock indices are also influenced by F3. Factor F2 loads very highly on all private real estate indices, both smoothed and unsmoothed, as well as transaction-based indices. Factor F3 loads most strongly on bond indices and to a lower extent on stock indices. It appears justified to label F1 as a “stock market factor” and F2 as a “real estate factor”, while F3 could be associated with monetary factors such as interest rates. The above </w:t>
      </w:r>
      <w:r w:rsidRPr="00FB321C">
        <w:rPr>
          <w:rFonts w:ascii="Segoe UI" w:eastAsia="Times New Roman" w:hAnsi="Segoe UI" w:cs="Segoe UI"/>
          <w:color w:val="212529"/>
          <w:sz w:val="24"/>
          <w:szCs w:val="24"/>
        </w:rPr>
        <w:lastRenderedPageBreak/>
        <w:t>results represent a strong indication that the factor that drives direct real estate returns may indeed differ from the one that drives the returns of equities or bonds. While it is impossible to conclude on the basis of this analysis what particular risks or drivers this factor might reflect, they seem to be different to the risks and drivers behind the equities or fixed income, which should create diversification potential.</w:t>
      </w:r>
    </w:p>
    <w:p w:rsidR="00FB321C" w:rsidRPr="00FB321C" w:rsidRDefault="00FB321C" w:rsidP="00FB321C">
      <w:pPr>
        <w:numPr>
          <w:ilvl w:val="0"/>
          <w:numId w:val="13"/>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Conclusion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sections above have provided a critical appraisal of the literature on diversification within private real estate portfolios. For the UK, the opposite result was obtained for retail property and diversification across both property types and regions was to be preferred for the other two property types.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The results offer some insights into real estate performance and may offer some input into the determination of a diversification ion strategy for a real estate portfolio. There are two major qualifications on the results. The first is that they are historical results and they may not be a good proxy for the future correlations. Historical returns are unlikely to be a good proxy for future returns and that probably also holds for the correlations calculated between real estate categories. The second qualification is that investors have objectives, which are more complex than just the trade-off between the level of period return and volatility of period return.</w:t>
      </w:r>
    </w:p>
    <w:p w:rsidR="00FB321C" w:rsidRPr="00FB321C" w:rsidRDefault="00FB321C" w:rsidP="00FB321C">
      <w:pPr>
        <w:shd w:val="clear" w:color="auto" w:fill="D1ECF1"/>
        <w:spacing w:after="0" w:line="240" w:lineRule="auto"/>
        <w:rPr>
          <w:rFonts w:ascii="Segoe UI" w:eastAsia="Times New Roman" w:hAnsi="Segoe UI" w:cs="Segoe UI"/>
          <w:color w:val="0C5460"/>
          <w:sz w:val="24"/>
          <w:szCs w:val="24"/>
        </w:rPr>
      </w:pPr>
      <w:r w:rsidRPr="00FB321C">
        <w:rPr>
          <w:rFonts w:ascii="Segoe UI" w:eastAsia="Times New Roman" w:hAnsi="Segoe UI" w:cs="Segoe UI"/>
          <w:color w:val="0C5460"/>
          <w:sz w:val="24"/>
          <w:szCs w:val="24"/>
        </w:rPr>
        <w:t>Find Out How UKEssays.com Can Help You!</w:t>
      </w:r>
    </w:p>
    <w:p w:rsidR="00FB321C" w:rsidRPr="00FB321C" w:rsidRDefault="00FB321C" w:rsidP="00FB321C">
      <w:pPr>
        <w:shd w:val="clear" w:color="auto" w:fill="D1ECF1"/>
        <w:spacing w:after="100" w:afterAutospacing="1" w:line="240" w:lineRule="auto"/>
        <w:rPr>
          <w:rFonts w:ascii="Segoe UI" w:eastAsia="Times New Roman" w:hAnsi="Segoe UI" w:cs="Segoe UI"/>
          <w:color w:val="0C5460"/>
          <w:sz w:val="24"/>
          <w:szCs w:val="24"/>
        </w:rPr>
      </w:pPr>
      <w:r w:rsidRPr="00FB321C">
        <w:rPr>
          <w:rFonts w:ascii="Segoe UI" w:eastAsia="Times New Roman" w:hAnsi="Segoe UI" w:cs="Segoe UI"/>
          <w:color w:val="0C5460"/>
          <w:sz w:val="24"/>
          <w:szCs w:val="24"/>
        </w:rPr>
        <w:t>Our academic experts are ready and waiting to assist with any writing project you may have. From simple essay plans, through to full dissertations, you can guarantee we have a service perfectly matched to your needs.</w:t>
      </w:r>
    </w:p>
    <w:p w:rsidR="00FB321C" w:rsidRPr="00FB321C" w:rsidRDefault="00FB321C" w:rsidP="00FB321C">
      <w:pPr>
        <w:shd w:val="clear" w:color="auto" w:fill="D1ECF1"/>
        <w:spacing w:after="0" w:line="240" w:lineRule="auto"/>
        <w:rPr>
          <w:rFonts w:ascii="Segoe UI" w:eastAsia="Times New Roman" w:hAnsi="Segoe UI" w:cs="Segoe UI"/>
          <w:color w:val="0C5460"/>
          <w:sz w:val="24"/>
          <w:szCs w:val="24"/>
        </w:rPr>
      </w:pPr>
      <w:hyperlink r:id="rId28" w:history="1">
        <w:r w:rsidRPr="00FB321C">
          <w:rPr>
            <w:rFonts w:ascii="Segoe UI" w:eastAsia="Times New Roman" w:hAnsi="Segoe UI" w:cs="Segoe UI"/>
            <w:color w:val="FFFFFF"/>
            <w:sz w:val="24"/>
            <w:szCs w:val="24"/>
            <w:bdr w:val="single" w:sz="6" w:space="0" w:color="0B57A8" w:frame="1"/>
            <w:shd w:val="clear" w:color="auto" w:fill="0B57A8"/>
          </w:rPr>
          <w:t>View our services</w:t>
        </w:r>
      </w:hyperlink>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Behind the analysis of regional economic base is the reasonable presumption that similarity in economic structure and performance should lead to similarity in real estate performance. However, such analyses, which focus on demand proxies, ignore supply or, at best, assume no differences in supply responses across property type or region. Testing the economic base ideas with highly disaggregated returns data is therefore very important. The UK data allow comparisons of the economic similarity of regions and the similarity of property performance. It would then be possible to infer from the UK results whether the </w:t>
      </w:r>
      <w:proofErr w:type="spellStart"/>
      <w:r w:rsidRPr="00FB321C">
        <w:rPr>
          <w:rFonts w:ascii="Segoe UI" w:eastAsia="Times New Roman" w:hAnsi="Segoe UI" w:cs="Segoe UI"/>
          <w:color w:val="212529"/>
          <w:sz w:val="24"/>
          <w:szCs w:val="24"/>
        </w:rPr>
        <w:t>proxying</w:t>
      </w:r>
      <w:proofErr w:type="spellEnd"/>
      <w:r w:rsidRPr="00FB321C">
        <w:rPr>
          <w:rFonts w:ascii="Segoe UI" w:eastAsia="Times New Roman" w:hAnsi="Segoe UI" w:cs="Segoe UI"/>
          <w:color w:val="212529"/>
          <w:sz w:val="24"/>
          <w:szCs w:val="24"/>
        </w:rPr>
        <w:t xml:space="preserve"> of real estate performance with economic performance is valid and perhaps at what spatial scale.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Table III Real Estate Portfolio Diversification</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noProof/>
          <w:color w:val="212529"/>
          <w:sz w:val="24"/>
          <w:szCs w:val="24"/>
        </w:rPr>
        <w:lastRenderedPageBreak/>
        <w:drawing>
          <wp:inline distT="0" distB="0" distL="0" distR="0">
            <wp:extent cx="4861560" cy="7305675"/>
            <wp:effectExtent l="0" t="0" r="0" b="9525"/>
            <wp:docPr id="1" name="Picture 1" descr="Macintosh HD:Users:hehuidong94618:Desktop:Screen Shot 2017-03-11 at 4.45.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hehuidong94618:Desktop:Screen Shot 2017-03-11 at 4.45.29 PM.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861560" cy="7305675"/>
                    </a:xfrm>
                    <a:prstGeom prst="rect">
                      <a:avLst/>
                    </a:prstGeom>
                    <a:noFill/>
                    <a:ln>
                      <a:noFill/>
                    </a:ln>
                  </pic:spPr>
                </pic:pic>
              </a:graphicData>
            </a:graphic>
          </wp:inline>
        </w:drawing>
      </w:r>
    </w:p>
    <w:p w:rsidR="00FB321C" w:rsidRPr="00FB321C" w:rsidRDefault="00FB321C" w:rsidP="00FB321C">
      <w:pPr>
        <w:numPr>
          <w:ilvl w:val="0"/>
          <w:numId w:val="14"/>
        </w:numPr>
        <w:shd w:val="clear" w:color="auto" w:fill="FFFFFF"/>
        <w:spacing w:before="100" w:beforeAutospacing="1"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b/>
          <w:bCs/>
          <w:color w:val="212529"/>
          <w:sz w:val="24"/>
          <w:szCs w:val="24"/>
        </w:rPr>
        <w:t>References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lastRenderedPageBreak/>
        <w:t>Amihud</w:t>
      </w:r>
      <w:proofErr w:type="spellEnd"/>
      <w:r w:rsidRPr="00FB321C">
        <w:rPr>
          <w:rFonts w:ascii="Segoe UI" w:eastAsia="Times New Roman" w:hAnsi="Segoe UI" w:cs="Segoe UI"/>
          <w:color w:val="212529"/>
          <w:sz w:val="24"/>
          <w:szCs w:val="24"/>
        </w:rPr>
        <w:t>, Y. and Lev, B., 1981. Risk reduction as a managerial motive for conglomerate mergers.  </w:t>
      </w:r>
      <w:r w:rsidRPr="00FB321C">
        <w:rPr>
          <w:rFonts w:ascii="Segoe UI" w:eastAsia="Times New Roman" w:hAnsi="Segoe UI" w:cs="Segoe UI"/>
          <w:i/>
          <w:iCs/>
          <w:color w:val="212529"/>
          <w:sz w:val="24"/>
          <w:szCs w:val="24"/>
        </w:rPr>
        <w:t>The bell journal of economics</w:t>
      </w:r>
      <w:r w:rsidRPr="00FB321C">
        <w:rPr>
          <w:rFonts w:ascii="Segoe UI" w:eastAsia="Times New Roman" w:hAnsi="Segoe UI" w:cs="Segoe UI"/>
          <w:color w:val="212529"/>
          <w:sz w:val="24"/>
          <w:szCs w:val="24"/>
        </w:rPr>
        <w:t>, pp.605-617.</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Ang</w:t>
      </w:r>
      <w:proofErr w:type="spellEnd"/>
      <w:r w:rsidRPr="00FB321C">
        <w:rPr>
          <w:rFonts w:ascii="Segoe UI" w:eastAsia="Times New Roman" w:hAnsi="Segoe UI" w:cs="Segoe UI"/>
          <w:color w:val="212529"/>
          <w:sz w:val="24"/>
          <w:szCs w:val="24"/>
        </w:rPr>
        <w:t>, A., 2012. ‘</w:t>
      </w:r>
      <w:proofErr w:type="spellStart"/>
      <w:r w:rsidRPr="00FB321C">
        <w:rPr>
          <w:rFonts w:ascii="Segoe UI" w:eastAsia="Times New Roman" w:hAnsi="Segoe UI" w:cs="Segoe UI"/>
          <w:color w:val="212529"/>
          <w:sz w:val="24"/>
          <w:szCs w:val="24"/>
        </w:rPr>
        <w:t>Real’Assets</w:t>
      </w:r>
      <w:proofErr w:type="spellEnd"/>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Columbia Business School Research Paper No. 12-60. </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Faccio</w:t>
      </w:r>
      <w:proofErr w:type="spellEnd"/>
      <w:r w:rsidRPr="00FB321C">
        <w:rPr>
          <w:rFonts w:ascii="Segoe UI" w:eastAsia="Times New Roman" w:hAnsi="Segoe UI" w:cs="Segoe UI"/>
          <w:color w:val="212529"/>
          <w:sz w:val="24"/>
          <w:szCs w:val="24"/>
        </w:rPr>
        <w:t xml:space="preserve">, M.,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M.T. and Mura, R., 2011. Large shareholder diversification and corporate</w:t>
      </w:r>
      <w:proofErr w:type="gramStart"/>
      <w:r w:rsidRPr="00FB321C">
        <w:rPr>
          <w:rFonts w:ascii="Segoe UI" w:eastAsia="Times New Roman" w:hAnsi="Segoe UI" w:cs="Segoe UI"/>
          <w:color w:val="212529"/>
          <w:sz w:val="24"/>
          <w:szCs w:val="24"/>
        </w:rPr>
        <w:t>  risk</w:t>
      </w:r>
      <w:proofErr w:type="gramEnd"/>
      <w:r w:rsidRPr="00FB321C">
        <w:rPr>
          <w:rFonts w:ascii="Segoe UI" w:eastAsia="Times New Roman" w:hAnsi="Segoe UI" w:cs="Segoe UI"/>
          <w:color w:val="212529"/>
          <w:sz w:val="24"/>
          <w:szCs w:val="24"/>
        </w:rPr>
        <w:t>-taking. </w:t>
      </w:r>
      <w:r w:rsidRPr="00FB321C">
        <w:rPr>
          <w:rFonts w:ascii="Segoe UI" w:eastAsia="Times New Roman" w:hAnsi="Segoe UI" w:cs="Segoe UI"/>
          <w:i/>
          <w:iCs/>
          <w:color w:val="212529"/>
          <w:sz w:val="24"/>
          <w:szCs w:val="24"/>
        </w:rPr>
        <w:t>Review of Financial Studies</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24</w:t>
      </w:r>
      <w:r w:rsidRPr="00FB321C">
        <w:rPr>
          <w:rFonts w:ascii="Segoe UI" w:eastAsia="Times New Roman" w:hAnsi="Segoe UI" w:cs="Segoe UI"/>
          <w:color w:val="212529"/>
          <w:sz w:val="24"/>
          <w:szCs w:val="24"/>
        </w:rPr>
        <w:t>(11), pp.3601-3641.</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Firstenberg</w:t>
      </w:r>
      <w:proofErr w:type="spellEnd"/>
      <w:r w:rsidRPr="00FB321C">
        <w:rPr>
          <w:rFonts w:ascii="Segoe UI" w:eastAsia="Times New Roman" w:hAnsi="Segoe UI" w:cs="Segoe UI"/>
          <w:color w:val="212529"/>
          <w:sz w:val="24"/>
          <w:szCs w:val="24"/>
        </w:rPr>
        <w:t xml:space="preserve">, P.M., Ross, S.A. and </w:t>
      </w:r>
      <w:proofErr w:type="spellStart"/>
      <w:r w:rsidRPr="00FB321C">
        <w:rPr>
          <w:rFonts w:ascii="Segoe UI" w:eastAsia="Times New Roman" w:hAnsi="Segoe UI" w:cs="Segoe UI"/>
          <w:color w:val="212529"/>
          <w:sz w:val="24"/>
          <w:szCs w:val="24"/>
        </w:rPr>
        <w:t>Zisler</w:t>
      </w:r>
      <w:proofErr w:type="spellEnd"/>
      <w:r w:rsidRPr="00FB321C">
        <w:rPr>
          <w:rFonts w:ascii="Segoe UI" w:eastAsia="Times New Roman" w:hAnsi="Segoe UI" w:cs="Segoe UI"/>
          <w:color w:val="212529"/>
          <w:sz w:val="24"/>
          <w:szCs w:val="24"/>
        </w:rPr>
        <w:t>, R.C., 1988. Real estate: the whole story. </w:t>
      </w:r>
      <w:r w:rsidRPr="00FB321C">
        <w:rPr>
          <w:rFonts w:ascii="Segoe UI" w:eastAsia="Times New Roman" w:hAnsi="Segoe UI" w:cs="Segoe UI"/>
          <w:i/>
          <w:iCs/>
          <w:color w:val="212529"/>
          <w:sz w:val="24"/>
          <w:szCs w:val="24"/>
        </w:rPr>
        <w:t>The Journal of Portfolio Management</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14</w:t>
      </w:r>
      <w:r w:rsidRPr="00FB321C">
        <w:rPr>
          <w:rFonts w:ascii="Segoe UI" w:eastAsia="Times New Roman" w:hAnsi="Segoe UI" w:cs="Segoe UI"/>
          <w:color w:val="212529"/>
          <w:sz w:val="24"/>
          <w:szCs w:val="24"/>
        </w:rPr>
        <w:t>(3), pp.22-34.</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Gormley</w:t>
      </w:r>
      <w:proofErr w:type="spellEnd"/>
      <w:r w:rsidRPr="00FB321C">
        <w:rPr>
          <w:rFonts w:ascii="Segoe UI" w:eastAsia="Times New Roman" w:hAnsi="Segoe UI" w:cs="Segoe UI"/>
          <w:color w:val="212529"/>
          <w:sz w:val="24"/>
          <w:szCs w:val="24"/>
        </w:rPr>
        <w:t xml:space="preserve">, T.A., </w:t>
      </w:r>
      <w:proofErr w:type="spellStart"/>
      <w:r w:rsidRPr="00FB321C">
        <w:rPr>
          <w:rFonts w:ascii="Segoe UI" w:eastAsia="Times New Roman" w:hAnsi="Segoe UI" w:cs="Segoe UI"/>
          <w:color w:val="212529"/>
          <w:sz w:val="24"/>
          <w:szCs w:val="24"/>
        </w:rPr>
        <w:t>Matsa</w:t>
      </w:r>
      <w:proofErr w:type="spellEnd"/>
      <w:r w:rsidRPr="00FB321C">
        <w:rPr>
          <w:rFonts w:ascii="Segoe UI" w:eastAsia="Times New Roman" w:hAnsi="Segoe UI" w:cs="Segoe UI"/>
          <w:color w:val="212529"/>
          <w:sz w:val="24"/>
          <w:szCs w:val="24"/>
        </w:rPr>
        <w:t xml:space="preserve">, D.A. and </w:t>
      </w:r>
      <w:proofErr w:type="spellStart"/>
      <w:r w:rsidRPr="00FB321C">
        <w:rPr>
          <w:rFonts w:ascii="Segoe UI" w:eastAsia="Times New Roman" w:hAnsi="Segoe UI" w:cs="Segoe UI"/>
          <w:color w:val="212529"/>
          <w:sz w:val="24"/>
          <w:szCs w:val="24"/>
        </w:rPr>
        <w:t>Milbourn</w:t>
      </w:r>
      <w:proofErr w:type="spellEnd"/>
      <w:r w:rsidRPr="00FB321C">
        <w:rPr>
          <w:rFonts w:ascii="Segoe UI" w:eastAsia="Times New Roman" w:hAnsi="Segoe UI" w:cs="Segoe UI"/>
          <w:color w:val="212529"/>
          <w:sz w:val="24"/>
          <w:szCs w:val="24"/>
        </w:rPr>
        <w:t>, T., 2013. CEO compensation and corporate risk:  Evidence from a natural experiment. </w:t>
      </w:r>
      <w:r w:rsidRPr="00FB321C">
        <w:rPr>
          <w:rFonts w:ascii="Segoe UI" w:eastAsia="Times New Roman" w:hAnsi="Segoe UI" w:cs="Segoe UI"/>
          <w:i/>
          <w:iCs/>
          <w:color w:val="212529"/>
          <w:sz w:val="24"/>
          <w:szCs w:val="24"/>
        </w:rPr>
        <w:t>Journal of Accounting and Economics</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56</w:t>
      </w:r>
      <w:r w:rsidRPr="00FB321C">
        <w:rPr>
          <w:rFonts w:ascii="Segoe UI" w:eastAsia="Times New Roman" w:hAnsi="Segoe UI" w:cs="Segoe UI"/>
          <w:color w:val="212529"/>
          <w:sz w:val="24"/>
          <w:szCs w:val="24"/>
        </w:rPr>
        <w:t>(2), pp.79-101.</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Hoesli</w:t>
      </w:r>
      <w:proofErr w:type="spellEnd"/>
      <w:r w:rsidRPr="00FB321C">
        <w:rPr>
          <w:rFonts w:ascii="Segoe UI" w:eastAsia="Times New Roman" w:hAnsi="Segoe UI" w:cs="Segoe UI"/>
          <w:color w:val="212529"/>
          <w:sz w:val="24"/>
          <w:szCs w:val="24"/>
        </w:rPr>
        <w:t xml:space="preserve">, M., </w:t>
      </w:r>
      <w:proofErr w:type="spellStart"/>
      <w:r w:rsidRPr="00FB321C">
        <w:rPr>
          <w:rFonts w:ascii="Segoe UI" w:eastAsia="Times New Roman" w:hAnsi="Segoe UI" w:cs="Segoe UI"/>
          <w:color w:val="212529"/>
          <w:sz w:val="24"/>
          <w:szCs w:val="24"/>
        </w:rPr>
        <w:t>Lekander</w:t>
      </w:r>
      <w:proofErr w:type="spellEnd"/>
      <w:r w:rsidRPr="00FB321C">
        <w:rPr>
          <w:rFonts w:ascii="Segoe UI" w:eastAsia="Times New Roman" w:hAnsi="Segoe UI" w:cs="Segoe UI"/>
          <w:color w:val="212529"/>
          <w:sz w:val="24"/>
          <w:szCs w:val="24"/>
        </w:rPr>
        <w:t xml:space="preserve">, J. and </w:t>
      </w:r>
      <w:proofErr w:type="spellStart"/>
      <w:r w:rsidRPr="00FB321C">
        <w:rPr>
          <w:rFonts w:ascii="Segoe UI" w:eastAsia="Times New Roman" w:hAnsi="Segoe UI" w:cs="Segoe UI"/>
          <w:color w:val="212529"/>
          <w:sz w:val="24"/>
          <w:szCs w:val="24"/>
        </w:rPr>
        <w:t>Witkiewicz</w:t>
      </w:r>
      <w:proofErr w:type="spellEnd"/>
      <w:r w:rsidRPr="00FB321C">
        <w:rPr>
          <w:rFonts w:ascii="Segoe UI" w:eastAsia="Times New Roman" w:hAnsi="Segoe UI" w:cs="Segoe UI"/>
          <w:color w:val="212529"/>
          <w:sz w:val="24"/>
          <w:szCs w:val="24"/>
        </w:rPr>
        <w:t>, W., 2004. International evidence on real estate as a</w:t>
      </w:r>
      <w:proofErr w:type="gramStart"/>
      <w:r w:rsidRPr="00FB321C">
        <w:rPr>
          <w:rFonts w:ascii="Segoe UI" w:eastAsia="Times New Roman" w:hAnsi="Segoe UI" w:cs="Segoe UI"/>
          <w:color w:val="212529"/>
          <w:sz w:val="24"/>
          <w:szCs w:val="24"/>
        </w:rPr>
        <w:t>  portfolio</w:t>
      </w:r>
      <w:proofErr w:type="gramEnd"/>
      <w:r w:rsidRPr="00FB321C">
        <w:rPr>
          <w:rFonts w:ascii="Segoe UI" w:eastAsia="Times New Roman" w:hAnsi="Segoe UI" w:cs="Segoe UI"/>
          <w:color w:val="212529"/>
          <w:sz w:val="24"/>
          <w:szCs w:val="24"/>
        </w:rPr>
        <w:t xml:space="preserve"> diversifier. </w:t>
      </w:r>
      <w:r w:rsidRPr="00FB321C">
        <w:rPr>
          <w:rFonts w:ascii="Segoe UI" w:eastAsia="Times New Roman" w:hAnsi="Segoe UI" w:cs="Segoe UI"/>
          <w:i/>
          <w:iCs/>
          <w:color w:val="212529"/>
          <w:sz w:val="24"/>
          <w:szCs w:val="24"/>
        </w:rPr>
        <w:t>Journal of Real Estate Research</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26</w:t>
      </w:r>
      <w:r w:rsidRPr="00FB321C">
        <w:rPr>
          <w:rFonts w:ascii="Segoe UI" w:eastAsia="Times New Roman" w:hAnsi="Segoe UI" w:cs="Segoe UI"/>
          <w:color w:val="212529"/>
          <w:sz w:val="24"/>
          <w:szCs w:val="24"/>
        </w:rPr>
        <w:t>(2), pp.161-206.</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Hoesli</w:t>
      </w:r>
      <w:proofErr w:type="spellEnd"/>
      <w:r w:rsidRPr="00FB321C">
        <w:rPr>
          <w:rFonts w:ascii="Segoe UI" w:eastAsia="Times New Roman" w:hAnsi="Segoe UI" w:cs="Segoe UI"/>
          <w:color w:val="212529"/>
          <w:sz w:val="24"/>
          <w:szCs w:val="24"/>
        </w:rPr>
        <w:t xml:space="preserve">, M. and </w:t>
      </w: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C., 2007. Real estate in the investment portfolio. A report for the</w:t>
      </w:r>
      <w:proofErr w:type="gramStart"/>
      <w:r w:rsidRPr="00FB321C">
        <w:rPr>
          <w:rFonts w:ascii="Segoe UI" w:eastAsia="Times New Roman" w:hAnsi="Segoe UI" w:cs="Segoe UI"/>
          <w:color w:val="212529"/>
          <w:sz w:val="24"/>
          <w:szCs w:val="24"/>
        </w:rPr>
        <w:t>  Investment</w:t>
      </w:r>
      <w:proofErr w:type="gramEnd"/>
      <w:r w:rsidRPr="00FB321C">
        <w:rPr>
          <w:rFonts w:ascii="Segoe UI" w:eastAsia="Times New Roman" w:hAnsi="Segoe UI" w:cs="Segoe UI"/>
          <w:color w:val="212529"/>
          <w:sz w:val="24"/>
          <w:szCs w:val="24"/>
        </w:rPr>
        <w:t xml:space="preserve"> Strategy Council of the Royal Ministry of Finance.</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Key, T., </w:t>
      </w:r>
      <w:proofErr w:type="spellStart"/>
      <w:r w:rsidRPr="00FB321C">
        <w:rPr>
          <w:rFonts w:ascii="Segoe UI" w:eastAsia="Times New Roman" w:hAnsi="Segoe UI" w:cs="Segoe UI"/>
          <w:color w:val="212529"/>
          <w:sz w:val="24"/>
          <w:szCs w:val="24"/>
        </w:rPr>
        <w:t>Zarkesh</w:t>
      </w:r>
      <w:proofErr w:type="spellEnd"/>
      <w:r w:rsidRPr="00FB321C">
        <w:rPr>
          <w:rFonts w:ascii="Segoe UI" w:eastAsia="Times New Roman" w:hAnsi="Segoe UI" w:cs="Segoe UI"/>
          <w:color w:val="212529"/>
          <w:sz w:val="24"/>
          <w:szCs w:val="24"/>
        </w:rPr>
        <w:t xml:space="preserve">, F., </w:t>
      </w:r>
      <w:proofErr w:type="spellStart"/>
      <w:r w:rsidRPr="00FB321C">
        <w:rPr>
          <w:rFonts w:ascii="Segoe UI" w:eastAsia="Times New Roman" w:hAnsi="Segoe UI" w:cs="Segoe UI"/>
          <w:color w:val="212529"/>
          <w:sz w:val="24"/>
          <w:szCs w:val="24"/>
        </w:rPr>
        <w:t>MacGregor</w:t>
      </w:r>
      <w:proofErr w:type="spellEnd"/>
      <w:r w:rsidRPr="00FB321C">
        <w:rPr>
          <w:rFonts w:ascii="Segoe UI" w:eastAsia="Times New Roman" w:hAnsi="Segoe UI" w:cs="Segoe UI"/>
          <w:color w:val="212529"/>
          <w:sz w:val="24"/>
          <w:szCs w:val="24"/>
        </w:rPr>
        <w:t xml:space="preserve">, B. and </w:t>
      </w:r>
      <w:proofErr w:type="spellStart"/>
      <w:r w:rsidRPr="00FB321C">
        <w:rPr>
          <w:rFonts w:ascii="Segoe UI" w:eastAsia="Times New Roman" w:hAnsi="Segoe UI" w:cs="Segoe UI"/>
          <w:color w:val="212529"/>
          <w:sz w:val="24"/>
          <w:szCs w:val="24"/>
        </w:rPr>
        <w:t>Nanthakumaran</w:t>
      </w:r>
      <w:proofErr w:type="spellEnd"/>
      <w:r w:rsidRPr="00FB321C">
        <w:rPr>
          <w:rFonts w:ascii="Segoe UI" w:eastAsia="Times New Roman" w:hAnsi="Segoe UI" w:cs="Segoe UI"/>
          <w:color w:val="212529"/>
          <w:sz w:val="24"/>
          <w:szCs w:val="24"/>
        </w:rPr>
        <w:t>, N., 1994. Understanding the property</w:t>
      </w:r>
      <w:proofErr w:type="gramStart"/>
      <w:r w:rsidRPr="00FB321C">
        <w:rPr>
          <w:rFonts w:ascii="Segoe UI" w:eastAsia="Times New Roman" w:hAnsi="Segoe UI" w:cs="Segoe UI"/>
          <w:color w:val="212529"/>
          <w:sz w:val="24"/>
          <w:szCs w:val="24"/>
        </w:rPr>
        <w:t>  cycle</w:t>
      </w:r>
      <w:proofErr w:type="gramEnd"/>
      <w:r w:rsidRPr="00FB321C">
        <w:rPr>
          <w:rFonts w:ascii="Segoe UI" w:eastAsia="Times New Roman" w:hAnsi="Segoe UI" w:cs="Segoe UI"/>
          <w:color w:val="212529"/>
          <w:sz w:val="24"/>
          <w:szCs w:val="24"/>
        </w:rPr>
        <w:t>. Main report: Economic cycles and property cycles. </w:t>
      </w:r>
      <w:r w:rsidRPr="00FB321C">
        <w:rPr>
          <w:rFonts w:ascii="Segoe UI" w:eastAsia="Times New Roman" w:hAnsi="Segoe UI" w:cs="Segoe UI"/>
          <w:i/>
          <w:iCs/>
          <w:color w:val="212529"/>
          <w:sz w:val="24"/>
          <w:szCs w:val="24"/>
        </w:rPr>
        <w:t>London: RICS</w:t>
      </w:r>
      <w:r w:rsidRPr="00FB321C">
        <w:rPr>
          <w:rFonts w:ascii="Segoe UI" w:eastAsia="Times New Roman" w:hAnsi="Segoe UI" w:cs="Segoe UI"/>
          <w:color w:val="212529"/>
          <w:sz w:val="24"/>
          <w:szCs w:val="24"/>
        </w:rPr>
        <w:t>.</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Lekander</w:t>
      </w:r>
      <w:proofErr w:type="spellEnd"/>
      <w:r w:rsidRPr="00FB321C">
        <w:rPr>
          <w:rFonts w:ascii="Segoe UI" w:eastAsia="Times New Roman" w:hAnsi="Segoe UI" w:cs="Segoe UI"/>
          <w:color w:val="212529"/>
          <w:sz w:val="24"/>
          <w:szCs w:val="24"/>
        </w:rPr>
        <w:t>, J.R., 2015. Real estate portfolio construction for a multi-asset portfolio. </w:t>
      </w:r>
      <w:r w:rsidRPr="00FB321C">
        <w:rPr>
          <w:rFonts w:ascii="Segoe UI" w:eastAsia="Times New Roman" w:hAnsi="Segoe UI" w:cs="Segoe UI"/>
          <w:i/>
          <w:iCs/>
          <w:color w:val="212529"/>
          <w:sz w:val="24"/>
          <w:szCs w:val="24"/>
        </w:rPr>
        <w:t xml:space="preserve">Journal </w:t>
      </w:r>
      <w:proofErr w:type="spellStart"/>
      <w:r w:rsidRPr="00FB321C">
        <w:rPr>
          <w:rFonts w:ascii="Segoe UI" w:eastAsia="Times New Roman" w:hAnsi="Segoe UI" w:cs="Segoe UI"/>
          <w:i/>
          <w:iCs/>
          <w:color w:val="212529"/>
          <w:sz w:val="24"/>
          <w:szCs w:val="24"/>
        </w:rPr>
        <w:t>ofProperty</w:t>
      </w:r>
      <w:proofErr w:type="spellEnd"/>
      <w:r w:rsidRPr="00FB321C">
        <w:rPr>
          <w:rFonts w:ascii="Segoe UI" w:eastAsia="Times New Roman" w:hAnsi="Segoe UI" w:cs="Segoe UI"/>
          <w:i/>
          <w:iCs/>
          <w:color w:val="212529"/>
          <w:sz w:val="24"/>
          <w:szCs w:val="24"/>
        </w:rPr>
        <w:t xml:space="preserve"> Investment &amp; Finance</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33</w:t>
      </w:r>
      <w:r w:rsidRPr="00FB321C">
        <w:rPr>
          <w:rFonts w:ascii="Segoe UI" w:eastAsia="Times New Roman" w:hAnsi="Segoe UI" w:cs="Segoe UI"/>
          <w:color w:val="212529"/>
          <w:sz w:val="24"/>
          <w:szCs w:val="24"/>
        </w:rPr>
        <w:t>(6), pp.548-573.</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Lizieri</w:t>
      </w:r>
      <w:proofErr w:type="spellEnd"/>
      <w:r w:rsidRPr="00FB321C">
        <w:rPr>
          <w:rFonts w:ascii="Segoe UI" w:eastAsia="Times New Roman" w:hAnsi="Segoe UI" w:cs="Segoe UI"/>
          <w:color w:val="212529"/>
          <w:sz w:val="24"/>
          <w:szCs w:val="24"/>
        </w:rPr>
        <w:t>, C., 2013. After the fall: Real estate in the mixed-asset portfolio in the aftermath of the</w:t>
      </w:r>
      <w:proofErr w:type="gramStart"/>
      <w:r w:rsidRPr="00FB321C">
        <w:rPr>
          <w:rFonts w:ascii="Segoe UI" w:eastAsia="Times New Roman" w:hAnsi="Segoe UI" w:cs="Segoe UI"/>
          <w:color w:val="212529"/>
          <w:sz w:val="24"/>
          <w:szCs w:val="24"/>
        </w:rPr>
        <w:t>  global</w:t>
      </w:r>
      <w:proofErr w:type="gramEnd"/>
      <w:r w:rsidRPr="00FB321C">
        <w:rPr>
          <w:rFonts w:ascii="Segoe UI" w:eastAsia="Times New Roman" w:hAnsi="Segoe UI" w:cs="Segoe UI"/>
          <w:color w:val="212529"/>
          <w:sz w:val="24"/>
          <w:szCs w:val="24"/>
        </w:rPr>
        <w:t xml:space="preserve"> financial crisis. </w:t>
      </w:r>
      <w:r w:rsidRPr="00FB321C">
        <w:rPr>
          <w:rFonts w:ascii="Segoe UI" w:eastAsia="Times New Roman" w:hAnsi="Segoe UI" w:cs="Segoe UI"/>
          <w:i/>
          <w:iCs/>
          <w:color w:val="212529"/>
          <w:sz w:val="24"/>
          <w:szCs w:val="24"/>
        </w:rPr>
        <w:t>The Journal of Portfolio Management</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39</w:t>
      </w:r>
      <w:r w:rsidRPr="00FB321C">
        <w:rPr>
          <w:rFonts w:ascii="Segoe UI" w:eastAsia="Times New Roman" w:hAnsi="Segoe UI" w:cs="Segoe UI"/>
          <w:color w:val="212529"/>
          <w:sz w:val="24"/>
          <w:szCs w:val="24"/>
        </w:rPr>
        <w:t>(5), pp.43-59.</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proofErr w:type="spellStart"/>
      <w:r w:rsidRPr="00FB321C">
        <w:rPr>
          <w:rFonts w:ascii="Segoe UI" w:eastAsia="Times New Roman" w:hAnsi="Segoe UI" w:cs="Segoe UI"/>
          <w:color w:val="212529"/>
          <w:sz w:val="24"/>
          <w:szCs w:val="24"/>
        </w:rPr>
        <w:t>Lyandres</w:t>
      </w:r>
      <w:proofErr w:type="spellEnd"/>
      <w:r w:rsidRPr="00FB321C">
        <w:rPr>
          <w:rFonts w:ascii="Segoe UI" w:eastAsia="Times New Roman" w:hAnsi="Segoe UI" w:cs="Segoe UI"/>
          <w:color w:val="212529"/>
          <w:sz w:val="24"/>
          <w:szCs w:val="24"/>
        </w:rPr>
        <w:t xml:space="preserve">, E., </w:t>
      </w:r>
      <w:proofErr w:type="spellStart"/>
      <w:r w:rsidRPr="00FB321C">
        <w:rPr>
          <w:rFonts w:ascii="Segoe UI" w:eastAsia="Times New Roman" w:hAnsi="Segoe UI" w:cs="Segoe UI"/>
          <w:color w:val="212529"/>
          <w:sz w:val="24"/>
          <w:szCs w:val="24"/>
        </w:rPr>
        <w:t>Marchica</w:t>
      </w:r>
      <w:proofErr w:type="spellEnd"/>
      <w:r w:rsidRPr="00FB321C">
        <w:rPr>
          <w:rFonts w:ascii="Segoe UI" w:eastAsia="Times New Roman" w:hAnsi="Segoe UI" w:cs="Segoe UI"/>
          <w:color w:val="212529"/>
          <w:sz w:val="24"/>
          <w:szCs w:val="24"/>
        </w:rPr>
        <w:t xml:space="preserve">, M.T., </w:t>
      </w:r>
      <w:proofErr w:type="spellStart"/>
      <w:r w:rsidRPr="00FB321C">
        <w:rPr>
          <w:rFonts w:ascii="Segoe UI" w:eastAsia="Times New Roman" w:hAnsi="Segoe UI" w:cs="Segoe UI"/>
          <w:color w:val="212529"/>
          <w:sz w:val="24"/>
          <w:szCs w:val="24"/>
        </w:rPr>
        <w:t>Michaely</w:t>
      </w:r>
      <w:proofErr w:type="spellEnd"/>
      <w:r w:rsidRPr="00FB321C">
        <w:rPr>
          <w:rFonts w:ascii="Segoe UI" w:eastAsia="Times New Roman" w:hAnsi="Segoe UI" w:cs="Segoe UI"/>
          <w:color w:val="212529"/>
          <w:sz w:val="24"/>
          <w:szCs w:val="24"/>
        </w:rPr>
        <w:t>, R. and Mura, R., 2015. Owners’ Portfolio</w:t>
      </w:r>
      <w:proofErr w:type="gramStart"/>
      <w:r w:rsidRPr="00FB321C">
        <w:rPr>
          <w:rFonts w:ascii="Segoe UI" w:eastAsia="Times New Roman" w:hAnsi="Segoe UI" w:cs="Segoe UI"/>
          <w:color w:val="212529"/>
          <w:sz w:val="24"/>
          <w:szCs w:val="24"/>
        </w:rPr>
        <w:t>  Diversification</w:t>
      </w:r>
      <w:proofErr w:type="gramEnd"/>
      <w:r w:rsidRPr="00FB321C">
        <w:rPr>
          <w:rFonts w:ascii="Segoe UI" w:eastAsia="Times New Roman" w:hAnsi="Segoe UI" w:cs="Segoe UI"/>
          <w:color w:val="212529"/>
          <w:sz w:val="24"/>
          <w:szCs w:val="24"/>
        </w:rPr>
        <w:t xml:space="preserve"> and Firm Investment: Evidence from Private and Public Firms.</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Mueller, G. and </w:t>
      </w:r>
      <w:proofErr w:type="spellStart"/>
      <w:r w:rsidRPr="00FB321C">
        <w:rPr>
          <w:rFonts w:ascii="Segoe UI" w:eastAsia="Times New Roman" w:hAnsi="Segoe UI" w:cs="Segoe UI"/>
          <w:color w:val="212529"/>
          <w:sz w:val="24"/>
          <w:szCs w:val="24"/>
        </w:rPr>
        <w:t>Ziering</w:t>
      </w:r>
      <w:proofErr w:type="spellEnd"/>
      <w:r w:rsidRPr="00FB321C">
        <w:rPr>
          <w:rFonts w:ascii="Segoe UI" w:eastAsia="Times New Roman" w:hAnsi="Segoe UI" w:cs="Segoe UI"/>
          <w:color w:val="212529"/>
          <w:sz w:val="24"/>
          <w:szCs w:val="24"/>
        </w:rPr>
        <w:t>, B., 1992. Real estate portfolio diversification using economic</w:t>
      </w:r>
      <w:proofErr w:type="gramStart"/>
      <w:r w:rsidRPr="00FB321C">
        <w:rPr>
          <w:rFonts w:ascii="Segoe UI" w:eastAsia="Times New Roman" w:hAnsi="Segoe UI" w:cs="Segoe UI"/>
          <w:color w:val="212529"/>
          <w:sz w:val="24"/>
          <w:szCs w:val="24"/>
        </w:rPr>
        <w:t>  diversification</w:t>
      </w:r>
      <w:proofErr w:type="gramEnd"/>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Journal of Real Estate Research</w:t>
      </w:r>
      <w:r w:rsidRPr="00FB321C">
        <w:rPr>
          <w:rFonts w:ascii="Segoe UI" w:eastAsia="Times New Roman" w:hAnsi="Segoe UI" w:cs="Segoe UI"/>
          <w:color w:val="212529"/>
          <w:sz w:val="24"/>
          <w:szCs w:val="24"/>
        </w:rPr>
        <w:t>, </w:t>
      </w:r>
      <w:r w:rsidRPr="00FB321C">
        <w:rPr>
          <w:rFonts w:ascii="Segoe UI" w:eastAsia="Times New Roman" w:hAnsi="Segoe UI" w:cs="Segoe UI"/>
          <w:i/>
          <w:iCs/>
          <w:color w:val="212529"/>
          <w:sz w:val="24"/>
          <w:szCs w:val="24"/>
        </w:rPr>
        <w:t>7</w:t>
      </w:r>
      <w:r w:rsidRPr="00FB321C">
        <w:rPr>
          <w:rFonts w:ascii="Segoe UI" w:eastAsia="Times New Roman" w:hAnsi="Segoe UI" w:cs="Segoe UI"/>
          <w:color w:val="212529"/>
          <w:sz w:val="24"/>
          <w:szCs w:val="24"/>
        </w:rPr>
        <w:t>(4), pp.375-386.</w:t>
      </w:r>
    </w:p>
    <w:p w:rsidR="00FB321C" w:rsidRPr="00FB321C" w:rsidRDefault="00FB321C" w:rsidP="00FB321C">
      <w:pPr>
        <w:shd w:val="clear" w:color="auto" w:fill="FFFFFF"/>
        <w:spacing w:after="100" w:afterAutospacing="1" w:line="240" w:lineRule="auto"/>
        <w:rPr>
          <w:rFonts w:ascii="Segoe UI" w:eastAsia="Times New Roman" w:hAnsi="Segoe UI" w:cs="Segoe UI"/>
          <w:color w:val="212529"/>
          <w:sz w:val="24"/>
          <w:szCs w:val="24"/>
        </w:rPr>
      </w:pPr>
      <w:r w:rsidRPr="00FB321C">
        <w:rPr>
          <w:rFonts w:ascii="Segoe UI" w:eastAsia="Times New Roman" w:hAnsi="Segoe UI" w:cs="Segoe UI"/>
          <w:color w:val="212529"/>
          <w:sz w:val="24"/>
          <w:szCs w:val="24"/>
        </w:rPr>
        <w:t xml:space="preserve">Seiler, M., Webb, J. and Neil </w:t>
      </w:r>
      <w:proofErr w:type="spellStart"/>
      <w:r w:rsidRPr="00FB321C">
        <w:rPr>
          <w:rFonts w:ascii="Segoe UI" w:eastAsia="Times New Roman" w:hAnsi="Segoe UI" w:cs="Segoe UI"/>
          <w:color w:val="212529"/>
          <w:sz w:val="24"/>
          <w:szCs w:val="24"/>
        </w:rPr>
        <w:t>Mye</w:t>
      </w:r>
      <w:proofErr w:type="spellEnd"/>
      <w:r w:rsidRPr="00FB321C">
        <w:rPr>
          <w:rFonts w:ascii="Segoe UI" w:eastAsia="Times New Roman" w:hAnsi="Segoe UI" w:cs="Segoe UI"/>
          <w:color w:val="212529"/>
          <w:sz w:val="24"/>
          <w:szCs w:val="24"/>
        </w:rPr>
        <w:t>, F., 2001. Can private real estate portfolios be</w:t>
      </w:r>
      <w:proofErr w:type="gramStart"/>
      <w:r w:rsidRPr="00FB321C">
        <w:rPr>
          <w:rFonts w:ascii="Segoe UI" w:eastAsia="Times New Roman" w:hAnsi="Segoe UI" w:cs="Segoe UI"/>
          <w:color w:val="212529"/>
          <w:sz w:val="24"/>
          <w:szCs w:val="24"/>
        </w:rPr>
        <w:t>  rebalanced</w:t>
      </w:r>
      <w:proofErr w:type="gramEnd"/>
      <w:r w:rsidRPr="00FB321C">
        <w:rPr>
          <w:rFonts w:ascii="Segoe UI" w:eastAsia="Times New Roman" w:hAnsi="Segoe UI" w:cs="Segoe UI"/>
          <w:color w:val="212529"/>
          <w:sz w:val="24"/>
          <w:szCs w:val="24"/>
        </w:rPr>
        <w:t>/diversified using equity REIT shares?. </w:t>
      </w:r>
      <w:r w:rsidRPr="00FB321C">
        <w:rPr>
          <w:rFonts w:ascii="Segoe UI" w:eastAsia="Times New Roman" w:hAnsi="Segoe UI" w:cs="Segoe UI"/>
          <w:i/>
          <w:iCs/>
          <w:color w:val="212529"/>
          <w:sz w:val="24"/>
          <w:szCs w:val="24"/>
        </w:rPr>
        <w:t>Journal of R</w:t>
      </w:r>
    </w:p>
    <w:p w:rsidR="00946574" w:rsidRDefault="00946574">
      <w:bookmarkStart w:id="0" w:name="_GoBack"/>
      <w:bookmarkEnd w:id="0"/>
    </w:p>
    <w:sectPr w:rsidR="009465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F3452"/>
    <w:multiLevelType w:val="multilevel"/>
    <w:tmpl w:val="D89EC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1A5B8C"/>
    <w:multiLevelType w:val="multilevel"/>
    <w:tmpl w:val="AFEC5E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FF3883"/>
    <w:multiLevelType w:val="multilevel"/>
    <w:tmpl w:val="4E2C66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1FF3A6A"/>
    <w:multiLevelType w:val="multilevel"/>
    <w:tmpl w:val="6D967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67034CA"/>
    <w:multiLevelType w:val="multilevel"/>
    <w:tmpl w:val="A8F2C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1E4920"/>
    <w:multiLevelType w:val="multilevel"/>
    <w:tmpl w:val="0F769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C9827FA"/>
    <w:multiLevelType w:val="multilevel"/>
    <w:tmpl w:val="C46021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6B2EEA"/>
    <w:multiLevelType w:val="multilevel"/>
    <w:tmpl w:val="15BE7C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6107403"/>
    <w:multiLevelType w:val="multilevel"/>
    <w:tmpl w:val="C2FAA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9295320"/>
    <w:multiLevelType w:val="multilevel"/>
    <w:tmpl w:val="8C6C91F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4625841"/>
    <w:multiLevelType w:val="multilevel"/>
    <w:tmpl w:val="E7400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1AC342D"/>
    <w:multiLevelType w:val="multilevel"/>
    <w:tmpl w:val="D0526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E3140E"/>
    <w:multiLevelType w:val="multilevel"/>
    <w:tmpl w:val="07269E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9893E32"/>
    <w:multiLevelType w:val="multilevel"/>
    <w:tmpl w:val="A692D5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12"/>
  </w:num>
  <w:num w:numId="4">
    <w:abstractNumId w:val="2"/>
  </w:num>
  <w:num w:numId="5">
    <w:abstractNumId w:val="1"/>
  </w:num>
  <w:num w:numId="6">
    <w:abstractNumId w:val="13"/>
  </w:num>
  <w:num w:numId="7">
    <w:abstractNumId w:val="0"/>
  </w:num>
  <w:num w:numId="8">
    <w:abstractNumId w:val="6"/>
  </w:num>
  <w:num w:numId="9">
    <w:abstractNumId w:val="8"/>
  </w:num>
  <w:num w:numId="10">
    <w:abstractNumId w:val="10"/>
  </w:num>
  <w:num w:numId="11">
    <w:abstractNumId w:val="11"/>
  </w:num>
  <w:num w:numId="12">
    <w:abstractNumId w:val="3"/>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21C"/>
    <w:rsid w:val="00946574"/>
    <w:rsid w:val="00FB3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09D9C5-A1BB-4224-AF6C-8B69377C0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32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B321C"/>
    <w:rPr>
      <w:b/>
      <w:bCs/>
    </w:rPr>
  </w:style>
  <w:style w:type="paragraph" w:customStyle="1" w:styleId="lead">
    <w:name w:val="lead"/>
    <w:basedOn w:val="Normal"/>
    <w:rsid w:val="00FB321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B321C"/>
    <w:rPr>
      <w:color w:val="0000FF"/>
      <w:u w:val="single"/>
    </w:rPr>
  </w:style>
  <w:style w:type="character" w:styleId="Emphasis">
    <w:name w:val="Emphasis"/>
    <w:basedOn w:val="DefaultParagraphFont"/>
    <w:uiPriority w:val="20"/>
    <w:qFormat/>
    <w:rsid w:val="00FB32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2267491">
      <w:bodyDiv w:val="1"/>
      <w:marLeft w:val="0"/>
      <w:marRight w:val="0"/>
      <w:marTop w:val="0"/>
      <w:marBottom w:val="0"/>
      <w:divBdr>
        <w:top w:val="none" w:sz="0" w:space="0" w:color="auto"/>
        <w:left w:val="none" w:sz="0" w:space="0" w:color="auto"/>
        <w:bottom w:val="none" w:sz="0" w:space="0" w:color="auto"/>
        <w:right w:val="none" w:sz="0" w:space="0" w:color="auto"/>
      </w:divBdr>
      <w:divsChild>
        <w:div w:id="107773169">
          <w:marLeft w:val="0"/>
          <w:marRight w:val="0"/>
          <w:marTop w:val="0"/>
          <w:marBottom w:val="0"/>
          <w:divBdr>
            <w:top w:val="none" w:sz="0" w:space="0" w:color="auto"/>
            <w:left w:val="none" w:sz="0" w:space="0" w:color="auto"/>
            <w:bottom w:val="none" w:sz="0" w:space="0" w:color="auto"/>
            <w:right w:val="none" w:sz="0" w:space="0" w:color="auto"/>
          </w:divBdr>
          <w:divsChild>
            <w:div w:id="95101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23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hyperlink" Target="https://www.ukessays.com/services/" TargetMode="Externa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4146</Words>
  <Characters>23635</Characters>
  <Application>Microsoft Office Word</Application>
  <DocSecurity>0</DocSecurity>
  <Lines>196</Lines>
  <Paragraphs>55</Paragraphs>
  <ScaleCrop>false</ScaleCrop>
  <Company/>
  <LinksUpToDate>false</LinksUpToDate>
  <CharactersWithSpaces>27726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2021-11-20T11:10:00Z</dcterms:created>
  <dcterms:modified xsi:type="dcterms:W3CDTF">2021-11-20T11:13:00Z</dcterms:modified>
</cp:coreProperties>
</file>