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16B0" w:rsidRDefault="00FF7F9F" w:rsidP="00AA00C2">
      <w:pPr>
        <w:spacing w:after="420" w:line="259" w:lineRule="auto"/>
        <w:ind w:left="7" w:firstLine="0"/>
        <w:jc w:val="center"/>
      </w:pPr>
      <w:bookmarkStart w:id="0" w:name="_GoBack"/>
      <w:r>
        <w:rPr>
          <w:b/>
          <w:sz w:val="40"/>
        </w:rPr>
        <w:t xml:space="preserve">Climate Change Adaptation Interventions in </w:t>
      </w:r>
      <w:proofErr w:type="spellStart"/>
      <w:r>
        <w:rPr>
          <w:b/>
          <w:sz w:val="40"/>
        </w:rPr>
        <w:t>Machakos</w:t>
      </w:r>
      <w:proofErr w:type="spellEnd"/>
      <w:r w:rsidR="00AA00C2">
        <w:rPr>
          <w:b/>
          <w:sz w:val="40"/>
        </w:rPr>
        <w:t xml:space="preserve"> </w:t>
      </w:r>
      <w:r>
        <w:rPr>
          <w:b/>
          <w:sz w:val="40"/>
        </w:rPr>
        <w:t>County, Kenya</w:t>
      </w:r>
    </w:p>
    <w:bookmarkEnd w:id="0"/>
    <w:p w:rsidR="002116B0" w:rsidRDefault="00FF7F9F">
      <w:pPr>
        <w:spacing w:after="557" w:line="259" w:lineRule="auto"/>
        <w:ind w:left="109" w:firstLine="0"/>
        <w:jc w:val="center"/>
      </w:pPr>
      <w:r>
        <w:rPr>
          <w:b/>
          <w:sz w:val="40"/>
        </w:rPr>
        <w:t xml:space="preserve"> </w:t>
      </w:r>
    </w:p>
    <w:p w:rsidR="002116B0" w:rsidRDefault="00FF7F9F">
      <w:pPr>
        <w:spacing w:after="0" w:line="259" w:lineRule="auto"/>
        <w:ind w:left="0" w:firstLine="0"/>
        <w:jc w:val="left"/>
      </w:pPr>
      <w:r>
        <w:tab/>
      </w:r>
      <w:r>
        <w:rPr>
          <w:b/>
          <w:sz w:val="32"/>
        </w:rPr>
        <w:t xml:space="preserve"> </w:t>
      </w:r>
    </w:p>
    <w:bookmarkStart w:id="1" w:name="_Toc61278" w:displacedByCustomXml="next"/>
    <w:sdt>
      <w:sdtPr>
        <w:rPr>
          <w:b w:val="0"/>
        </w:rPr>
        <w:id w:val="-320741698"/>
        <w:docPartObj>
          <w:docPartGallery w:val="Table of Contents"/>
        </w:docPartObj>
      </w:sdtPr>
      <w:sdtEndPr/>
      <w:sdtContent>
        <w:p w:rsidR="002116B0" w:rsidRDefault="00FF7F9F">
          <w:pPr>
            <w:pStyle w:val="Heading1"/>
            <w:ind w:left="578" w:right="574"/>
            <w:jc w:val="center"/>
          </w:pPr>
          <w:r>
            <w:t xml:space="preserve">TABLE OF CONTENTS </w:t>
          </w:r>
          <w:bookmarkEnd w:id="1"/>
        </w:p>
        <w:p w:rsidR="002116B0" w:rsidRDefault="00FF7F9F">
          <w:pPr>
            <w:pStyle w:val="TOC1"/>
            <w:tabs>
              <w:tab w:val="right" w:leader="dot" w:pos="9500"/>
            </w:tabs>
            <w:rPr>
              <w:noProof/>
            </w:rPr>
          </w:pPr>
          <w:r>
            <w:fldChar w:fldCharType="begin"/>
          </w:r>
          <w:r>
            <w:instrText xml:space="preserve"> TOC \o "1-3" \h \z \u </w:instrText>
          </w:r>
          <w:r>
            <w:fldChar w:fldCharType="separate"/>
          </w:r>
          <w:hyperlink w:anchor="_Toc61276">
            <w:r>
              <w:rPr>
                <w:noProof/>
              </w:rPr>
              <w:t>DEDICATION</w:t>
            </w:r>
            <w:r>
              <w:rPr>
                <w:noProof/>
              </w:rPr>
              <w:tab/>
            </w:r>
            <w:r>
              <w:rPr>
                <w:noProof/>
              </w:rPr>
              <w:fldChar w:fldCharType="begin"/>
            </w:r>
            <w:r>
              <w:rPr>
                <w:noProof/>
              </w:rPr>
              <w:instrText>PAGEREF _Toc61276 \h</w:instrText>
            </w:r>
            <w:r>
              <w:rPr>
                <w:noProof/>
              </w:rPr>
            </w:r>
            <w:r>
              <w:rPr>
                <w:noProof/>
              </w:rPr>
              <w:fldChar w:fldCharType="separate"/>
            </w:r>
            <w:r>
              <w:rPr>
                <w:noProof/>
              </w:rPr>
              <w:t xml:space="preserve">i </w:t>
            </w:r>
            <w:r>
              <w:rPr>
                <w:noProof/>
              </w:rPr>
              <w:fldChar w:fldCharType="end"/>
            </w:r>
          </w:hyperlink>
        </w:p>
        <w:p w:rsidR="002116B0" w:rsidRDefault="00FF7F9F">
          <w:pPr>
            <w:pStyle w:val="TOC1"/>
            <w:tabs>
              <w:tab w:val="right" w:leader="dot" w:pos="9500"/>
            </w:tabs>
            <w:rPr>
              <w:noProof/>
            </w:rPr>
          </w:pPr>
          <w:hyperlink w:anchor="_Toc61277">
            <w:r>
              <w:rPr>
                <w:noProof/>
              </w:rPr>
              <w:t>ACKNOWLEDGEMENT</w:t>
            </w:r>
            <w:r>
              <w:rPr>
                <w:noProof/>
              </w:rPr>
              <w:tab/>
            </w:r>
            <w:r>
              <w:rPr>
                <w:noProof/>
              </w:rPr>
              <w:fldChar w:fldCharType="begin"/>
            </w:r>
            <w:r>
              <w:rPr>
                <w:noProof/>
              </w:rPr>
              <w:instrText>PAGEREF _Toc61277 \h</w:instrText>
            </w:r>
            <w:r>
              <w:rPr>
                <w:noProof/>
              </w:rPr>
            </w:r>
            <w:r>
              <w:rPr>
                <w:noProof/>
              </w:rPr>
              <w:fldChar w:fldCharType="separate"/>
            </w:r>
            <w:r>
              <w:rPr>
                <w:noProof/>
              </w:rPr>
              <w:t xml:space="preserve">ii </w:t>
            </w:r>
            <w:r>
              <w:rPr>
                <w:noProof/>
              </w:rPr>
              <w:fldChar w:fldCharType="end"/>
            </w:r>
          </w:hyperlink>
        </w:p>
        <w:p w:rsidR="002116B0" w:rsidRDefault="00FF7F9F">
          <w:pPr>
            <w:pStyle w:val="TOC1"/>
            <w:tabs>
              <w:tab w:val="right" w:leader="dot" w:pos="9500"/>
            </w:tabs>
            <w:rPr>
              <w:noProof/>
            </w:rPr>
          </w:pPr>
          <w:hyperlink w:anchor="_Toc61278">
            <w:r>
              <w:rPr>
                <w:noProof/>
              </w:rPr>
              <w:t>TABLE OF CONTENTS</w:t>
            </w:r>
            <w:r>
              <w:rPr>
                <w:noProof/>
              </w:rPr>
              <w:tab/>
            </w:r>
            <w:r>
              <w:rPr>
                <w:noProof/>
              </w:rPr>
              <w:fldChar w:fldCharType="begin"/>
            </w:r>
            <w:r>
              <w:rPr>
                <w:noProof/>
              </w:rPr>
              <w:instrText>PAGEREF _Toc61278 \h</w:instrText>
            </w:r>
            <w:r>
              <w:rPr>
                <w:noProof/>
              </w:rPr>
            </w:r>
            <w:r>
              <w:rPr>
                <w:noProof/>
              </w:rPr>
              <w:fldChar w:fldCharType="separate"/>
            </w:r>
            <w:r>
              <w:rPr>
                <w:noProof/>
              </w:rPr>
              <w:t xml:space="preserve">iii </w:t>
            </w:r>
            <w:r>
              <w:rPr>
                <w:noProof/>
              </w:rPr>
              <w:fldChar w:fldCharType="end"/>
            </w:r>
          </w:hyperlink>
        </w:p>
        <w:p w:rsidR="002116B0" w:rsidRDefault="00FF7F9F">
          <w:pPr>
            <w:pStyle w:val="TOC1"/>
            <w:tabs>
              <w:tab w:val="right" w:leader="dot" w:pos="9500"/>
            </w:tabs>
            <w:rPr>
              <w:noProof/>
            </w:rPr>
          </w:pPr>
          <w:hyperlink w:anchor="_Toc61279">
            <w:r>
              <w:rPr>
                <w:noProof/>
              </w:rPr>
              <w:t>LIST OF TABLES</w:t>
            </w:r>
            <w:r>
              <w:rPr>
                <w:noProof/>
              </w:rPr>
              <w:tab/>
            </w:r>
            <w:r>
              <w:rPr>
                <w:noProof/>
              </w:rPr>
              <w:fldChar w:fldCharType="begin"/>
            </w:r>
            <w:r>
              <w:rPr>
                <w:noProof/>
              </w:rPr>
              <w:instrText>PAGEREF _Toc61279 \h</w:instrText>
            </w:r>
            <w:r>
              <w:rPr>
                <w:noProof/>
              </w:rPr>
            </w:r>
            <w:r>
              <w:rPr>
                <w:noProof/>
              </w:rPr>
              <w:fldChar w:fldCharType="separate"/>
            </w:r>
            <w:r>
              <w:rPr>
                <w:noProof/>
              </w:rPr>
              <w:t xml:space="preserve">v </w:t>
            </w:r>
            <w:r>
              <w:rPr>
                <w:noProof/>
              </w:rPr>
              <w:fldChar w:fldCharType="end"/>
            </w:r>
          </w:hyperlink>
        </w:p>
        <w:p w:rsidR="002116B0" w:rsidRDefault="00FF7F9F">
          <w:pPr>
            <w:pStyle w:val="TOC1"/>
            <w:tabs>
              <w:tab w:val="right" w:leader="dot" w:pos="9500"/>
            </w:tabs>
            <w:rPr>
              <w:noProof/>
            </w:rPr>
          </w:pPr>
          <w:hyperlink w:anchor="_Toc61280">
            <w:r>
              <w:rPr>
                <w:noProof/>
              </w:rPr>
              <w:t>LIST OF FIGURES</w:t>
            </w:r>
            <w:r>
              <w:rPr>
                <w:noProof/>
              </w:rPr>
              <w:tab/>
            </w:r>
            <w:r>
              <w:rPr>
                <w:noProof/>
              </w:rPr>
              <w:fldChar w:fldCharType="begin"/>
            </w:r>
            <w:r>
              <w:rPr>
                <w:noProof/>
              </w:rPr>
              <w:instrText>PAGEREF _Toc61280 \h</w:instrText>
            </w:r>
            <w:r>
              <w:rPr>
                <w:noProof/>
              </w:rPr>
            </w:r>
            <w:r>
              <w:rPr>
                <w:noProof/>
              </w:rPr>
              <w:fldChar w:fldCharType="separate"/>
            </w:r>
            <w:r>
              <w:rPr>
                <w:noProof/>
              </w:rPr>
              <w:t xml:space="preserve">vi </w:t>
            </w:r>
            <w:r>
              <w:rPr>
                <w:noProof/>
              </w:rPr>
              <w:fldChar w:fldCharType="end"/>
            </w:r>
          </w:hyperlink>
        </w:p>
        <w:p w:rsidR="002116B0" w:rsidRDefault="00FF7F9F">
          <w:pPr>
            <w:pStyle w:val="TOC1"/>
            <w:tabs>
              <w:tab w:val="right" w:leader="dot" w:pos="9500"/>
            </w:tabs>
            <w:rPr>
              <w:noProof/>
            </w:rPr>
          </w:pPr>
          <w:hyperlink w:anchor="_Toc61281">
            <w:r>
              <w:rPr>
                <w:noProof/>
              </w:rPr>
              <w:t>ACRONYMS</w:t>
            </w:r>
            <w:r>
              <w:rPr>
                <w:noProof/>
              </w:rPr>
              <w:tab/>
            </w:r>
            <w:r>
              <w:rPr>
                <w:noProof/>
              </w:rPr>
              <w:fldChar w:fldCharType="begin"/>
            </w:r>
            <w:r>
              <w:rPr>
                <w:noProof/>
              </w:rPr>
              <w:instrText xml:space="preserve">PAGEREF _Toc61281 </w:instrText>
            </w:r>
            <w:r>
              <w:rPr>
                <w:noProof/>
              </w:rPr>
              <w:instrText>\h</w:instrText>
            </w:r>
            <w:r>
              <w:rPr>
                <w:noProof/>
              </w:rPr>
            </w:r>
            <w:r>
              <w:rPr>
                <w:noProof/>
              </w:rPr>
              <w:fldChar w:fldCharType="separate"/>
            </w:r>
            <w:r>
              <w:rPr>
                <w:noProof/>
              </w:rPr>
              <w:t xml:space="preserve">vii </w:t>
            </w:r>
            <w:r>
              <w:rPr>
                <w:noProof/>
              </w:rPr>
              <w:fldChar w:fldCharType="end"/>
            </w:r>
          </w:hyperlink>
        </w:p>
        <w:p w:rsidR="002116B0" w:rsidRDefault="00FF7F9F">
          <w:pPr>
            <w:pStyle w:val="TOC1"/>
            <w:tabs>
              <w:tab w:val="right" w:leader="dot" w:pos="9500"/>
            </w:tabs>
            <w:rPr>
              <w:noProof/>
            </w:rPr>
          </w:pPr>
          <w:hyperlink w:anchor="_Toc61282">
            <w:r>
              <w:rPr>
                <w:noProof/>
              </w:rPr>
              <w:t>ABSTRACT</w:t>
            </w:r>
            <w:r>
              <w:rPr>
                <w:noProof/>
              </w:rPr>
              <w:tab/>
            </w:r>
            <w:r>
              <w:rPr>
                <w:noProof/>
              </w:rPr>
              <w:fldChar w:fldCharType="begin"/>
            </w:r>
            <w:r>
              <w:rPr>
                <w:noProof/>
              </w:rPr>
              <w:instrText>PAGEREF _Toc61282 \h</w:instrText>
            </w:r>
            <w:r>
              <w:rPr>
                <w:noProof/>
              </w:rPr>
            </w:r>
            <w:r>
              <w:rPr>
                <w:noProof/>
              </w:rPr>
              <w:fldChar w:fldCharType="separate"/>
            </w:r>
            <w:r>
              <w:rPr>
                <w:noProof/>
              </w:rPr>
              <w:t xml:space="preserve">viii </w:t>
            </w:r>
            <w:r>
              <w:rPr>
                <w:noProof/>
              </w:rPr>
              <w:fldChar w:fldCharType="end"/>
            </w:r>
          </w:hyperlink>
        </w:p>
        <w:p w:rsidR="002116B0" w:rsidRDefault="00FF7F9F">
          <w:pPr>
            <w:pStyle w:val="TOC1"/>
            <w:tabs>
              <w:tab w:val="right" w:leader="dot" w:pos="9500"/>
            </w:tabs>
            <w:rPr>
              <w:noProof/>
            </w:rPr>
          </w:pPr>
          <w:hyperlink w:anchor="_Toc61283">
            <w:r>
              <w:rPr>
                <w:noProof/>
              </w:rPr>
              <w:t>CHAPTER 1: INTRODUCTION</w:t>
            </w:r>
            <w:r>
              <w:rPr>
                <w:noProof/>
              </w:rPr>
              <w:tab/>
            </w:r>
            <w:r>
              <w:rPr>
                <w:noProof/>
              </w:rPr>
              <w:fldChar w:fldCharType="begin"/>
            </w:r>
            <w:r>
              <w:rPr>
                <w:noProof/>
              </w:rPr>
              <w:instrText>PAGEREF _Toc61283 \h</w:instrText>
            </w:r>
            <w:r>
              <w:rPr>
                <w:noProof/>
              </w:rPr>
            </w:r>
            <w:r>
              <w:rPr>
                <w:noProof/>
              </w:rPr>
              <w:fldChar w:fldCharType="separate"/>
            </w:r>
            <w:r>
              <w:rPr>
                <w:noProof/>
              </w:rPr>
              <w:t xml:space="preserve">1 </w:t>
            </w:r>
            <w:r>
              <w:rPr>
                <w:noProof/>
              </w:rPr>
              <w:fldChar w:fldCharType="end"/>
            </w:r>
          </w:hyperlink>
        </w:p>
        <w:p w:rsidR="002116B0" w:rsidRDefault="00FF7F9F">
          <w:pPr>
            <w:pStyle w:val="TOC3"/>
            <w:tabs>
              <w:tab w:val="right" w:leader="dot" w:pos="9500"/>
            </w:tabs>
            <w:rPr>
              <w:noProof/>
            </w:rPr>
          </w:pPr>
          <w:hyperlink w:anchor="_Toc61284">
            <w:r>
              <w:rPr>
                <w:noProof/>
              </w:rPr>
              <w:t>1.1 Climate change and agriculture</w:t>
            </w:r>
            <w:r>
              <w:rPr>
                <w:noProof/>
              </w:rPr>
              <w:tab/>
            </w:r>
            <w:r>
              <w:rPr>
                <w:noProof/>
              </w:rPr>
              <w:fldChar w:fldCharType="begin"/>
            </w:r>
            <w:r>
              <w:rPr>
                <w:noProof/>
              </w:rPr>
              <w:instrText>PAGEREF _Toc61284 \h</w:instrText>
            </w:r>
            <w:r>
              <w:rPr>
                <w:noProof/>
              </w:rPr>
            </w:r>
            <w:r>
              <w:rPr>
                <w:noProof/>
              </w:rPr>
              <w:fldChar w:fldCharType="separate"/>
            </w:r>
            <w:r>
              <w:rPr>
                <w:noProof/>
              </w:rPr>
              <w:t xml:space="preserve">1 </w:t>
            </w:r>
            <w:r>
              <w:rPr>
                <w:noProof/>
              </w:rPr>
              <w:fldChar w:fldCharType="end"/>
            </w:r>
          </w:hyperlink>
        </w:p>
        <w:p w:rsidR="002116B0" w:rsidRDefault="00FF7F9F">
          <w:pPr>
            <w:pStyle w:val="TOC3"/>
            <w:tabs>
              <w:tab w:val="right" w:leader="dot" w:pos="9500"/>
            </w:tabs>
            <w:rPr>
              <w:noProof/>
            </w:rPr>
          </w:pPr>
          <w:hyperlink w:anchor="_Toc61285">
            <w:r>
              <w:rPr>
                <w:noProof/>
              </w:rPr>
              <w:t>1.2 Overview of climate change adaptation (CCA)</w:t>
            </w:r>
            <w:r>
              <w:rPr>
                <w:noProof/>
              </w:rPr>
              <w:tab/>
            </w:r>
            <w:r>
              <w:rPr>
                <w:noProof/>
              </w:rPr>
              <w:fldChar w:fldCharType="begin"/>
            </w:r>
            <w:r>
              <w:rPr>
                <w:noProof/>
              </w:rPr>
              <w:instrText>PAGEREF _Toc61285 \h</w:instrText>
            </w:r>
            <w:r>
              <w:rPr>
                <w:noProof/>
              </w:rPr>
            </w:r>
            <w:r>
              <w:rPr>
                <w:noProof/>
              </w:rPr>
              <w:fldChar w:fldCharType="separate"/>
            </w:r>
            <w:r>
              <w:rPr>
                <w:noProof/>
              </w:rPr>
              <w:t xml:space="preserve">3 </w:t>
            </w:r>
            <w:r>
              <w:rPr>
                <w:noProof/>
              </w:rPr>
              <w:fldChar w:fldCharType="end"/>
            </w:r>
          </w:hyperlink>
        </w:p>
        <w:p w:rsidR="002116B0" w:rsidRDefault="00FF7F9F">
          <w:pPr>
            <w:pStyle w:val="TOC3"/>
            <w:tabs>
              <w:tab w:val="right" w:leader="dot" w:pos="9500"/>
            </w:tabs>
            <w:rPr>
              <w:noProof/>
            </w:rPr>
          </w:pPr>
          <w:hyperlink w:anchor="_Toc61286">
            <w:r>
              <w:rPr>
                <w:noProof/>
              </w:rPr>
              <w:t>1.3 Problem statement</w:t>
            </w:r>
            <w:r>
              <w:rPr>
                <w:noProof/>
              </w:rPr>
              <w:tab/>
            </w:r>
            <w:r>
              <w:rPr>
                <w:noProof/>
              </w:rPr>
              <w:fldChar w:fldCharType="begin"/>
            </w:r>
            <w:r>
              <w:rPr>
                <w:noProof/>
              </w:rPr>
              <w:instrText>PAGEREF _Toc61286 \h</w:instrText>
            </w:r>
            <w:r>
              <w:rPr>
                <w:noProof/>
              </w:rPr>
            </w:r>
            <w:r>
              <w:rPr>
                <w:noProof/>
              </w:rPr>
              <w:fldChar w:fldCharType="separate"/>
            </w:r>
            <w:r>
              <w:rPr>
                <w:noProof/>
              </w:rPr>
              <w:t xml:space="preserve">5 </w:t>
            </w:r>
            <w:r>
              <w:rPr>
                <w:noProof/>
              </w:rPr>
              <w:fldChar w:fldCharType="end"/>
            </w:r>
          </w:hyperlink>
        </w:p>
        <w:p w:rsidR="002116B0" w:rsidRDefault="00FF7F9F">
          <w:pPr>
            <w:pStyle w:val="TOC3"/>
            <w:tabs>
              <w:tab w:val="right" w:leader="dot" w:pos="9500"/>
            </w:tabs>
            <w:rPr>
              <w:noProof/>
            </w:rPr>
          </w:pPr>
          <w:hyperlink w:anchor="_Toc61287">
            <w:r>
              <w:rPr>
                <w:noProof/>
              </w:rPr>
              <w:t>1.4 Research objectives and Research questions</w:t>
            </w:r>
            <w:r>
              <w:rPr>
                <w:noProof/>
              </w:rPr>
              <w:tab/>
            </w:r>
            <w:r>
              <w:rPr>
                <w:noProof/>
              </w:rPr>
              <w:fldChar w:fldCharType="begin"/>
            </w:r>
            <w:r>
              <w:rPr>
                <w:noProof/>
              </w:rPr>
              <w:instrText>PAGEREF _Toc61287 \h</w:instrText>
            </w:r>
            <w:r>
              <w:rPr>
                <w:noProof/>
              </w:rPr>
            </w:r>
            <w:r>
              <w:rPr>
                <w:noProof/>
              </w:rPr>
              <w:fldChar w:fldCharType="separate"/>
            </w:r>
            <w:r>
              <w:rPr>
                <w:noProof/>
              </w:rPr>
              <w:t xml:space="preserve">6 </w:t>
            </w:r>
            <w:r>
              <w:rPr>
                <w:noProof/>
              </w:rPr>
              <w:fldChar w:fldCharType="end"/>
            </w:r>
          </w:hyperlink>
        </w:p>
        <w:p w:rsidR="002116B0" w:rsidRDefault="00FF7F9F">
          <w:pPr>
            <w:pStyle w:val="TOC3"/>
            <w:tabs>
              <w:tab w:val="right" w:leader="dot" w:pos="9500"/>
            </w:tabs>
            <w:rPr>
              <w:noProof/>
            </w:rPr>
          </w:pPr>
          <w:hyperlink w:anchor="_Toc61288">
            <w:r>
              <w:rPr>
                <w:noProof/>
              </w:rPr>
              <w:t>1.5 Dissertation structure</w:t>
            </w:r>
            <w:r>
              <w:rPr>
                <w:noProof/>
              </w:rPr>
              <w:tab/>
            </w:r>
            <w:r>
              <w:rPr>
                <w:noProof/>
              </w:rPr>
              <w:fldChar w:fldCharType="begin"/>
            </w:r>
            <w:r>
              <w:rPr>
                <w:noProof/>
              </w:rPr>
              <w:instrText>PAGEREF _Toc61288 \h</w:instrText>
            </w:r>
            <w:r>
              <w:rPr>
                <w:noProof/>
              </w:rPr>
            </w:r>
            <w:r>
              <w:rPr>
                <w:noProof/>
              </w:rPr>
              <w:fldChar w:fldCharType="separate"/>
            </w:r>
            <w:r>
              <w:rPr>
                <w:noProof/>
              </w:rPr>
              <w:t xml:space="preserve">7 </w:t>
            </w:r>
            <w:r>
              <w:rPr>
                <w:noProof/>
              </w:rPr>
              <w:fldChar w:fldCharType="end"/>
            </w:r>
          </w:hyperlink>
        </w:p>
        <w:p w:rsidR="002116B0" w:rsidRDefault="00FF7F9F">
          <w:pPr>
            <w:pStyle w:val="TOC1"/>
            <w:tabs>
              <w:tab w:val="right" w:leader="dot" w:pos="9500"/>
            </w:tabs>
            <w:rPr>
              <w:noProof/>
            </w:rPr>
          </w:pPr>
          <w:hyperlink w:anchor="_Toc61289">
            <w:r>
              <w:rPr>
                <w:noProof/>
              </w:rPr>
              <w:t>CHAPTER 2: LITERA</w:t>
            </w:r>
            <w:r>
              <w:rPr>
                <w:noProof/>
              </w:rPr>
              <w:t>TURE REVIEW</w:t>
            </w:r>
            <w:r>
              <w:rPr>
                <w:noProof/>
              </w:rPr>
              <w:tab/>
            </w:r>
            <w:r>
              <w:rPr>
                <w:noProof/>
              </w:rPr>
              <w:fldChar w:fldCharType="begin"/>
            </w:r>
            <w:r>
              <w:rPr>
                <w:noProof/>
              </w:rPr>
              <w:instrText>PAGEREF _Toc61289 \h</w:instrText>
            </w:r>
            <w:r>
              <w:rPr>
                <w:noProof/>
              </w:rPr>
            </w:r>
            <w:r>
              <w:rPr>
                <w:noProof/>
              </w:rPr>
              <w:fldChar w:fldCharType="separate"/>
            </w:r>
            <w:r>
              <w:rPr>
                <w:noProof/>
              </w:rPr>
              <w:t xml:space="preserve">8 </w:t>
            </w:r>
            <w:r>
              <w:rPr>
                <w:noProof/>
              </w:rPr>
              <w:fldChar w:fldCharType="end"/>
            </w:r>
          </w:hyperlink>
        </w:p>
        <w:p w:rsidR="002116B0" w:rsidRDefault="00FF7F9F">
          <w:pPr>
            <w:pStyle w:val="TOC3"/>
            <w:tabs>
              <w:tab w:val="right" w:leader="dot" w:pos="9500"/>
            </w:tabs>
            <w:rPr>
              <w:noProof/>
            </w:rPr>
          </w:pPr>
          <w:hyperlink w:anchor="_Toc61290">
            <w:r>
              <w:rPr>
                <w:noProof/>
              </w:rPr>
              <w:t>2.1 Introduction</w:t>
            </w:r>
            <w:r>
              <w:rPr>
                <w:noProof/>
              </w:rPr>
              <w:tab/>
            </w:r>
            <w:r>
              <w:rPr>
                <w:noProof/>
              </w:rPr>
              <w:fldChar w:fldCharType="begin"/>
            </w:r>
            <w:r>
              <w:rPr>
                <w:noProof/>
              </w:rPr>
              <w:instrText>PAGEREF _Toc61290 \h</w:instrText>
            </w:r>
            <w:r>
              <w:rPr>
                <w:noProof/>
              </w:rPr>
            </w:r>
            <w:r>
              <w:rPr>
                <w:noProof/>
              </w:rPr>
              <w:fldChar w:fldCharType="separate"/>
            </w:r>
            <w:r>
              <w:rPr>
                <w:noProof/>
              </w:rPr>
              <w:t xml:space="preserve">8 </w:t>
            </w:r>
            <w:r>
              <w:rPr>
                <w:noProof/>
              </w:rPr>
              <w:fldChar w:fldCharType="end"/>
            </w:r>
          </w:hyperlink>
        </w:p>
        <w:p w:rsidR="002116B0" w:rsidRDefault="00FF7F9F">
          <w:pPr>
            <w:pStyle w:val="TOC3"/>
            <w:tabs>
              <w:tab w:val="right" w:leader="dot" w:pos="9500"/>
            </w:tabs>
            <w:rPr>
              <w:noProof/>
            </w:rPr>
          </w:pPr>
          <w:hyperlink w:anchor="_Toc61291">
            <w:r>
              <w:rPr>
                <w:noProof/>
              </w:rPr>
              <w:t>2.2 Empirical review on climate change adaptation</w:t>
            </w:r>
            <w:r>
              <w:rPr>
                <w:noProof/>
              </w:rPr>
              <w:tab/>
            </w:r>
            <w:r>
              <w:rPr>
                <w:noProof/>
              </w:rPr>
              <w:fldChar w:fldCharType="begin"/>
            </w:r>
            <w:r>
              <w:rPr>
                <w:noProof/>
              </w:rPr>
              <w:instrText>PAGEREF _Toc61291 \h</w:instrText>
            </w:r>
            <w:r>
              <w:rPr>
                <w:noProof/>
              </w:rPr>
            </w:r>
            <w:r>
              <w:rPr>
                <w:noProof/>
              </w:rPr>
              <w:fldChar w:fldCharType="separate"/>
            </w:r>
            <w:r>
              <w:rPr>
                <w:noProof/>
              </w:rPr>
              <w:t xml:space="preserve">8 </w:t>
            </w:r>
            <w:r>
              <w:rPr>
                <w:noProof/>
              </w:rPr>
              <w:fldChar w:fldCharType="end"/>
            </w:r>
          </w:hyperlink>
        </w:p>
        <w:p w:rsidR="002116B0" w:rsidRDefault="00FF7F9F">
          <w:pPr>
            <w:pStyle w:val="TOC3"/>
            <w:tabs>
              <w:tab w:val="right" w:leader="dot" w:pos="9500"/>
            </w:tabs>
            <w:rPr>
              <w:noProof/>
            </w:rPr>
          </w:pPr>
          <w:hyperlink w:anchor="_Toc61292">
            <w:r>
              <w:rPr>
                <w:noProof/>
              </w:rPr>
              <w:t>2.3 The role of agricultural extension and advisory services</w:t>
            </w:r>
            <w:r>
              <w:rPr>
                <w:noProof/>
              </w:rPr>
              <w:tab/>
            </w:r>
            <w:r>
              <w:rPr>
                <w:noProof/>
              </w:rPr>
              <w:fldChar w:fldCharType="begin"/>
            </w:r>
            <w:r>
              <w:rPr>
                <w:noProof/>
              </w:rPr>
              <w:instrText>PAGEREF _Toc6129</w:instrText>
            </w:r>
            <w:r>
              <w:rPr>
                <w:noProof/>
              </w:rPr>
              <w:instrText>2 \h</w:instrText>
            </w:r>
            <w:r>
              <w:rPr>
                <w:noProof/>
              </w:rPr>
            </w:r>
            <w:r>
              <w:rPr>
                <w:noProof/>
              </w:rPr>
              <w:fldChar w:fldCharType="separate"/>
            </w:r>
            <w:r>
              <w:rPr>
                <w:noProof/>
              </w:rPr>
              <w:t xml:space="preserve">12 </w:t>
            </w:r>
            <w:r>
              <w:rPr>
                <w:noProof/>
              </w:rPr>
              <w:fldChar w:fldCharType="end"/>
            </w:r>
          </w:hyperlink>
        </w:p>
        <w:p w:rsidR="002116B0" w:rsidRDefault="00FF7F9F">
          <w:pPr>
            <w:pStyle w:val="TOC3"/>
            <w:tabs>
              <w:tab w:val="right" w:leader="dot" w:pos="9500"/>
            </w:tabs>
            <w:rPr>
              <w:noProof/>
            </w:rPr>
          </w:pPr>
          <w:hyperlink w:anchor="_Toc61293">
            <w:r>
              <w:rPr>
                <w:noProof/>
              </w:rPr>
              <w:t>2.4 Theoretical framework</w:t>
            </w:r>
            <w:r>
              <w:rPr>
                <w:noProof/>
              </w:rPr>
              <w:tab/>
            </w:r>
            <w:r>
              <w:rPr>
                <w:noProof/>
              </w:rPr>
              <w:fldChar w:fldCharType="begin"/>
            </w:r>
            <w:r>
              <w:rPr>
                <w:noProof/>
              </w:rPr>
              <w:instrText>PAGEREF _Toc61293 \h</w:instrText>
            </w:r>
            <w:r>
              <w:rPr>
                <w:noProof/>
              </w:rPr>
            </w:r>
            <w:r>
              <w:rPr>
                <w:noProof/>
              </w:rPr>
              <w:fldChar w:fldCharType="separate"/>
            </w:r>
            <w:r>
              <w:rPr>
                <w:noProof/>
              </w:rPr>
              <w:t xml:space="preserve">15 </w:t>
            </w:r>
            <w:r>
              <w:rPr>
                <w:noProof/>
              </w:rPr>
              <w:fldChar w:fldCharType="end"/>
            </w:r>
          </w:hyperlink>
        </w:p>
        <w:p w:rsidR="002116B0" w:rsidRDefault="00FF7F9F">
          <w:pPr>
            <w:pStyle w:val="TOC3"/>
            <w:tabs>
              <w:tab w:val="right" w:leader="dot" w:pos="9500"/>
            </w:tabs>
            <w:rPr>
              <w:noProof/>
            </w:rPr>
          </w:pPr>
          <w:hyperlink w:anchor="_Toc61294">
            <w:r>
              <w:rPr>
                <w:noProof/>
              </w:rPr>
              <w:t>2.5 Con</w:t>
            </w:r>
            <w:r>
              <w:rPr>
                <w:noProof/>
              </w:rPr>
              <w:t>clusion</w:t>
            </w:r>
            <w:r>
              <w:rPr>
                <w:noProof/>
              </w:rPr>
              <w:tab/>
            </w:r>
            <w:r>
              <w:rPr>
                <w:noProof/>
              </w:rPr>
              <w:fldChar w:fldCharType="begin"/>
            </w:r>
            <w:r>
              <w:rPr>
                <w:noProof/>
              </w:rPr>
              <w:instrText>PAGEREF _Toc61294 \h</w:instrText>
            </w:r>
            <w:r>
              <w:rPr>
                <w:noProof/>
              </w:rPr>
            </w:r>
            <w:r>
              <w:rPr>
                <w:noProof/>
              </w:rPr>
              <w:fldChar w:fldCharType="separate"/>
            </w:r>
            <w:r>
              <w:rPr>
                <w:noProof/>
              </w:rPr>
              <w:t xml:space="preserve">17 </w:t>
            </w:r>
            <w:r>
              <w:rPr>
                <w:noProof/>
              </w:rPr>
              <w:fldChar w:fldCharType="end"/>
            </w:r>
          </w:hyperlink>
        </w:p>
        <w:p w:rsidR="002116B0" w:rsidRDefault="00FF7F9F">
          <w:pPr>
            <w:pStyle w:val="TOC1"/>
            <w:tabs>
              <w:tab w:val="right" w:leader="dot" w:pos="9500"/>
            </w:tabs>
            <w:rPr>
              <w:noProof/>
            </w:rPr>
          </w:pPr>
          <w:hyperlink w:anchor="_Toc61295">
            <w:r>
              <w:rPr>
                <w:noProof/>
              </w:rPr>
              <w:t>CHAPTER 3: METHODOLOGY</w:t>
            </w:r>
            <w:r>
              <w:rPr>
                <w:noProof/>
              </w:rPr>
              <w:tab/>
            </w:r>
            <w:r>
              <w:rPr>
                <w:noProof/>
              </w:rPr>
              <w:fldChar w:fldCharType="begin"/>
            </w:r>
            <w:r>
              <w:rPr>
                <w:noProof/>
              </w:rPr>
              <w:instrText>PAGEREF _Toc61295 \h</w:instrText>
            </w:r>
            <w:r>
              <w:rPr>
                <w:noProof/>
              </w:rPr>
            </w:r>
            <w:r>
              <w:rPr>
                <w:noProof/>
              </w:rPr>
              <w:fldChar w:fldCharType="separate"/>
            </w:r>
            <w:r>
              <w:rPr>
                <w:noProof/>
              </w:rPr>
              <w:t xml:space="preserve">18 </w:t>
            </w:r>
            <w:r>
              <w:rPr>
                <w:noProof/>
              </w:rPr>
              <w:fldChar w:fldCharType="end"/>
            </w:r>
          </w:hyperlink>
        </w:p>
        <w:p w:rsidR="002116B0" w:rsidRDefault="00FF7F9F">
          <w:pPr>
            <w:pStyle w:val="TOC3"/>
            <w:tabs>
              <w:tab w:val="right" w:leader="dot" w:pos="9500"/>
            </w:tabs>
            <w:rPr>
              <w:noProof/>
            </w:rPr>
          </w:pPr>
          <w:hyperlink w:anchor="_Toc61296">
            <w:r>
              <w:rPr>
                <w:noProof/>
              </w:rPr>
              <w:t>3.1 Introduction</w:t>
            </w:r>
            <w:r>
              <w:rPr>
                <w:noProof/>
              </w:rPr>
              <w:tab/>
            </w:r>
            <w:r>
              <w:rPr>
                <w:noProof/>
              </w:rPr>
              <w:fldChar w:fldCharType="begin"/>
            </w:r>
            <w:r>
              <w:rPr>
                <w:noProof/>
              </w:rPr>
              <w:instrText>PAGEREF _Toc61296 \h</w:instrText>
            </w:r>
            <w:r>
              <w:rPr>
                <w:noProof/>
              </w:rPr>
            </w:r>
            <w:r>
              <w:rPr>
                <w:noProof/>
              </w:rPr>
              <w:fldChar w:fldCharType="separate"/>
            </w:r>
            <w:r>
              <w:rPr>
                <w:noProof/>
              </w:rPr>
              <w:t xml:space="preserve">18 </w:t>
            </w:r>
            <w:r>
              <w:rPr>
                <w:noProof/>
              </w:rPr>
              <w:fldChar w:fldCharType="end"/>
            </w:r>
          </w:hyperlink>
        </w:p>
        <w:p w:rsidR="002116B0" w:rsidRDefault="00FF7F9F">
          <w:pPr>
            <w:pStyle w:val="TOC3"/>
            <w:tabs>
              <w:tab w:val="right" w:leader="dot" w:pos="9500"/>
            </w:tabs>
            <w:rPr>
              <w:noProof/>
            </w:rPr>
          </w:pPr>
          <w:hyperlink w:anchor="_Toc61297">
            <w:r>
              <w:rPr>
                <w:noProof/>
              </w:rPr>
              <w:t>3.2 Study area</w:t>
            </w:r>
            <w:r>
              <w:rPr>
                <w:noProof/>
              </w:rPr>
              <w:tab/>
            </w:r>
            <w:r>
              <w:rPr>
                <w:noProof/>
              </w:rPr>
              <w:fldChar w:fldCharType="begin"/>
            </w:r>
            <w:r>
              <w:rPr>
                <w:noProof/>
              </w:rPr>
              <w:instrText>PAGEREF _Toc</w:instrText>
            </w:r>
            <w:r>
              <w:rPr>
                <w:noProof/>
              </w:rPr>
              <w:instrText>61297 \h</w:instrText>
            </w:r>
            <w:r>
              <w:rPr>
                <w:noProof/>
              </w:rPr>
            </w:r>
            <w:r>
              <w:rPr>
                <w:noProof/>
              </w:rPr>
              <w:fldChar w:fldCharType="separate"/>
            </w:r>
            <w:r>
              <w:rPr>
                <w:noProof/>
              </w:rPr>
              <w:t xml:space="preserve">18 </w:t>
            </w:r>
            <w:r>
              <w:rPr>
                <w:noProof/>
              </w:rPr>
              <w:fldChar w:fldCharType="end"/>
            </w:r>
          </w:hyperlink>
        </w:p>
        <w:p w:rsidR="002116B0" w:rsidRDefault="00FF7F9F">
          <w:pPr>
            <w:pStyle w:val="TOC3"/>
            <w:tabs>
              <w:tab w:val="right" w:leader="dot" w:pos="9500"/>
            </w:tabs>
            <w:rPr>
              <w:noProof/>
            </w:rPr>
          </w:pPr>
          <w:hyperlink w:anchor="_Toc61298">
            <w:r>
              <w:rPr>
                <w:noProof/>
              </w:rPr>
              <w:t>3.3 Data</w:t>
            </w:r>
            <w:r>
              <w:rPr>
                <w:noProof/>
              </w:rPr>
              <w:tab/>
            </w:r>
            <w:r>
              <w:rPr>
                <w:noProof/>
              </w:rPr>
              <w:fldChar w:fldCharType="begin"/>
            </w:r>
            <w:r>
              <w:rPr>
                <w:noProof/>
              </w:rPr>
              <w:instrText>PAGEREF _Toc61298 \h</w:instrText>
            </w:r>
            <w:r>
              <w:rPr>
                <w:noProof/>
              </w:rPr>
            </w:r>
            <w:r>
              <w:rPr>
                <w:noProof/>
              </w:rPr>
              <w:fldChar w:fldCharType="separate"/>
            </w:r>
            <w:r>
              <w:rPr>
                <w:noProof/>
              </w:rPr>
              <w:t xml:space="preserve">19 </w:t>
            </w:r>
            <w:r>
              <w:rPr>
                <w:noProof/>
              </w:rPr>
              <w:fldChar w:fldCharType="end"/>
            </w:r>
          </w:hyperlink>
        </w:p>
        <w:p w:rsidR="002116B0" w:rsidRDefault="00FF7F9F">
          <w:pPr>
            <w:pStyle w:val="TOC3"/>
            <w:tabs>
              <w:tab w:val="right" w:leader="dot" w:pos="9500"/>
            </w:tabs>
            <w:rPr>
              <w:noProof/>
            </w:rPr>
          </w:pPr>
          <w:hyperlink w:anchor="_Toc61299">
            <w:r>
              <w:rPr>
                <w:noProof/>
              </w:rPr>
              <w:t>3.4 Data analysis</w:t>
            </w:r>
            <w:r>
              <w:rPr>
                <w:noProof/>
              </w:rPr>
              <w:tab/>
            </w:r>
            <w:r>
              <w:rPr>
                <w:noProof/>
              </w:rPr>
              <w:fldChar w:fldCharType="begin"/>
            </w:r>
            <w:r>
              <w:rPr>
                <w:noProof/>
              </w:rPr>
              <w:instrText>PAG</w:instrText>
            </w:r>
            <w:r>
              <w:rPr>
                <w:noProof/>
              </w:rPr>
              <w:instrText>EREF _Toc61299 \h</w:instrText>
            </w:r>
            <w:r>
              <w:rPr>
                <w:noProof/>
              </w:rPr>
            </w:r>
            <w:r>
              <w:rPr>
                <w:noProof/>
              </w:rPr>
              <w:fldChar w:fldCharType="separate"/>
            </w:r>
            <w:r>
              <w:rPr>
                <w:noProof/>
              </w:rPr>
              <w:t xml:space="preserve">20 </w:t>
            </w:r>
            <w:r>
              <w:rPr>
                <w:noProof/>
              </w:rPr>
              <w:fldChar w:fldCharType="end"/>
            </w:r>
          </w:hyperlink>
        </w:p>
        <w:p w:rsidR="002116B0" w:rsidRDefault="00FF7F9F">
          <w:pPr>
            <w:pStyle w:val="TOC3"/>
            <w:tabs>
              <w:tab w:val="right" w:leader="dot" w:pos="9500"/>
            </w:tabs>
            <w:rPr>
              <w:noProof/>
            </w:rPr>
          </w:pPr>
          <w:hyperlink w:anchor="_Toc61300">
            <w:r>
              <w:rPr>
                <w:noProof/>
              </w:rPr>
              <w:t>3.5 Limitations of the study</w:t>
            </w:r>
            <w:r>
              <w:rPr>
                <w:noProof/>
              </w:rPr>
              <w:tab/>
            </w:r>
            <w:r>
              <w:rPr>
                <w:noProof/>
              </w:rPr>
              <w:fldChar w:fldCharType="begin"/>
            </w:r>
            <w:r>
              <w:rPr>
                <w:noProof/>
              </w:rPr>
              <w:instrText>PAGEREF _Toc61300 \h</w:instrText>
            </w:r>
            <w:r>
              <w:rPr>
                <w:noProof/>
              </w:rPr>
            </w:r>
            <w:r>
              <w:rPr>
                <w:noProof/>
              </w:rPr>
              <w:fldChar w:fldCharType="separate"/>
            </w:r>
            <w:r>
              <w:rPr>
                <w:noProof/>
              </w:rPr>
              <w:t xml:space="preserve">24 </w:t>
            </w:r>
            <w:r>
              <w:rPr>
                <w:noProof/>
              </w:rPr>
              <w:fldChar w:fldCharType="end"/>
            </w:r>
          </w:hyperlink>
        </w:p>
        <w:p w:rsidR="002116B0" w:rsidRDefault="00FF7F9F">
          <w:pPr>
            <w:pStyle w:val="TOC3"/>
            <w:tabs>
              <w:tab w:val="right" w:leader="dot" w:pos="9500"/>
            </w:tabs>
            <w:rPr>
              <w:noProof/>
            </w:rPr>
          </w:pPr>
          <w:hyperlink w:anchor="_Toc61301">
            <w:r>
              <w:rPr>
                <w:noProof/>
              </w:rPr>
              <w:t>3.6 Conclusion</w:t>
            </w:r>
            <w:r>
              <w:rPr>
                <w:noProof/>
              </w:rPr>
              <w:tab/>
            </w:r>
            <w:r>
              <w:rPr>
                <w:noProof/>
              </w:rPr>
              <w:fldChar w:fldCharType="begin"/>
            </w:r>
            <w:r>
              <w:rPr>
                <w:noProof/>
              </w:rPr>
              <w:instrText>PAGEREF _Toc61301 \h</w:instrText>
            </w:r>
            <w:r>
              <w:rPr>
                <w:noProof/>
              </w:rPr>
            </w:r>
            <w:r>
              <w:rPr>
                <w:noProof/>
              </w:rPr>
              <w:fldChar w:fldCharType="separate"/>
            </w:r>
            <w:r>
              <w:rPr>
                <w:noProof/>
              </w:rPr>
              <w:t xml:space="preserve">25 </w:t>
            </w:r>
            <w:r>
              <w:rPr>
                <w:noProof/>
              </w:rPr>
              <w:fldChar w:fldCharType="end"/>
            </w:r>
          </w:hyperlink>
        </w:p>
        <w:p w:rsidR="002116B0" w:rsidRDefault="00FF7F9F">
          <w:pPr>
            <w:pStyle w:val="TOC1"/>
            <w:tabs>
              <w:tab w:val="right" w:leader="dot" w:pos="9500"/>
            </w:tabs>
            <w:rPr>
              <w:noProof/>
            </w:rPr>
          </w:pPr>
          <w:hyperlink w:anchor="_Toc61302">
            <w:r>
              <w:rPr>
                <w:noProof/>
              </w:rPr>
              <w:t>CHAPTER 4: EXTENSION OFFICERS’ PERCEPTIONS ON CLIMATE CHANGE IN RELATION TO CLIMATE DATA</w:t>
            </w:r>
            <w:r>
              <w:rPr>
                <w:noProof/>
              </w:rPr>
              <w:tab/>
            </w:r>
            <w:r>
              <w:rPr>
                <w:noProof/>
              </w:rPr>
              <w:fldChar w:fldCharType="begin"/>
            </w:r>
            <w:r>
              <w:rPr>
                <w:noProof/>
              </w:rPr>
              <w:instrText>PAGEREF _Toc61302 \h</w:instrText>
            </w:r>
            <w:r>
              <w:rPr>
                <w:noProof/>
              </w:rPr>
            </w:r>
            <w:r>
              <w:rPr>
                <w:noProof/>
              </w:rPr>
              <w:fldChar w:fldCharType="separate"/>
            </w:r>
            <w:r>
              <w:rPr>
                <w:noProof/>
              </w:rPr>
              <w:t xml:space="preserve">26 </w:t>
            </w:r>
            <w:r>
              <w:rPr>
                <w:noProof/>
              </w:rPr>
              <w:fldChar w:fldCharType="end"/>
            </w:r>
          </w:hyperlink>
        </w:p>
        <w:p w:rsidR="002116B0" w:rsidRDefault="00FF7F9F">
          <w:pPr>
            <w:pStyle w:val="TOC3"/>
            <w:tabs>
              <w:tab w:val="right" w:leader="dot" w:pos="9500"/>
            </w:tabs>
            <w:rPr>
              <w:noProof/>
            </w:rPr>
          </w:pPr>
          <w:hyperlink w:anchor="_Toc61303">
            <w:r>
              <w:rPr>
                <w:noProof/>
              </w:rPr>
              <w:t>4.1 Introduction</w:t>
            </w:r>
            <w:r>
              <w:rPr>
                <w:noProof/>
              </w:rPr>
              <w:tab/>
            </w:r>
            <w:r>
              <w:rPr>
                <w:noProof/>
              </w:rPr>
              <w:fldChar w:fldCharType="begin"/>
            </w:r>
            <w:r>
              <w:rPr>
                <w:noProof/>
              </w:rPr>
              <w:instrText>PAGEREF _Toc61303 \h</w:instrText>
            </w:r>
            <w:r>
              <w:rPr>
                <w:noProof/>
              </w:rPr>
            </w:r>
            <w:r>
              <w:rPr>
                <w:noProof/>
              </w:rPr>
              <w:fldChar w:fldCharType="separate"/>
            </w:r>
            <w:r>
              <w:rPr>
                <w:noProof/>
              </w:rPr>
              <w:t xml:space="preserve">26 </w:t>
            </w:r>
            <w:r>
              <w:rPr>
                <w:noProof/>
              </w:rPr>
              <w:fldChar w:fldCharType="end"/>
            </w:r>
          </w:hyperlink>
        </w:p>
        <w:p w:rsidR="002116B0" w:rsidRDefault="00FF7F9F">
          <w:pPr>
            <w:pStyle w:val="TOC3"/>
            <w:tabs>
              <w:tab w:val="right" w:leader="dot" w:pos="9500"/>
            </w:tabs>
            <w:rPr>
              <w:noProof/>
            </w:rPr>
          </w:pPr>
          <w:hyperlink w:anchor="_Toc61304">
            <w:r>
              <w:rPr>
                <w:noProof/>
              </w:rPr>
              <w:t>4.2 Descriptive analysis of climate variables</w:t>
            </w:r>
            <w:r>
              <w:rPr>
                <w:noProof/>
              </w:rPr>
              <w:tab/>
            </w:r>
            <w:r>
              <w:rPr>
                <w:noProof/>
              </w:rPr>
              <w:fldChar w:fldCharType="begin"/>
            </w:r>
            <w:r>
              <w:rPr>
                <w:noProof/>
              </w:rPr>
              <w:instrText>PAGEREF _Toc61304 \h</w:instrText>
            </w:r>
            <w:r>
              <w:rPr>
                <w:noProof/>
              </w:rPr>
            </w:r>
            <w:r>
              <w:rPr>
                <w:noProof/>
              </w:rPr>
              <w:fldChar w:fldCharType="separate"/>
            </w:r>
            <w:r>
              <w:rPr>
                <w:noProof/>
              </w:rPr>
              <w:t xml:space="preserve">26 </w:t>
            </w:r>
            <w:r>
              <w:rPr>
                <w:noProof/>
              </w:rPr>
              <w:fldChar w:fldCharType="end"/>
            </w:r>
          </w:hyperlink>
        </w:p>
        <w:p w:rsidR="002116B0" w:rsidRDefault="00FF7F9F">
          <w:pPr>
            <w:pStyle w:val="TOC3"/>
            <w:tabs>
              <w:tab w:val="right" w:leader="dot" w:pos="9500"/>
            </w:tabs>
            <w:rPr>
              <w:noProof/>
            </w:rPr>
          </w:pPr>
          <w:hyperlink w:anchor="_Toc61305">
            <w:r>
              <w:rPr>
                <w:noProof/>
              </w:rPr>
              <w:t>4.3 Comparison of first and second season</w:t>
            </w:r>
            <w:r>
              <w:rPr>
                <w:noProof/>
              </w:rPr>
              <w:tab/>
            </w:r>
            <w:r>
              <w:rPr>
                <w:noProof/>
              </w:rPr>
              <w:fldChar w:fldCharType="begin"/>
            </w:r>
            <w:r>
              <w:rPr>
                <w:noProof/>
              </w:rPr>
              <w:instrText>PAGEREF _Toc61305 \h</w:instrText>
            </w:r>
            <w:r>
              <w:rPr>
                <w:noProof/>
              </w:rPr>
            </w:r>
            <w:r>
              <w:rPr>
                <w:noProof/>
              </w:rPr>
              <w:fldChar w:fldCharType="separate"/>
            </w:r>
            <w:r>
              <w:rPr>
                <w:noProof/>
              </w:rPr>
              <w:t xml:space="preserve">27 </w:t>
            </w:r>
            <w:r>
              <w:rPr>
                <w:noProof/>
              </w:rPr>
              <w:fldChar w:fldCharType="end"/>
            </w:r>
          </w:hyperlink>
        </w:p>
        <w:p w:rsidR="002116B0" w:rsidRDefault="00FF7F9F">
          <w:pPr>
            <w:pStyle w:val="TOC3"/>
            <w:tabs>
              <w:tab w:val="right" w:leader="dot" w:pos="9500"/>
            </w:tabs>
            <w:rPr>
              <w:noProof/>
            </w:rPr>
          </w:pPr>
          <w:hyperlink w:anchor="_Toc61306">
            <w:r>
              <w:rPr>
                <w:noProof/>
              </w:rPr>
              <w:t>4.4 Evolution of climate variables</w:t>
            </w:r>
            <w:r>
              <w:rPr>
                <w:noProof/>
              </w:rPr>
              <w:tab/>
            </w:r>
            <w:r>
              <w:rPr>
                <w:noProof/>
              </w:rPr>
              <w:fldChar w:fldCharType="begin"/>
            </w:r>
            <w:r>
              <w:rPr>
                <w:noProof/>
              </w:rPr>
              <w:instrText>PAGEREF _Toc61306 \h</w:instrText>
            </w:r>
            <w:r>
              <w:rPr>
                <w:noProof/>
              </w:rPr>
            </w:r>
            <w:r>
              <w:rPr>
                <w:noProof/>
              </w:rPr>
              <w:fldChar w:fldCharType="separate"/>
            </w:r>
            <w:r>
              <w:rPr>
                <w:noProof/>
              </w:rPr>
              <w:t xml:space="preserve">28 </w:t>
            </w:r>
            <w:r>
              <w:rPr>
                <w:noProof/>
              </w:rPr>
              <w:fldChar w:fldCharType="end"/>
            </w:r>
          </w:hyperlink>
        </w:p>
        <w:p w:rsidR="002116B0" w:rsidRDefault="00FF7F9F">
          <w:pPr>
            <w:pStyle w:val="TOC3"/>
            <w:tabs>
              <w:tab w:val="right" w:leader="dot" w:pos="9500"/>
            </w:tabs>
            <w:rPr>
              <w:noProof/>
            </w:rPr>
          </w:pPr>
          <w:hyperlink w:anchor="_Toc61307">
            <w:r>
              <w:rPr>
                <w:noProof/>
              </w:rPr>
              <w:t>4.5 Results of auto regressive distributed lag model for climate variables</w:t>
            </w:r>
            <w:r>
              <w:rPr>
                <w:noProof/>
              </w:rPr>
              <w:tab/>
            </w:r>
            <w:r>
              <w:rPr>
                <w:noProof/>
              </w:rPr>
              <w:fldChar w:fldCharType="begin"/>
            </w:r>
            <w:r>
              <w:rPr>
                <w:noProof/>
              </w:rPr>
              <w:instrText>PAGEREF _Toc61307 \h</w:instrText>
            </w:r>
            <w:r>
              <w:rPr>
                <w:noProof/>
              </w:rPr>
            </w:r>
            <w:r>
              <w:rPr>
                <w:noProof/>
              </w:rPr>
              <w:fldChar w:fldCharType="separate"/>
            </w:r>
            <w:r>
              <w:rPr>
                <w:noProof/>
              </w:rPr>
              <w:t xml:space="preserve">32 </w:t>
            </w:r>
            <w:r>
              <w:rPr>
                <w:noProof/>
              </w:rPr>
              <w:fldChar w:fldCharType="end"/>
            </w:r>
          </w:hyperlink>
        </w:p>
        <w:p w:rsidR="002116B0" w:rsidRDefault="00FF7F9F">
          <w:pPr>
            <w:pStyle w:val="TOC3"/>
            <w:tabs>
              <w:tab w:val="right" w:leader="dot" w:pos="9500"/>
            </w:tabs>
            <w:rPr>
              <w:noProof/>
            </w:rPr>
          </w:pPr>
          <w:hyperlink w:anchor="_Toc61308">
            <w:r>
              <w:rPr>
                <w:noProof/>
              </w:rPr>
              <w:t>4.6 Extension officers’ perceptions on climate change</w:t>
            </w:r>
            <w:r>
              <w:rPr>
                <w:noProof/>
              </w:rPr>
              <w:tab/>
            </w:r>
            <w:r>
              <w:rPr>
                <w:noProof/>
              </w:rPr>
              <w:fldChar w:fldCharType="begin"/>
            </w:r>
            <w:r>
              <w:rPr>
                <w:noProof/>
              </w:rPr>
              <w:instrText>PAGEREF _Toc61308 \h</w:instrText>
            </w:r>
            <w:r>
              <w:rPr>
                <w:noProof/>
              </w:rPr>
            </w:r>
            <w:r>
              <w:rPr>
                <w:noProof/>
              </w:rPr>
              <w:fldChar w:fldCharType="separate"/>
            </w:r>
            <w:r>
              <w:rPr>
                <w:noProof/>
              </w:rPr>
              <w:t xml:space="preserve">37 </w:t>
            </w:r>
            <w:r>
              <w:rPr>
                <w:noProof/>
              </w:rPr>
              <w:fldChar w:fldCharType="end"/>
            </w:r>
          </w:hyperlink>
        </w:p>
        <w:p w:rsidR="002116B0" w:rsidRDefault="00FF7F9F">
          <w:pPr>
            <w:pStyle w:val="TOC3"/>
            <w:tabs>
              <w:tab w:val="right" w:leader="dot" w:pos="9500"/>
            </w:tabs>
            <w:rPr>
              <w:noProof/>
            </w:rPr>
          </w:pPr>
          <w:hyperlink w:anchor="_Toc61309">
            <w:r>
              <w:rPr>
                <w:noProof/>
              </w:rPr>
              <w:t>4.7 Conclusion</w:t>
            </w:r>
            <w:r>
              <w:rPr>
                <w:noProof/>
              </w:rPr>
              <w:tab/>
            </w:r>
            <w:r>
              <w:rPr>
                <w:noProof/>
              </w:rPr>
              <w:fldChar w:fldCharType="begin"/>
            </w:r>
            <w:r>
              <w:rPr>
                <w:noProof/>
              </w:rPr>
              <w:instrText>PAGEREF _Toc61309 \h</w:instrText>
            </w:r>
            <w:r>
              <w:rPr>
                <w:noProof/>
              </w:rPr>
            </w:r>
            <w:r>
              <w:rPr>
                <w:noProof/>
              </w:rPr>
              <w:fldChar w:fldCharType="separate"/>
            </w:r>
            <w:r>
              <w:rPr>
                <w:noProof/>
              </w:rPr>
              <w:t xml:space="preserve">42 </w:t>
            </w:r>
            <w:r>
              <w:rPr>
                <w:noProof/>
              </w:rPr>
              <w:fldChar w:fldCharType="end"/>
            </w:r>
          </w:hyperlink>
        </w:p>
        <w:p w:rsidR="002116B0" w:rsidRDefault="00FF7F9F">
          <w:pPr>
            <w:pStyle w:val="TOC1"/>
            <w:tabs>
              <w:tab w:val="right" w:leader="dot" w:pos="9500"/>
            </w:tabs>
            <w:rPr>
              <w:noProof/>
            </w:rPr>
          </w:pPr>
          <w:hyperlink w:anchor="_Toc61310">
            <w:r>
              <w:rPr>
                <w:noProof/>
              </w:rPr>
              <w:t>CHAPTER  5:  EXTENSION  OFFICERS’  CLIMATE  CHANGE  ADAPTATION RECOMMENDATIONS</w:t>
            </w:r>
            <w:r>
              <w:rPr>
                <w:noProof/>
              </w:rPr>
              <w:tab/>
            </w:r>
            <w:r>
              <w:rPr>
                <w:noProof/>
              </w:rPr>
              <w:fldChar w:fldCharType="begin"/>
            </w:r>
            <w:r>
              <w:rPr>
                <w:noProof/>
              </w:rPr>
              <w:instrText>PAGEREF _Toc61310 \h</w:instrText>
            </w:r>
            <w:r>
              <w:rPr>
                <w:noProof/>
              </w:rPr>
            </w:r>
            <w:r>
              <w:rPr>
                <w:noProof/>
              </w:rPr>
              <w:fldChar w:fldCharType="separate"/>
            </w:r>
            <w:r>
              <w:rPr>
                <w:noProof/>
              </w:rPr>
              <w:t xml:space="preserve">43 </w:t>
            </w:r>
            <w:r>
              <w:rPr>
                <w:noProof/>
              </w:rPr>
              <w:fldChar w:fldCharType="end"/>
            </w:r>
          </w:hyperlink>
        </w:p>
        <w:p w:rsidR="002116B0" w:rsidRDefault="00FF7F9F">
          <w:pPr>
            <w:pStyle w:val="TOC3"/>
            <w:tabs>
              <w:tab w:val="right" w:leader="dot" w:pos="9500"/>
            </w:tabs>
            <w:rPr>
              <w:noProof/>
            </w:rPr>
          </w:pPr>
          <w:hyperlink w:anchor="_Toc61311">
            <w:r>
              <w:rPr>
                <w:noProof/>
              </w:rPr>
              <w:t>5.1 Introduction</w:t>
            </w:r>
            <w:r>
              <w:rPr>
                <w:noProof/>
              </w:rPr>
              <w:tab/>
            </w:r>
            <w:r>
              <w:rPr>
                <w:noProof/>
              </w:rPr>
              <w:fldChar w:fldCharType="begin"/>
            </w:r>
            <w:r>
              <w:rPr>
                <w:noProof/>
              </w:rPr>
              <w:instrText>PAGEREF _Toc61311 \h</w:instrText>
            </w:r>
            <w:r>
              <w:rPr>
                <w:noProof/>
              </w:rPr>
            </w:r>
            <w:r>
              <w:rPr>
                <w:noProof/>
              </w:rPr>
              <w:fldChar w:fldCharType="separate"/>
            </w:r>
            <w:r>
              <w:rPr>
                <w:noProof/>
              </w:rPr>
              <w:t xml:space="preserve">43 </w:t>
            </w:r>
            <w:r>
              <w:rPr>
                <w:noProof/>
              </w:rPr>
              <w:fldChar w:fldCharType="end"/>
            </w:r>
          </w:hyperlink>
        </w:p>
        <w:p w:rsidR="002116B0" w:rsidRDefault="00FF7F9F">
          <w:pPr>
            <w:pStyle w:val="TOC3"/>
            <w:tabs>
              <w:tab w:val="right" w:leader="dot" w:pos="9500"/>
            </w:tabs>
            <w:rPr>
              <w:noProof/>
            </w:rPr>
          </w:pPr>
          <w:hyperlink w:anchor="_Toc61312">
            <w:r>
              <w:rPr>
                <w:noProof/>
              </w:rPr>
              <w:t>5.2 Management practices recommended by extension officers</w:t>
            </w:r>
            <w:r>
              <w:rPr>
                <w:noProof/>
              </w:rPr>
              <w:tab/>
            </w:r>
            <w:r>
              <w:rPr>
                <w:noProof/>
              </w:rPr>
              <w:fldChar w:fldCharType="begin"/>
            </w:r>
            <w:r>
              <w:rPr>
                <w:noProof/>
              </w:rPr>
              <w:instrText>PAGEREF _Toc61312 \h</w:instrText>
            </w:r>
            <w:r>
              <w:rPr>
                <w:noProof/>
              </w:rPr>
            </w:r>
            <w:r>
              <w:rPr>
                <w:noProof/>
              </w:rPr>
              <w:fldChar w:fldCharType="separate"/>
            </w:r>
            <w:r>
              <w:rPr>
                <w:noProof/>
              </w:rPr>
              <w:t xml:space="preserve">43 </w:t>
            </w:r>
            <w:r>
              <w:rPr>
                <w:noProof/>
              </w:rPr>
              <w:fldChar w:fldCharType="end"/>
            </w:r>
          </w:hyperlink>
        </w:p>
        <w:p w:rsidR="002116B0" w:rsidRDefault="00FF7F9F">
          <w:pPr>
            <w:pStyle w:val="TOC3"/>
            <w:tabs>
              <w:tab w:val="right" w:leader="dot" w:pos="9500"/>
            </w:tabs>
            <w:rPr>
              <w:noProof/>
            </w:rPr>
          </w:pPr>
          <w:hyperlink w:anchor="_Toc61313">
            <w:r>
              <w:rPr>
                <w:noProof/>
              </w:rPr>
              <w:t>5.3 Results of factor analysis of drivers of climate adaptation recommendations</w:t>
            </w:r>
            <w:r>
              <w:rPr>
                <w:noProof/>
              </w:rPr>
              <w:tab/>
            </w:r>
            <w:r>
              <w:rPr>
                <w:noProof/>
              </w:rPr>
              <w:fldChar w:fldCharType="begin"/>
            </w:r>
            <w:r>
              <w:rPr>
                <w:noProof/>
              </w:rPr>
              <w:instrText>PAGEREF _Toc61313 \h</w:instrText>
            </w:r>
            <w:r>
              <w:rPr>
                <w:noProof/>
              </w:rPr>
            </w:r>
            <w:r>
              <w:rPr>
                <w:noProof/>
              </w:rPr>
              <w:fldChar w:fldCharType="separate"/>
            </w:r>
            <w:r>
              <w:rPr>
                <w:noProof/>
              </w:rPr>
              <w:t xml:space="preserve">44 </w:t>
            </w:r>
            <w:r>
              <w:rPr>
                <w:noProof/>
              </w:rPr>
              <w:fldChar w:fldCharType="end"/>
            </w:r>
          </w:hyperlink>
        </w:p>
        <w:p w:rsidR="002116B0" w:rsidRDefault="00FF7F9F">
          <w:pPr>
            <w:pStyle w:val="TOC3"/>
            <w:tabs>
              <w:tab w:val="right" w:leader="dot" w:pos="9500"/>
            </w:tabs>
            <w:rPr>
              <w:noProof/>
            </w:rPr>
          </w:pPr>
          <w:hyperlink w:anchor="_Toc61314">
            <w:r>
              <w:rPr>
                <w:noProof/>
              </w:rPr>
              <w:t>5.4 Results of logit model of extension officers’ climate change adaptation recommendations to farmers</w:t>
            </w:r>
            <w:r>
              <w:rPr>
                <w:noProof/>
              </w:rPr>
              <w:tab/>
            </w:r>
            <w:r>
              <w:rPr>
                <w:noProof/>
              </w:rPr>
              <w:fldChar w:fldCharType="begin"/>
            </w:r>
            <w:r>
              <w:rPr>
                <w:noProof/>
              </w:rPr>
              <w:instrText>PAGEREF _Toc61314 \h</w:instrText>
            </w:r>
            <w:r>
              <w:rPr>
                <w:noProof/>
              </w:rPr>
            </w:r>
            <w:r>
              <w:rPr>
                <w:noProof/>
              </w:rPr>
              <w:fldChar w:fldCharType="separate"/>
            </w:r>
            <w:r>
              <w:rPr>
                <w:noProof/>
              </w:rPr>
              <w:t xml:space="preserve">46 </w:t>
            </w:r>
            <w:r>
              <w:rPr>
                <w:noProof/>
              </w:rPr>
              <w:fldChar w:fldCharType="end"/>
            </w:r>
          </w:hyperlink>
        </w:p>
        <w:p w:rsidR="002116B0" w:rsidRDefault="00FF7F9F">
          <w:pPr>
            <w:pStyle w:val="TOC3"/>
            <w:tabs>
              <w:tab w:val="right" w:leader="dot" w:pos="9500"/>
            </w:tabs>
            <w:rPr>
              <w:noProof/>
            </w:rPr>
          </w:pPr>
          <w:hyperlink w:anchor="_Toc61315">
            <w:r>
              <w:rPr>
                <w:noProof/>
              </w:rPr>
              <w:t>5</w:t>
            </w:r>
            <w:r>
              <w:rPr>
                <w:noProof/>
              </w:rPr>
              <w:t>.5 Results of cluster analysis of crops recommended by extension officers</w:t>
            </w:r>
            <w:r>
              <w:rPr>
                <w:noProof/>
              </w:rPr>
              <w:tab/>
            </w:r>
            <w:r>
              <w:rPr>
                <w:noProof/>
              </w:rPr>
              <w:fldChar w:fldCharType="begin"/>
            </w:r>
            <w:r>
              <w:rPr>
                <w:noProof/>
              </w:rPr>
              <w:instrText>PAGEREF _Toc61315 \h</w:instrText>
            </w:r>
            <w:r>
              <w:rPr>
                <w:noProof/>
              </w:rPr>
            </w:r>
            <w:r>
              <w:rPr>
                <w:noProof/>
              </w:rPr>
              <w:fldChar w:fldCharType="separate"/>
            </w:r>
            <w:r>
              <w:rPr>
                <w:noProof/>
              </w:rPr>
              <w:t xml:space="preserve">58 </w:t>
            </w:r>
            <w:r>
              <w:rPr>
                <w:noProof/>
              </w:rPr>
              <w:fldChar w:fldCharType="end"/>
            </w:r>
          </w:hyperlink>
        </w:p>
        <w:p w:rsidR="002116B0" w:rsidRDefault="00FF7F9F">
          <w:pPr>
            <w:pStyle w:val="TOC3"/>
            <w:tabs>
              <w:tab w:val="right" w:leader="dot" w:pos="9500"/>
            </w:tabs>
            <w:rPr>
              <w:noProof/>
            </w:rPr>
          </w:pPr>
          <w:hyperlink w:anchor="_Toc61316">
            <w:r>
              <w:rPr>
                <w:noProof/>
              </w:rPr>
              <w:t>5.6 Results of the logit model of extension officers’ crop reco</w:t>
            </w:r>
            <w:r>
              <w:rPr>
                <w:noProof/>
              </w:rPr>
              <w:t>mmendations</w:t>
            </w:r>
            <w:r>
              <w:rPr>
                <w:noProof/>
              </w:rPr>
              <w:tab/>
            </w:r>
            <w:r>
              <w:rPr>
                <w:noProof/>
              </w:rPr>
              <w:fldChar w:fldCharType="begin"/>
            </w:r>
            <w:r>
              <w:rPr>
                <w:noProof/>
              </w:rPr>
              <w:instrText>PAGEREF _Toc61316 \h</w:instrText>
            </w:r>
            <w:r>
              <w:rPr>
                <w:noProof/>
              </w:rPr>
            </w:r>
            <w:r>
              <w:rPr>
                <w:noProof/>
              </w:rPr>
              <w:fldChar w:fldCharType="separate"/>
            </w:r>
            <w:r>
              <w:rPr>
                <w:noProof/>
              </w:rPr>
              <w:t xml:space="preserve">61 </w:t>
            </w:r>
            <w:r>
              <w:rPr>
                <w:noProof/>
              </w:rPr>
              <w:fldChar w:fldCharType="end"/>
            </w:r>
          </w:hyperlink>
        </w:p>
        <w:p w:rsidR="002116B0" w:rsidRDefault="00FF7F9F">
          <w:pPr>
            <w:pStyle w:val="TOC3"/>
            <w:tabs>
              <w:tab w:val="right" w:leader="dot" w:pos="9500"/>
            </w:tabs>
            <w:rPr>
              <w:noProof/>
            </w:rPr>
          </w:pPr>
          <w:hyperlink w:anchor="_Toc61317">
            <w:r>
              <w:rPr>
                <w:noProof/>
              </w:rPr>
              <w:t>5.7 Conclusion</w:t>
            </w:r>
            <w:r>
              <w:rPr>
                <w:noProof/>
              </w:rPr>
              <w:tab/>
            </w:r>
            <w:r>
              <w:rPr>
                <w:noProof/>
              </w:rPr>
              <w:fldChar w:fldCharType="begin"/>
            </w:r>
            <w:r>
              <w:rPr>
                <w:noProof/>
              </w:rPr>
              <w:instrText>PAGEREF _Toc61317 \h</w:instrText>
            </w:r>
            <w:r>
              <w:rPr>
                <w:noProof/>
              </w:rPr>
            </w:r>
            <w:r>
              <w:rPr>
                <w:noProof/>
              </w:rPr>
              <w:fldChar w:fldCharType="separate"/>
            </w:r>
            <w:r>
              <w:rPr>
                <w:noProof/>
              </w:rPr>
              <w:t xml:space="preserve">65 </w:t>
            </w:r>
            <w:r>
              <w:rPr>
                <w:noProof/>
              </w:rPr>
              <w:fldChar w:fldCharType="end"/>
            </w:r>
          </w:hyperlink>
        </w:p>
        <w:p w:rsidR="002116B0" w:rsidRDefault="00FF7F9F">
          <w:pPr>
            <w:pStyle w:val="TOC1"/>
            <w:tabs>
              <w:tab w:val="right" w:leader="dot" w:pos="9500"/>
            </w:tabs>
            <w:rPr>
              <w:noProof/>
            </w:rPr>
          </w:pPr>
          <w:hyperlink w:anchor="_Toc61318">
            <w:r>
              <w:rPr>
                <w:noProof/>
              </w:rPr>
              <w:t>CHAPTER 6: CONCLUSION AND RECOMMENDADTIONS</w:t>
            </w:r>
            <w:r>
              <w:rPr>
                <w:noProof/>
              </w:rPr>
              <w:tab/>
            </w:r>
            <w:r>
              <w:rPr>
                <w:noProof/>
              </w:rPr>
              <w:fldChar w:fldCharType="begin"/>
            </w:r>
            <w:r>
              <w:rPr>
                <w:noProof/>
              </w:rPr>
              <w:instrText>PAGEREF _Toc61318 \h</w:instrText>
            </w:r>
            <w:r>
              <w:rPr>
                <w:noProof/>
              </w:rPr>
            </w:r>
            <w:r>
              <w:rPr>
                <w:noProof/>
              </w:rPr>
              <w:fldChar w:fldCharType="separate"/>
            </w:r>
            <w:r>
              <w:rPr>
                <w:noProof/>
              </w:rPr>
              <w:t xml:space="preserve">66 </w:t>
            </w:r>
            <w:r>
              <w:rPr>
                <w:noProof/>
              </w:rPr>
              <w:fldChar w:fldCharType="end"/>
            </w:r>
          </w:hyperlink>
        </w:p>
        <w:p w:rsidR="002116B0" w:rsidRDefault="00FF7F9F">
          <w:pPr>
            <w:pStyle w:val="TOC3"/>
            <w:tabs>
              <w:tab w:val="right" w:leader="dot" w:pos="9500"/>
            </w:tabs>
            <w:rPr>
              <w:noProof/>
            </w:rPr>
          </w:pPr>
          <w:hyperlink w:anchor="_Toc61319">
            <w:r>
              <w:rPr>
                <w:noProof/>
              </w:rPr>
              <w:t>6.1 Conclusions</w:t>
            </w:r>
            <w:r>
              <w:rPr>
                <w:noProof/>
              </w:rPr>
              <w:tab/>
            </w:r>
            <w:r>
              <w:rPr>
                <w:noProof/>
              </w:rPr>
              <w:fldChar w:fldCharType="begin"/>
            </w:r>
            <w:r>
              <w:rPr>
                <w:noProof/>
              </w:rPr>
              <w:instrText>PAGEREF _Toc61319 \h</w:instrText>
            </w:r>
            <w:r>
              <w:rPr>
                <w:noProof/>
              </w:rPr>
            </w:r>
            <w:r>
              <w:rPr>
                <w:noProof/>
              </w:rPr>
              <w:fldChar w:fldCharType="separate"/>
            </w:r>
            <w:r>
              <w:rPr>
                <w:noProof/>
              </w:rPr>
              <w:t xml:space="preserve">66 </w:t>
            </w:r>
            <w:r>
              <w:rPr>
                <w:noProof/>
              </w:rPr>
              <w:fldChar w:fldCharType="end"/>
            </w:r>
          </w:hyperlink>
        </w:p>
        <w:p w:rsidR="002116B0" w:rsidRDefault="00FF7F9F">
          <w:pPr>
            <w:pStyle w:val="TOC3"/>
            <w:tabs>
              <w:tab w:val="right" w:leader="dot" w:pos="9500"/>
            </w:tabs>
            <w:rPr>
              <w:noProof/>
            </w:rPr>
          </w:pPr>
          <w:hyperlink w:anchor="_Toc61320">
            <w:r>
              <w:rPr>
                <w:noProof/>
              </w:rPr>
              <w:t>6.2 Policy implication</w:t>
            </w:r>
            <w:r>
              <w:rPr>
                <w:noProof/>
              </w:rPr>
              <w:tab/>
            </w:r>
            <w:r>
              <w:rPr>
                <w:noProof/>
              </w:rPr>
              <w:fldChar w:fldCharType="begin"/>
            </w:r>
            <w:r>
              <w:rPr>
                <w:noProof/>
              </w:rPr>
              <w:instrText>PAGEREF _Toc61320 \h</w:instrText>
            </w:r>
            <w:r>
              <w:rPr>
                <w:noProof/>
              </w:rPr>
            </w:r>
            <w:r>
              <w:rPr>
                <w:noProof/>
              </w:rPr>
              <w:fldChar w:fldCharType="separate"/>
            </w:r>
            <w:r>
              <w:rPr>
                <w:noProof/>
              </w:rPr>
              <w:t xml:space="preserve">67 </w:t>
            </w:r>
            <w:r>
              <w:rPr>
                <w:noProof/>
              </w:rPr>
              <w:fldChar w:fldCharType="end"/>
            </w:r>
          </w:hyperlink>
        </w:p>
        <w:p w:rsidR="002116B0" w:rsidRDefault="00FF7F9F">
          <w:pPr>
            <w:pStyle w:val="TOC3"/>
            <w:tabs>
              <w:tab w:val="right" w:leader="dot" w:pos="9500"/>
            </w:tabs>
            <w:rPr>
              <w:noProof/>
            </w:rPr>
          </w:pPr>
          <w:hyperlink w:anchor="_Toc61321">
            <w:r>
              <w:rPr>
                <w:noProof/>
              </w:rPr>
              <w:t>6.2 Areas for further</w:t>
            </w:r>
            <w:r>
              <w:rPr>
                <w:noProof/>
              </w:rPr>
              <w:t xml:space="preserve"> research</w:t>
            </w:r>
            <w:r>
              <w:rPr>
                <w:noProof/>
              </w:rPr>
              <w:tab/>
            </w:r>
            <w:r>
              <w:rPr>
                <w:noProof/>
              </w:rPr>
              <w:fldChar w:fldCharType="begin"/>
            </w:r>
            <w:r>
              <w:rPr>
                <w:noProof/>
              </w:rPr>
              <w:instrText>PAGEREF _Toc61321 \h</w:instrText>
            </w:r>
            <w:r>
              <w:rPr>
                <w:noProof/>
              </w:rPr>
            </w:r>
            <w:r>
              <w:rPr>
                <w:noProof/>
              </w:rPr>
              <w:fldChar w:fldCharType="separate"/>
            </w:r>
            <w:r>
              <w:rPr>
                <w:noProof/>
              </w:rPr>
              <w:t xml:space="preserve">68 </w:t>
            </w:r>
            <w:r>
              <w:rPr>
                <w:noProof/>
              </w:rPr>
              <w:fldChar w:fldCharType="end"/>
            </w:r>
          </w:hyperlink>
        </w:p>
        <w:p w:rsidR="002116B0" w:rsidRDefault="00FF7F9F">
          <w:pPr>
            <w:pStyle w:val="TOC1"/>
            <w:tabs>
              <w:tab w:val="right" w:leader="dot" w:pos="9500"/>
            </w:tabs>
            <w:rPr>
              <w:noProof/>
            </w:rPr>
          </w:pPr>
          <w:hyperlink w:anchor="_Toc61322">
            <w:r>
              <w:rPr>
                <w:noProof/>
              </w:rPr>
              <w:t>REFERENCES</w:t>
            </w:r>
            <w:r>
              <w:rPr>
                <w:noProof/>
              </w:rPr>
              <w:tab/>
            </w:r>
            <w:r>
              <w:rPr>
                <w:noProof/>
              </w:rPr>
              <w:fldChar w:fldCharType="begin"/>
            </w:r>
            <w:r>
              <w:rPr>
                <w:noProof/>
              </w:rPr>
              <w:instrText>PAGEREF _Toc61322 \h</w:instrText>
            </w:r>
            <w:r>
              <w:rPr>
                <w:noProof/>
              </w:rPr>
            </w:r>
            <w:r>
              <w:rPr>
                <w:noProof/>
              </w:rPr>
              <w:fldChar w:fldCharType="separate"/>
            </w:r>
            <w:r>
              <w:rPr>
                <w:noProof/>
              </w:rPr>
              <w:t xml:space="preserve">69 </w:t>
            </w:r>
            <w:r>
              <w:rPr>
                <w:noProof/>
              </w:rPr>
              <w:fldChar w:fldCharType="end"/>
            </w:r>
          </w:hyperlink>
        </w:p>
        <w:p w:rsidR="002116B0" w:rsidRDefault="00FF7F9F">
          <w:pPr>
            <w:pStyle w:val="TOC1"/>
            <w:tabs>
              <w:tab w:val="right" w:leader="dot" w:pos="9500"/>
            </w:tabs>
            <w:rPr>
              <w:noProof/>
            </w:rPr>
          </w:pPr>
          <w:hyperlink w:anchor="_Toc61323">
            <w:r>
              <w:rPr>
                <w:noProof/>
              </w:rPr>
              <w:t>APPENDICES</w:t>
            </w:r>
            <w:r>
              <w:rPr>
                <w:noProof/>
              </w:rPr>
              <w:tab/>
            </w:r>
            <w:r>
              <w:rPr>
                <w:noProof/>
              </w:rPr>
              <w:fldChar w:fldCharType="begin"/>
            </w:r>
            <w:r>
              <w:rPr>
                <w:noProof/>
              </w:rPr>
              <w:instrText>PAGEREF _Toc61323 \h</w:instrText>
            </w:r>
            <w:r>
              <w:rPr>
                <w:noProof/>
              </w:rPr>
            </w:r>
            <w:r>
              <w:rPr>
                <w:noProof/>
              </w:rPr>
              <w:fldChar w:fldCharType="separate"/>
            </w:r>
            <w:r>
              <w:rPr>
                <w:noProof/>
              </w:rPr>
              <w:t xml:space="preserve">74 </w:t>
            </w:r>
            <w:r>
              <w:rPr>
                <w:noProof/>
              </w:rPr>
              <w:fldChar w:fldCharType="end"/>
            </w:r>
          </w:hyperlink>
        </w:p>
        <w:p w:rsidR="002116B0" w:rsidRDefault="00FF7F9F">
          <w:pPr>
            <w:pStyle w:val="TOC3"/>
            <w:tabs>
              <w:tab w:val="right" w:leader="dot" w:pos="9500"/>
            </w:tabs>
            <w:rPr>
              <w:noProof/>
            </w:rPr>
          </w:pPr>
          <w:hyperlink w:anchor="_Toc61324">
            <w:r>
              <w:rPr>
                <w:noProof/>
              </w:rPr>
              <w:t>A.1 Extension officers’ questionnaire</w:t>
            </w:r>
            <w:r>
              <w:rPr>
                <w:noProof/>
              </w:rPr>
              <w:tab/>
            </w:r>
            <w:r>
              <w:rPr>
                <w:noProof/>
              </w:rPr>
              <w:fldChar w:fldCharType="begin"/>
            </w:r>
            <w:r>
              <w:rPr>
                <w:noProof/>
              </w:rPr>
              <w:instrText>PAGEREF _Toc61324 \h</w:instrText>
            </w:r>
            <w:r>
              <w:rPr>
                <w:noProof/>
              </w:rPr>
            </w:r>
            <w:r>
              <w:rPr>
                <w:noProof/>
              </w:rPr>
              <w:fldChar w:fldCharType="separate"/>
            </w:r>
            <w:r>
              <w:rPr>
                <w:noProof/>
              </w:rPr>
              <w:t xml:space="preserve">74 </w:t>
            </w:r>
            <w:r>
              <w:rPr>
                <w:noProof/>
              </w:rPr>
              <w:fldChar w:fldCharType="end"/>
            </w:r>
          </w:hyperlink>
        </w:p>
        <w:p w:rsidR="002116B0" w:rsidRDefault="00FF7F9F">
          <w:pPr>
            <w:pStyle w:val="TOC2"/>
            <w:tabs>
              <w:tab w:val="right" w:leader="dot" w:pos="9500"/>
            </w:tabs>
            <w:rPr>
              <w:noProof/>
            </w:rPr>
          </w:pPr>
          <w:hyperlink w:anchor="_Toc61325">
            <w:r>
              <w:rPr>
                <w:noProof/>
              </w:rPr>
              <w:t>A. 2 Ethical clearance sheet</w:t>
            </w:r>
            <w:r>
              <w:rPr>
                <w:noProof/>
              </w:rPr>
              <w:tab/>
            </w:r>
            <w:r>
              <w:rPr>
                <w:noProof/>
              </w:rPr>
              <w:fldChar w:fldCharType="begin"/>
            </w:r>
            <w:r>
              <w:rPr>
                <w:noProof/>
              </w:rPr>
              <w:instrText>PAGEREF _Toc61325 \h</w:instrText>
            </w:r>
            <w:r>
              <w:rPr>
                <w:noProof/>
              </w:rPr>
            </w:r>
            <w:r>
              <w:rPr>
                <w:noProof/>
              </w:rPr>
              <w:fldChar w:fldCharType="separate"/>
            </w:r>
            <w:r>
              <w:rPr>
                <w:noProof/>
              </w:rPr>
              <w:t xml:space="preserve">83 </w:t>
            </w:r>
            <w:r>
              <w:rPr>
                <w:noProof/>
              </w:rPr>
              <w:fldChar w:fldCharType="end"/>
            </w:r>
          </w:hyperlink>
        </w:p>
        <w:p w:rsidR="002116B0" w:rsidRDefault="00FF7F9F">
          <w:r>
            <w:lastRenderedPageBreak/>
            <w:fldChar w:fldCharType="end"/>
          </w:r>
        </w:p>
      </w:sdtContent>
    </w:sdt>
    <w:p w:rsidR="002116B0" w:rsidRDefault="00FF7F9F">
      <w:pPr>
        <w:pStyle w:val="Heading1"/>
        <w:spacing w:after="396" w:line="482" w:lineRule="auto"/>
        <w:ind w:left="-15" w:right="432" w:firstLine="238"/>
      </w:pPr>
      <w:bookmarkStart w:id="2" w:name="_Toc61279"/>
      <w:r>
        <w:rPr>
          <w:b w:val="0"/>
        </w:rPr>
        <w:t xml:space="preserve"> </w:t>
      </w:r>
      <w:r>
        <w:t xml:space="preserve">LIST OF TABLES  </w:t>
      </w:r>
      <w:bookmarkEnd w:id="2"/>
    </w:p>
    <w:p w:rsidR="002116B0" w:rsidRDefault="00FF7F9F">
      <w:pPr>
        <w:spacing w:after="253"/>
        <w:ind w:left="-5" w:right="10"/>
      </w:pPr>
      <w:r>
        <w:t xml:space="preserve">Table 1: Descriptive analysis of climate </w:t>
      </w:r>
      <w:proofErr w:type="gramStart"/>
      <w:r>
        <w:t xml:space="preserve">variables </w:t>
      </w:r>
      <w:r>
        <w:t>..........................................................................</w:t>
      </w:r>
      <w:proofErr w:type="gramEnd"/>
      <w:r>
        <w:t xml:space="preserve"> 27</w:t>
      </w:r>
      <w:r>
        <w:rPr>
          <w:rFonts w:ascii="Calibri" w:eastAsia="Calibri" w:hAnsi="Calibri" w:cs="Calibri"/>
          <w:sz w:val="22"/>
        </w:rPr>
        <w:t xml:space="preserve"> </w:t>
      </w:r>
    </w:p>
    <w:p w:rsidR="002116B0" w:rsidRDefault="00FF7F9F">
      <w:pPr>
        <w:spacing w:after="278"/>
        <w:ind w:left="-5" w:right="10"/>
      </w:pPr>
      <w:r>
        <w:t xml:space="preserve">Table 2: Comparison of the first and second </w:t>
      </w:r>
      <w:proofErr w:type="gramStart"/>
      <w:r>
        <w:t>season .......................................................................</w:t>
      </w:r>
      <w:proofErr w:type="gramEnd"/>
      <w:r>
        <w:t xml:space="preserve"> 28</w:t>
      </w:r>
      <w:r>
        <w:rPr>
          <w:rFonts w:ascii="Calibri" w:eastAsia="Calibri" w:hAnsi="Calibri" w:cs="Calibri"/>
          <w:sz w:val="22"/>
        </w:rPr>
        <w:t xml:space="preserve"> </w:t>
      </w:r>
    </w:p>
    <w:p w:rsidR="002116B0" w:rsidRDefault="00FF7F9F">
      <w:pPr>
        <w:spacing w:after="246"/>
        <w:ind w:left="-5" w:right="10"/>
      </w:pPr>
      <w:r>
        <w:t xml:space="preserve">Table 3: Augmented Dickey- </w:t>
      </w:r>
      <w:r>
        <w:t xml:space="preserve">Fuller test for </w:t>
      </w:r>
      <w:proofErr w:type="spellStart"/>
      <w:r>
        <w:t>stationarity</w:t>
      </w:r>
      <w:proofErr w:type="spellEnd"/>
      <w:r>
        <w:t xml:space="preserve"> and </w:t>
      </w:r>
      <w:proofErr w:type="spellStart"/>
      <w:r>
        <w:t>Jarque</w:t>
      </w:r>
      <w:proofErr w:type="spellEnd"/>
      <w:r>
        <w:t xml:space="preserve"> </w:t>
      </w:r>
      <w:proofErr w:type="spellStart"/>
      <w:r>
        <w:t>Bera’s</w:t>
      </w:r>
      <w:proofErr w:type="spellEnd"/>
      <w:r>
        <w:t xml:space="preserve"> test for normality of </w:t>
      </w:r>
    </w:p>
    <w:p w:rsidR="002116B0" w:rsidRDefault="00FF7F9F">
      <w:pPr>
        <w:spacing w:after="1" w:line="483" w:lineRule="auto"/>
        <w:ind w:left="-5" w:right="10"/>
      </w:pPr>
      <w:proofErr w:type="gramStart"/>
      <w:r>
        <w:t>climate</w:t>
      </w:r>
      <w:proofErr w:type="gramEnd"/>
      <w:r>
        <w:t xml:space="preserve"> variables .............................................................................................................................. 32</w:t>
      </w:r>
      <w:r>
        <w:rPr>
          <w:rFonts w:ascii="Calibri" w:eastAsia="Calibri" w:hAnsi="Calibri" w:cs="Calibri"/>
          <w:sz w:val="22"/>
        </w:rPr>
        <w:t xml:space="preserve"> </w:t>
      </w:r>
      <w:r>
        <w:t>Table 4: Regression of temperature var</w:t>
      </w:r>
      <w:r>
        <w:t>iables ................................................................................. 33</w:t>
      </w:r>
      <w:r>
        <w:rPr>
          <w:rFonts w:ascii="Calibri" w:eastAsia="Calibri" w:hAnsi="Calibri" w:cs="Calibri"/>
          <w:sz w:val="22"/>
        </w:rPr>
        <w:t xml:space="preserve"> </w:t>
      </w:r>
    </w:p>
    <w:p w:rsidR="002116B0" w:rsidRDefault="00FF7F9F">
      <w:pPr>
        <w:spacing w:after="281"/>
        <w:ind w:left="-5" w:right="10"/>
      </w:pPr>
      <w:r>
        <w:t>Table 5: Regression of change in rainfall related variables............................................................. 35</w:t>
      </w:r>
      <w:r>
        <w:rPr>
          <w:rFonts w:ascii="Calibri" w:eastAsia="Calibri" w:hAnsi="Calibri" w:cs="Calibri"/>
          <w:sz w:val="22"/>
        </w:rPr>
        <w:t xml:space="preserve"> </w:t>
      </w:r>
    </w:p>
    <w:p w:rsidR="002116B0" w:rsidRDefault="00FF7F9F">
      <w:pPr>
        <w:spacing w:after="253"/>
        <w:ind w:left="-5" w:right="10"/>
      </w:pPr>
      <w:r>
        <w:t>Table 6: Extension officers’ socioecon</w:t>
      </w:r>
      <w:r>
        <w:t>omic characteristics............................................................ 37</w:t>
      </w:r>
      <w:r>
        <w:rPr>
          <w:rFonts w:ascii="Calibri" w:eastAsia="Calibri" w:hAnsi="Calibri" w:cs="Calibri"/>
          <w:sz w:val="22"/>
        </w:rPr>
        <w:t xml:space="preserve"> </w:t>
      </w:r>
    </w:p>
    <w:p w:rsidR="002116B0" w:rsidRDefault="00FF7F9F">
      <w:pPr>
        <w:spacing w:after="253"/>
        <w:ind w:left="-5" w:right="10"/>
      </w:pPr>
      <w:r>
        <w:t>Table 7: Component loadings .......................................................................................................... 45</w:t>
      </w:r>
      <w:r>
        <w:rPr>
          <w:rFonts w:ascii="Calibri" w:eastAsia="Calibri" w:hAnsi="Calibri" w:cs="Calibri"/>
          <w:sz w:val="22"/>
        </w:rPr>
        <w:t xml:space="preserve"> </w:t>
      </w:r>
    </w:p>
    <w:p w:rsidR="002116B0" w:rsidRDefault="00FF7F9F">
      <w:pPr>
        <w:spacing w:after="0" w:line="476" w:lineRule="auto"/>
        <w:ind w:left="-5" w:right="10"/>
      </w:pPr>
      <w:r>
        <w:t xml:space="preserve">Table 8: Results of </w:t>
      </w:r>
      <w:proofErr w:type="spellStart"/>
      <w:r>
        <w:t>logit</w:t>
      </w:r>
      <w:proofErr w:type="spellEnd"/>
      <w:r>
        <w:t xml:space="preserve"> model </w:t>
      </w:r>
      <w:r>
        <w:t xml:space="preserve">of extension officers’ climate change adaptation recommendations to wealthy farmers (Intercropping, agroforestry, long maturing crops, manure and drought tolerant </w:t>
      </w:r>
    </w:p>
    <w:p w:rsidR="002116B0" w:rsidRDefault="00FF7F9F">
      <w:pPr>
        <w:spacing w:after="254"/>
        <w:ind w:left="-5" w:right="10"/>
      </w:pPr>
      <w:proofErr w:type="gramStart"/>
      <w:r>
        <w:t>crops</w:t>
      </w:r>
      <w:proofErr w:type="gramEnd"/>
      <w:r>
        <w:t>) .....................................................................................</w:t>
      </w:r>
      <w:r>
        <w:t>.......................................................... 47</w:t>
      </w:r>
      <w:r>
        <w:rPr>
          <w:rFonts w:ascii="Calibri" w:eastAsia="Calibri" w:hAnsi="Calibri" w:cs="Calibri"/>
          <w:sz w:val="22"/>
        </w:rPr>
        <w:t xml:space="preserve"> </w:t>
      </w:r>
    </w:p>
    <w:p w:rsidR="002116B0" w:rsidRDefault="00FF7F9F">
      <w:pPr>
        <w:spacing w:after="0" w:line="479" w:lineRule="auto"/>
        <w:ind w:left="-5" w:right="10"/>
      </w:pPr>
      <w:r>
        <w:t xml:space="preserve">Table 9: Results of </w:t>
      </w:r>
      <w:proofErr w:type="spellStart"/>
      <w:r>
        <w:t>logit</w:t>
      </w:r>
      <w:proofErr w:type="spellEnd"/>
      <w:r>
        <w:t xml:space="preserve"> model of extension officers’ climate change adaptation recommendations to wealthy farmers (crop diversifications, irrigation, early planting, early maturing crops</w:t>
      </w:r>
      <w:proofErr w:type="gramStart"/>
      <w:r>
        <w:t>) ...</w:t>
      </w:r>
      <w:r>
        <w:t>........</w:t>
      </w:r>
      <w:proofErr w:type="gramEnd"/>
      <w:r>
        <w:t xml:space="preserve"> 48</w:t>
      </w:r>
      <w:r>
        <w:rPr>
          <w:rFonts w:ascii="Calibri" w:eastAsia="Calibri" w:hAnsi="Calibri" w:cs="Calibri"/>
          <w:sz w:val="22"/>
        </w:rPr>
        <w:t xml:space="preserve"> </w:t>
      </w:r>
      <w:r>
        <w:t xml:space="preserve">Table 10: Results of </w:t>
      </w:r>
      <w:proofErr w:type="spellStart"/>
      <w:r>
        <w:t>logit</w:t>
      </w:r>
      <w:proofErr w:type="spellEnd"/>
      <w:r>
        <w:t xml:space="preserve"> model of extension officers’ climate change adaptation recommendations to resource poor farmers (Intercropping, agroforestry, long maturing crops, </w:t>
      </w:r>
    </w:p>
    <w:p w:rsidR="002116B0" w:rsidRDefault="00FF7F9F">
      <w:pPr>
        <w:spacing w:after="295"/>
        <w:ind w:left="-5" w:right="10"/>
      </w:pPr>
      <w:proofErr w:type="gramStart"/>
      <w:r>
        <w:t>manure</w:t>
      </w:r>
      <w:proofErr w:type="gramEnd"/>
      <w:r>
        <w:t xml:space="preserve"> and drought tolerant crops) ..................................</w:t>
      </w:r>
      <w:r>
        <w:t>............................................................... 49</w:t>
      </w:r>
      <w:r>
        <w:rPr>
          <w:rFonts w:ascii="Calibri" w:eastAsia="Calibri" w:hAnsi="Calibri" w:cs="Calibri"/>
          <w:sz w:val="22"/>
        </w:rPr>
        <w:t xml:space="preserve"> </w:t>
      </w:r>
    </w:p>
    <w:p w:rsidR="002116B0" w:rsidRDefault="00FF7F9F">
      <w:pPr>
        <w:spacing w:after="0" w:line="477" w:lineRule="auto"/>
        <w:ind w:left="-5" w:right="10"/>
      </w:pPr>
      <w:r>
        <w:t xml:space="preserve">Table 11: Results of </w:t>
      </w:r>
      <w:proofErr w:type="spellStart"/>
      <w:r>
        <w:t>logit</w:t>
      </w:r>
      <w:proofErr w:type="spellEnd"/>
      <w:r>
        <w:t xml:space="preserve"> model of extension officers’ climate change adaptation recommendations to resource poor farmers (crop diversifications, mixed farming, irrigation, early </w:t>
      </w:r>
    </w:p>
    <w:p w:rsidR="002116B0" w:rsidRDefault="00FF7F9F">
      <w:pPr>
        <w:spacing w:after="297"/>
        <w:ind w:left="-5" w:right="10"/>
      </w:pPr>
      <w:proofErr w:type="gramStart"/>
      <w:r>
        <w:t>plantin</w:t>
      </w:r>
      <w:r>
        <w:t>g</w:t>
      </w:r>
      <w:proofErr w:type="gramEnd"/>
      <w:r>
        <w:t>, early maturing crops) ........................................................................................................ 50</w:t>
      </w:r>
      <w:r>
        <w:rPr>
          <w:rFonts w:ascii="Calibri" w:eastAsia="Calibri" w:hAnsi="Calibri" w:cs="Calibri"/>
          <w:sz w:val="22"/>
        </w:rPr>
        <w:t xml:space="preserve"> </w:t>
      </w:r>
    </w:p>
    <w:p w:rsidR="002116B0" w:rsidRDefault="00FF7F9F">
      <w:pPr>
        <w:spacing w:after="385"/>
        <w:ind w:left="-5" w:right="10"/>
      </w:pPr>
      <w:r>
        <w:t xml:space="preserve">Table 12: Results of the </w:t>
      </w:r>
      <w:proofErr w:type="spellStart"/>
      <w:r>
        <w:t>logit</w:t>
      </w:r>
      <w:proofErr w:type="spellEnd"/>
      <w:r>
        <w:t xml:space="preserve"> model of extension officers’ crop recommendations to farmers ...... 62</w:t>
      </w:r>
      <w:r>
        <w:rPr>
          <w:rFonts w:ascii="Calibri" w:eastAsia="Calibri" w:hAnsi="Calibri" w:cs="Calibri"/>
          <w:sz w:val="22"/>
        </w:rPr>
        <w:t xml:space="preserve"> </w:t>
      </w:r>
    </w:p>
    <w:p w:rsidR="002116B0" w:rsidRDefault="00FF7F9F">
      <w:pPr>
        <w:pStyle w:val="Heading1"/>
        <w:ind w:left="-5" w:right="10"/>
        <w:jc w:val="both"/>
      </w:pPr>
      <w:bookmarkStart w:id="3" w:name="_Toc61280"/>
      <w:r>
        <w:lastRenderedPageBreak/>
        <w:t xml:space="preserve">LIST OF FIGURES </w:t>
      </w:r>
      <w:bookmarkEnd w:id="3"/>
    </w:p>
    <w:p w:rsidR="002116B0" w:rsidRDefault="00FF7F9F">
      <w:pPr>
        <w:spacing w:after="253"/>
        <w:ind w:left="-5" w:right="10"/>
      </w:pPr>
      <w:r>
        <w:t xml:space="preserve">Figure 1: Theoretical </w:t>
      </w:r>
      <w:proofErr w:type="gramStart"/>
      <w:r>
        <w:t>framework .....................................................................................................</w:t>
      </w:r>
      <w:proofErr w:type="gramEnd"/>
      <w:r>
        <w:t xml:space="preserve"> 17</w:t>
      </w:r>
      <w:r>
        <w:rPr>
          <w:rFonts w:ascii="Calibri" w:eastAsia="Calibri" w:hAnsi="Calibri" w:cs="Calibri"/>
          <w:sz w:val="22"/>
        </w:rPr>
        <w:t xml:space="preserve"> </w:t>
      </w:r>
    </w:p>
    <w:p w:rsidR="002116B0" w:rsidRDefault="00FF7F9F">
      <w:pPr>
        <w:spacing w:after="253"/>
        <w:ind w:left="-5" w:right="10"/>
      </w:pPr>
      <w:r>
        <w:t xml:space="preserve">Figure 2: Map of </w:t>
      </w:r>
      <w:proofErr w:type="spellStart"/>
      <w:r>
        <w:t>Machakos</w:t>
      </w:r>
      <w:proofErr w:type="spellEnd"/>
      <w:r>
        <w:t xml:space="preserve"> County .....................................................................................</w:t>
      </w:r>
      <w:r>
        <w:t>........... 18</w:t>
      </w:r>
      <w:r>
        <w:rPr>
          <w:rFonts w:ascii="Calibri" w:eastAsia="Calibri" w:hAnsi="Calibri" w:cs="Calibri"/>
          <w:sz w:val="22"/>
        </w:rPr>
        <w:t xml:space="preserve"> </w:t>
      </w:r>
    </w:p>
    <w:p w:rsidR="002116B0" w:rsidRDefault="00FF7F9F">
      <w:pPr>
        <w:spacing w:after="253"/>
        <w:ind w:left="-5" w:right="10"/>
      </w:pPr>
      <w:r>
        <w:t>Figure 3: Time series of temperatures variables .............................................................................. 29</w:t>
      </w:r>
      <w:r>
        <w:rPr>
          <w:rFonts w:ascii="Calibri" w:eastAsia="Calibri" w:hAnsi="Calibri" w:cs="Calibri"/>
          <w:sz w:val="22"/>
        </w:rPr>
        <w:t xml:space="preserve"> </w:t>
      </w:r>
    </w:p>
    <w:p w:rsidR="002116B0" w:rsidRDefault="00FF7F9F">
      <w:pPr>
        <w:spacing w:after="253"/>
        <w:ind w:left="-5" w:right="10"/>
      </w:pPr>
      <w:r>
        <w:t xml:space="preserve">Figure 4: Time series of first season rainfall related </w:t>
      </w:r>
      <w:proofErr w:type="gramStart"/>
      <w:r>
        <w:t>variables ............................................</w:t>
      </w:r>
      <w:r>
        <w:t>............</w:t>
      </w:r>
      <w:proofErr w:type="gramEnd"/>
      <w:r>
        <w:t xml:space="preserve"> 30</w:t>
      </w:r>
      <w:r>
        <w:rPr>
          <w:rFonts w:ascii="Calibri" w:eastAsia="Calibri" w:hAnsi="Calibri" w:cs="Calibri"/>
          <w:sz w:val="22"/>
        </w:rPr>
        <w:t xml:space="preserve"> </w:t>
      </w:r>
    </w:p>
    <w:p w:rsidR="002116B0" w:rsidRDefault="00FF7F9F">
      <w:pPr>
        <w:spacing w:after="277"/>
        <w:ind w:left="-5" w:right="10"/>
      </w:pPr>
      <w:r>
        <w:t>Figure 5: Time series of second season rainfall related variables ................................................... 31</w:t>
      </w:r>
      <w:r>
        <w:rPr>
          <w:rFonts w:ascii="Calibri" w:eastAsia="Calibri" w:hAnsi="Calibri" w:cs="Calibri"/>
          <w:sz w:val="22"/>
        </w:rPr>
        <w:t xml:space="preserve"> </w:t>
      </w:r>
    </w:p>
    <w:p w:rsidR="002116B0" w:rsidRDefault="00FF7F9F">
      <w:pPr>
        <w:spacing w:after="253"/>
        <w:ind w:left="-5" w:right="10"/>
      </w:pPr>
      <w:r>
        <w:t xml:space="preserve">Figure 6: Extension officers’ perceptions on the start of the </w:t>
      </w:r>
      <w:proofErr w:type="gramStart"/>
      <w:r>
        <w:t>season ...............................................</w:t>
      </w:r>
      <w:proofErr w:type="gramEnd"/>
      <w:r>
        <w:t xml:space="preserve"> </w:t>
      </w:r>
      <w:r>
        <w:t>38</w:t>
      </w:r>
      <w:r>
        <w:rPr>
          <w:rFonts w:ascii="Calibri" w:eastAsia="Calibri" w:hAnsi="Calibri" w:cs="Calibri"/>
          <w:sz w:val="22"/>
        </w:rPr>
        <w:t xml:space="preserve"> </w:t>
      </w:r>
    </w:p>
    <w:p w:rsidR="002116B0" w:rsidRDefault="00FF7F9F">
      <w:pPr>
        <w:spacing w:after="253"/>
        <w:ind w:left="-5" w:right="10"/>
      </w:pPr>
      <w:r>
        <w:t>Figure 7: Extension officers' perceptions on climate variables ....................................................... 39</w:t>
      </w:r>
      <w:r>
        <w:rPr>
          <w:rFonts w:ascii="Calibri" w:eastAsia="Calibri" w:hAnsi="Calibri" w:cs="Calibri"/>
          <w:sz w:val="22"/>
        </w:rPr>
        <w:t xml:space="preserve"> </w:t>
      </w:r>
    </w:p>
    <w:p w:rsidR="002116B0" w:rsidRDefault="00FF7F9F">
      <w:pPr>
        <w:spacing w:after="253"/>
        <w:ind w:left="-5" w:right="10"/>
      </w:pPr>
      <w:r>
        <w:t>Figure 8: Extension officers' CC adaptation recommendations ...................................................... 44</w:t>
      </w:r>
      <w:r>
        <w:rPr>
          <w:rFonts w:ascii="Calibri" w:eastAsia="Calibri" w:hAnsi="Calibri" w:cs="Calibri"/>
          <w:sz w:val="22"/>
        </w:rPr>
        <w:t xml:space="preserve"> </w:t>
      </w:r>
    </w:p>
    <w:p w:rsidR="002116B0" w:rsidRDefault="00FF7F9F">
      <w:pPr>
        <w:spacing w:after="253"/>
        <w:ind w:left="-5" w:right="10"/>
      </w:pPr>
      <w:r>
        <w:t xml:space="preserve">Figure 9: </w:t>
      </w:r>
      <w:r>
        <w:t>Crops recommended to farmers ....................................................................................... 58</w:t>
      </w:r>
      <w:r>
        <w:rPr>
          <w:rFonts w:ascii="Calibri" w:eastAsia="Calibri" w:hAnsi="Calibri" w:cs="Calibri"/>
          <w:sz w:val="22"/>
        </w:rPr>
        <w:t xml:space="preserve"> </w:t>
      </w:r>
    </w:p>
    <w:p w:rsidR="002116B0" w:rsidRDefault="00FF7F9F">
      <w:pPr>
        <w:spacing w:after="253"/>
        <w:ind w:left="-5" w:right="10"/>
      </w:pPr>
      <w:r>
        <w:t>Figure 10: Crops recommended to resource poor farmers and cluster differences ......................... 59</w:t>
      </w:r>
      <w:r>
        <w:rPr>
          <w:rFonts w:ascii="Calibri" w:eastAsia="Calibri" w:hAnsi="Calibri" w:cs="Calibri"/>
          <w:sz w:val="22"/>
        </w:rPr>
        <w:t xml:space="preserve"> </w:t>
      </w:r>
    </w:p>
    <w:p w:rsidR="002116B0" w:rsidRDefault="00FF7F9F">
      <w:pPr>
        <w:spacing w:after="385"/>
        <w:ind w:left="-5" w:right="10"/>
      </w:pPr>
      <w:r>
        <w:t>Figure 11: Crops recommende</w:t>
      </w:r>
      <w:r>
        <w:t>d to wealthy farmers and cluster differences .................................. 60</w:t>
      </w:r>
      <w:r>
        <w:rPr>
          <w:rFonts w:ascii="Calibri" w:eastAsia="Calibri" w:hAnsi="Calibri" w:cs="Calibri"/>
          <w:sz w:val="22"/>
        </w:rPr>
        <w:t xml:space="preserve"> </w:t>
      </w:r>
    </w:p>
    <w:p w:rsidR="002116B0" w:rsidRDefault="00FF7F9F">
      <w:pPr>
        <w:pStyle w:val="Heading1"/>
        <w:ind w:left="-5" w:right="10"/>
        <w:jc w:val="both"/>
      </w:pPr>
      <w:bookmarkStart w:id="4" w:name="_Toc61281"/>
      <w:r>
        <w:t xml:space="preserve">ACRONYMS </w:t>
      </w:r>
      <w:bookmarkEnd w:id="4"/>
    </w:p>
    <w:p w:rsidR="002116B0" w:rsidRDefault="00FF7F9F">
      <w:pPr>
        <w:spacing w:after="390"/>
        <w:ind w:left="-5" w:right="10"/>
      </w:pPr>
      <w:r>
        <w:t xml:space="preserve">AEAS: Agricultural Extension and Advisory Services </w:t>
      </w:r>
    </w:p>
    <w:p w:rsidR="002116B0" w:rsidRDefault="00FF7F9F">
      <w:pPr>
        <w:spacing w:after="390"/>
        <w:ind w:left="-5" w:right="10"/>
      </w:pPr>
      <w:r>
        <w:t xml:space="preserve">ARDL: Auto Regressive Distributed Lag Model </w:t>
      </w:r>
    </w:p>
    <w:p w:rsidR="002116B0" w:rsidRDefault="00FF7F9F">
      <w:pPr>
        <w:spacing w:after="390"/>
        <w:ind w:left="-5" w:right="10"/>
      </w:pPr>
      <w:r>
        <w:t xml:space="preserve">ASALS: Arid and Semi-Arid Lands </w:t>
      </w:r>
    </w:p>
    <w:p w:rsidR="002116B0" w:rsidRDefault="00FF7F9F">
      <w:pPr>
        <w:spacing w:after="390"/>
        <w:ind w:left="-5" w:right="10"/>
      </w:pPr>
      <w:r>
        <w:t xml:space="preserve">CC: Climate Change </w:t>
      </w:r>
    </w:p>
    <w:p w:rsidR="002116B0" w:rsidRDefault="00FF7F9F">
      <w:pPr>
        <w:spacing w:after="390"/>
        <w:ind w:left="-5" w:right="10"/>
      </w:pPr>
      <w:r>
        <w:t xml:space="preserve">CCA: Climate change Adaptation </w:t>
      </w:r>
    </w:p>
    <w:p w:rsidR="002116B0" w:rsidRDefault="00FF7F9F">
      <w:pPr>
        <w:spacing w:after="390"/>
        <w:ind w:left="-5" w:right="10"/>
      </w:pPr>
      <w:r>
        <w:t xml:space="preserve">ELM: Elaboration Likelihood Model </w:t>
      </w:r>
    </w:p>
    <w:p w:rsidR="002116B0" w:rsidRDefault="00FF7F9F">
      <w:pPr>
        <w:spacing w:after="390"/>
        <w:ind w:left="-5" w:right="10"/>
      </w:pPr>
      <w:r>
        <w:t xml:space="preserve">GDP: Gross Domestic Product </w:t>
      </w:r>
    </w:p>
    <w:p w:rsidR="002116B0" w:rsidRDefault="00FF7F9F">
      <w:pPr>
        <w:spacing w:after="390"/>
        <w:ind w:left="-5" w:right="10"/>
      </w:pPr>
      <w:r>
        <w:t xml:space="preserve">GOK: Government of Kenya </w:t>
      </w:r>
    </w:p>
    <w:p w:rsidR="002116B0" w:rsidRDefault="00FF7F9F">
      <w:pPr>
        <w:spacing w:after="390"/>
        <w:ind w:left="-5" w:right="10"/>
      </w:pPr>
      <w:r>
        <w:lastRenderedPageBreak/>
        <w:t xml:space="preserve">PC: Principal Component </w:t>
      </w:r>
    </w:p>
    <w:p w:rsidR="002116B0" w:rsidRDefault="00FF7F9F">
      <w:pPr>
        <w:spacing w:after="390"/>
        <w:ind w:left="-5" w:right="10"/>
      </w:pPr>
      <w:r>
        <w:t xml:space="preserve">SAP: Structural Adjustment Programs </w:t>
      </w:r>
    </w:p>
    <w:p w:rsidR="002116B0" w:rsidRDefault="00FF7F9F">
      <w:pPr>
        <w:spacing w:after="390"/>
        <w:ind w:left="-5" w:right="10"/>
      </w:pPr>
      <w:r>
        <w:t xml:space="preserve">SAS: Statistical Analytical System </w:t>
      </w:r>
    </w:p>
    <w:p w:rsidR="002116B0" w:rsidRDefault="00FF7F9F">
      <w:pPr>
        <w:spacing w:after="390"/>
        <w:ind w:left="-5" w:right="10"/>
      </w:pPr>
      <w:r>
        <w:t xml:space="preserve">SSA: Sub Sahara Africa </w:t>
      </w:r>
    </w:p>
    <w:p w:rsidR="002116B0" w:rsidRDefault="00FF7F9F">
      <w:pPr>
        <w:spacing w:after="508" w:line="259" w:lineRule="auto"/>
        <w:ind w:left="0" w:firstLine="0"/>
        <w:jc w:val="left"/>
      </w:pPr>
      <w:r>
        <w:t xml:space="preserve"> </w:t>
      </w:r>
    </w:p>
    <w:p w:rsidR="002116B0" w:rsidRDefault="00FF7F9F">
      <w:pPr>
        <w:spacing w:after="0" w:line="259" w:lineRule="auto"/>
        <w:ind w:left="0" w:firstLine="0"/>
        <w:jc w:val="left"/>
      </w:pPr>
      <w:r>
        <w:t xml:space="preserve"> </w:t>
      </w:r>
      <w:r>
        <w:tab/>
      </w:r>
      <w:r>
        <w:rPr>
          <w:b/>
          <w:sz w:val="32"/>
        </w:rPr>
        <w:t xml:space="preserve"> </w:t>
      </w:r>
    </w:p>
    <w:p w:rsidR="002116B0" w:rsidRDefault="00FF7F9F">
      <w:pPr>
        <w:pStyle w:val="Heading1"/>
        <w:ind w:left="578" w:right="571"/>
        <w:jc w:val="center"/>
      </w:pPr>
      <w:bookmarkStart w:id="5" w:name="_Toc61282"/>
      <w:r>
        <w:t xml:space="preserve">ABSTRACT </w:t>
      </w:r>
      <w:bookmarkEnd w:id="5"/>
    </w:p>
    <w:p w:rsidR="002116B0" w:rsidRDefault="00FF7F9F">
      <w:pPr>
        <w:spacing w:line="476" w:lineRule="auto"/>
        <w:ind w:left="-5" w:right="10"/>
      </w:pPr>
      <w:r>
        <w:t xml:space="preserve">Agriculture in </w:t>
      </w:r>
      <w:proofErr w:type="spellStart"/>
      <w:r>
        <w:t>Machakos</w:t>
      </w:r>
      <w:proofErr w:type="spellEnd"/>
      <w:r>
        <w:t xml:space="preserve"> is mainly rain fed thus susceptible to climate variability. The vulnerability of the agricultural sector in the area to climate variability is exacerbated further by interaction of compound stresses and existing developmen</w:t>
      </w:r>
      <w:r>
        <w:t>tal challenges such as endemic poverty; complex governance and institutional dimensions; limited access to capital and markets; inadequate infrastructure and technology; ecosystem degradation; and complex disasters and conflicts. Agricultural Extension and</w:t>
      </w:r>
      <w:r>
        <w:t xml:space="preserve"> Advisory Services (AEAS) and their effective functioning play a critical role in mainstreaming climate change adaptation objectives. However, there is fear that the agricultural extension and advisory service in the area may have inadequate knowledge and </w:t>
      </w:r>
      <w:r>
        <w:t xml:space="preserve">capacity to facilitate climate change adaptation. </w:t>
      </w:r>
    </w:p>
    <w:p w:rsidR="002116B0" w:rsidRDefault="00FF7F9F">
      <w:pPr>
        <w:spacing w:line="476" w:lineRule="auto"/>
        <w:ind w:left="-5" w:right="10"/>
      </w:pPr>
      <w:r>
        <w:t xml:space="preserve">The study assessed the perceptions of extension officers on climate variability and change and compared the perceptions to climate variability as depicted by climate data. It also investigated the climate </w:t>
      </w:r>
      <w:r>
        <w:t xml:space="preserve">change adaptation recommendations made by the extension officers to farmers and assessed factors that influence the recommendation options. Climate data from </w:t>
      </w:r>
      <w:proofErr w:type="spellStart"/>
      <w:r>
        <w:t>Katumani</w:t>
      </w:r>
      <w:proofErr w:type="spellEnd"/>
      <w:r>
        <w:t xml:space="preserve"> meteorological station which serves </w:t>
      </w:r>
      <w:proofErr w:type="spellStart"/>
      <w:r>
        <w:t>Machakos</w:t>
      </w:r>
      <w:proofErr w:type="spellEnd"/>
      <w:r>
        <w:t xml:space="preserve"> region was </w:t>
      </w:r>
      <w:proofErr w:type="spellStart"/>
      <w:r>
        <w:t>analysed</w:t>
      </w:r>
      <w:proofErr w:type="spellEnd"/>
      <w:r>
        <w:t xml:space="preserve"> and compared to field su</w:t>
      </w:r>
      <w:r>
        <w:t xml:space="preserve">rvey data on perceptions of climate change, climate change adaptation recommendations as well as factors </w:t>
      </w:r>
      <w:r>
        <w:lastRenderedPageBreak/>
        <w:t>driving the CCA recommendations collected using questionnaires administered to 106 extension officers drawn from the public and private agricultural se</w:t>
      </w:r>
      <w:r>
        <w:t xml:space="preserve">ctors in </w:t>
      </w:r>
      <w:proofErr w:type="spellStart"/>
      <w:r>
        <w:t>Machakos</w:t>
      </w:r>
      <w:proofErr w:type="spellEnd"/>
      <w:r>
        <w:t xml:space="preserve">.  </w:t>
      </w:r>
    </w:p>
    <w:p w:rsidR="002116B0" w:rsidRDefault="00FF7F9F">
      <w:pPr>
        <w:spacing w:line="476" w:lineRule="auto"/>
        <w:ind w:left="-5" w:right="10"/>
      </w:pPr>
      <w:r>
        <w:t>Majority of the extension officers perceive a general changing climate. According to them, negative changes have transpired in regards to temperature, amount of rainfall, number of rainy days, start (onset) of seasons as well as with t</w:t>
      </w:r>
      <w:r>
        <w:t>he frequency of droughts and floods. Results show that the extension officers have precise perception on temperature trends which is supported by temperature data. Conversely, most of their perceptions on rainfall related parameters are contrary to rainfal</w:t>
      </w:r>
      <w:r>
        <w:t>l data. Policy aimed at enhancing the adaptive capacity of AEAS should consider building the capacity of extension officers to provide them with the precise climate information as well as create new technological capabilities of agro metrological extension</w:t>
      </w:r>
      <w:r>
        <w:t xml:space="preserve"> within the institution. </w:t>
      </w:r>
    </w:p>
    <w:p w:rsidR="002116B0" w:rsidRDefault="00FF7F9F">
      <w:pPr>
        <w:spacing w:after="0" w:line="476" w:lineRule="auto"/>
        <w:ind w:left="-5" w:right="10"/>
      </w:pPr>
      <w:r>
        <w:t>The climate adaptation recommendations mainly consisted of agronomic management practices and different crop combinations. The most popular management practice recommended to resource poor farmers was mixed farming whereas that fo</w:t>
      </w:r>
      <w:r>
        <w:t>r wealthy farmers was use of manure and fertilizers. Mixed farming was however the least recommended strategy to wealthy farmers while irrigation was least recommended to poor farmers. Efforts to promote climate change adaptation strategies in the area sho</w:t>
      </w:r>
      <w:r>
        <w:t xml:space="preserve">uld identify optimal combination of agricultural management practices suitable for the area as well as find climate change adaptation options outside agriculture such as building social and community networks and improving markets and economic </w:t>
      </w:r>
    </w:p>
    <w:p w:rsidR="002116B0" w:rsidRDefault="00FF7F9F">
      <w:pPr>
        <w:spacing w:after="390"/>
        <w:ind w:left="-5" w:right="10"/>
      </w:pPr>
      <w:proofErr w:type="gramStart"/>
      <w:r>
        <w:t>infrastruct</w:t>
      </w:r>
      <w:r>
        <w:t>ure</w:t>
      </w:r>
      <w:proofErr w:type="gramEnd"/>
      <w:r>
        <w:t xml:space="preserve">. </w:t>
      </w:r>
    </w:p>
    <w:p w:rsidR="002116B0" w:rsidRDefault="00FF7F9F">
      <w:pPr>
        <w:spacing w:after="141"/>
        <w:ind w:right="2"/>
        <w:jc w:val="right"/>
      </w:pPr>
      <w:r>
        <w:t>Word count of dissertation = 13656</w:t>
      </w:r>
    </w:p>
    <w:p w:rsidR="002116B0" w:rsidRDefault="002116B0">
      <w:pPr>
        <w:sectPr w:rsidR="002116B0">
          <w:headerReference w:type="even" r:id="rId7"/>
          <w:headerReference w:type="default" r:id="rId8"/>
          <w:footerReference w:type="even" r:id="rId9"/>
          <w:footerReference w:type="default" r:id="rId10"/>
          <w:headerReference w:type="first" r:id="rId11"/>
          <w:footerReference w:type="first" r:id="rId12"/>
          <w:pgSz w:w="11906" w:h="16838"/>
          <w:pgMar w:top="1443" w:right="704" w:bottom="1981" w:left="1702" w:header="720" w:footer="992" w:gutter="0"/>
          <w:pgNumType w:fmt="lowerRoman" w:start="1"/>
          <w:cols w:space="720"/>
          <w:titlePg/>
        </w:sectPr>
      </w:pPr>
    </w:p>
    <w:p w:rsidR="002116B0" w:rsidRDefault="00FF7F9F">
      <w:pPr>
        <w:pStyle w:val="Heading1"/>
        <w:spacing w:after="431"/>
        <w:ind w:left="578" w:right="1003"/>
        <w:jc w:val="center"/>
      </w:pPr>
      <w:bookmarkStart w:id="6" w:name="_Toc61283"/>
      <w:r>
        <w:lastRenderedPageBreak/>
        <w:t xml:space="preserve">CHAPTER 1: INTRODUCTION </w:t>
      </w:r>
      <w:bookmarkEnd w:id="6"/>
    </w:p>
    <w:p w:rsidR="002116B0" w:rsidRDefault="00FF7F9F">
      <w:pPr>
        <w:pStyle w:val="Heading3"/>
        <w:ind w:left="-5"/>
      </w:pPr>
      <w:bookmarkStart w:id="7" w:name="_Toc61284"/>
      <w:r>
        <w:t xml:space="preserve">1.1 Climate change and agriculture </w:t>
      </w:r>
      <w:bookmarkEnd w:id="7"/>
    </w:p>
    <w:p w:rsidR="002116B0" w:rsidRDefault="00FF7F9F">
      <w:pPr>
        <w:spacing w:line="479" w:lineRule="auto"/>
        <w:ind w:left="-5" w:right="431"/>
      </w:pPr>
      <w:r>
        <w:t xml:space="preserve">Climate change (CC) </w:t>
      </w:r>
      <w:r>
        <w:t xml:space="preserve">is a global challenge to development whose onset is largely indefinite (Simpson and </w:t>
      </w:r>
      <w:proofErr w:type="spellStart"/>
      <w:r>
        <w:t>Burpee</w:t>
      </w:r>
      <w:proofErr w:type="spellEnd"/>
      <w:r>
        <w:t>, 2014). It has direct and indirect impacts on health, agriculture and water availability which affect rural livelihood negatively (</w:t>
      </w:r>
      <w:proofErr w:type="spellStart"/>
      <w:r>
        <w:t>Osbahr</w:t>
      </w:r>
      <w:proofErr w:type="spellEnd"/>
      <w:r>
        <w:t xml:space="preserve"> et al., 2011). The impacts </w:t>
      </w:r>
      <w:r>
        <w:t>to exert pressure on the world’s vulnerable food system that has a complex relationship with the environment, social and economic systems (Bruce et al., 1996) and may be catastrophic if timely actions are relinquished. Vulnerability to CC impacts is worsen</w:t>
      </w:r>
      <w:r>
        <w:t xml:space="preserve"> by extreme poverty in developing countries (</w:t>
      </w:r>
      <w:proofErr w:type="spellStart"/>
      <w:r>
        <w:t>Sietz</w:t>
      </w:r>
      <w:proofErr w:type="spellEnd"/>
      <w:r>
        <w:t xml:space="preserve"> et al., 2008). Agriculture and livestock production are not only affected by CC, but the sectors also contribute immensely to the problem of CC since their activities are key triggers of environmental degr</w:t>
      </w:r>
      <w:r>
        <w:t xml:space="preserve">adation and carbon dioxide emissions (Simpson and </w:t>
      </w:r>
      <w:proofErr w:type="spellStart"/>
      <w:r>
        <w:t>Burpee</w:t>
      </w:r>
      <w:proofErr w:type="spellEnd"/>
      <w:r>
        <w:t xml:space="preserve">, 2014). </w:t>
      </w:r>
    </w:p>
    <w:p w:rsidR="002116B0" w:rsidRDefault="00FF7F9F">
      <w:pPr>
        <w:spacing w:after="168" w:line="476" w:lineRule="auto"/>
        <w:ind w:left="-5" w:right="430"/>
      </w:pPr>
      <w:r>
        <w:t xml:space="preserve">The vulnerability of the agricultural sector in Africa to climate </w:t>
      </w:r>
      <w:proofErr w:type="spellStart"/>
      <w:r>
        <w:t>varability</w:t>
      </w:r>
      <w:proofErr w:type="spellEnd"/>
      <w:r>
        <w:t xml:space="preserve"> is exacerbated further by interaction of compound stresses and existing developmental challenges such as widespre</w:t>
      </w:r>
      <w:r>
        <w:t>ad poverty; intricate governance and institutional dimensions; limited access to capital and markets; inadequate infrastructure and technology; ecosystem degradation; and complex disasters and conflicts. Vulnerability of farm households and agricultural se</w:t>
      </w:r>
      <w:r>
        <w:t xml:space="preserve">ctor could be reduced through various climate adaptation strategies (Simpson and </w:t>
      </w:r>
      <w:proofErr w:type="spellStart"/>
      <w:r>
        <w:t>Burpee</w:t>
      </w:r>
      <w:proofErr w:type="spellEnd"/>
      <w:r>
        <w:t xml:space="preserve">, 2014) such as use of seasonal weather forecast, climate information and economical farm management practices and technologies. Provision of climate </w:t>
      </w:r>
      <w:proofErr w:type="spellStart"/>
      <w:r>
        <w:t>infomation</w:t>
      </w:r>
      <w:proofErr w:type="spellEnd"/>
      <w:r>
        <w:t xml:space="preserve"> offers a</w:t>
      </w:r>
      <w:r>
        <w:t xml:space="preserve"> potential to modify agricultural management decisions such as land preparation, planting decisions and choice of crop to expected climatic variations to reduce adverse impacts or take advantage of </w:t>
      </w:r>
      <w:proofErr w:type="spellStart"/>
      <w:r>
        <w:t>favourable</w:t>
      </w:r>
      <w:proofErr w:type="spellEnd"/>
      <w:r>
        <w:t xml:space="preserve"> conditions (Hansen and </w:t>
      </w:r>
      <w:proofErr w:type="spellStart"/>
      <w:r>
        <w:t>Indeje</w:t>
      </w:r>
      <w:proofErr w:type="spellEnd"/>
      <w:r>
        <w:t xml:space="preserve">, 2004). </w:t>
      </w:r>
    </w:p>
    <w:p w:rsidR="002116B0" w:rsidRDefault="00FF7F9F">
      <w:pPr>
        <w:spacing w:after="293"/>
        <w:ind w:left="-5" w:right="10"/>
      </w:pPr>
      <w:r>
        <w:t>Projecti</w:t>
      </w:r>
      <w:r>
        <w:t>on point out that global mean temperatures will rise by about 1.5</w:t>
      </w:r>
      <w:r>
        <w:rPr>
          <w:vertAlign w:val="superscript"/>
        </w:rPr>
        <w:t>o</w:t>
      </w:r>
      <w:r>
        <w:t>C to 4.5</w:t>
      </w:r>
      <w:r>
        <w:rPr>
          <w:vertAlign w:val="superscript"/>
        </w:rPr>
        <w:t>o</w:t>
      </w:r>
      <w:r>
        <w:t xml:space="preserve">C (Field, 2012). </w:t>
      </w:r>
    </w:p>
    <w:p w:rsidR="002116B0" w:rsidRDefault="00FF7F9F">
      <w:pPr>
        <w:spacing w:line="485" w:lineRule="auto"/>
        <w:ind w:left="-5" w:right="10"/>
      </w:pPr>
      <w:r>
        <w:lastRenderedPageBreak/>
        <w:t xml:space="preserve">In the past sixty years, the average global air temperature rose by about </w:t>
      </w:r>
      <w:proofErr w:type="gramStart"/>
      <w:r>
        <w:t>0.6</w:t>
      </w:r>
      <w:r>
        <w:rPr>
          <w:vertAlign w:val="superscript"/>
        </w:rPr>
        <w:t>0</w:t>
      </w:r>
      <w:r>
        <w:t>C  (</w:t>
      </w:r>
      <w:proofErr w:type="gramEnd"/>
      <w:r>
        <w:t xml:space="preserve">Field, 2012). The increase in temperature is anticipated to trigger </w:t>
      </w:r>
      <w:r>
        <w:t xml:space="preserve">changes in the onset and lengths of seasons and duration of rainy days which will sequentially alter the timing of plant flowering, plant </w:t>
      </w:r>
      <w:proofErr w:type="spellStart"/>
      <w:r>
        <w:t>polinator</w:t>
      </w:r>
      <w:proofErr w:type="spellEnd"/>
      <w:r>
        <w:t xml:space="preserve"> and pest </w:t>
      </w:r>
      <w:proofErr w:type="spellStart"/>
      <w:proofErr w:type="gramStart"/>
      <w:r>
        <w:t>relatonship</w:t>
      </w:r>
      <w:proofErr w:type="spellEnd"/>
      <w:r>
        <w:t xml:space="preserve">  (</w:t>
      </w:r>
      <w:proofErr w:type="gramEnd"/>
      <w:r>
        <w:t xml:space="preserve">Simpson and </w:t>
      </w:r>
      <w:proofErr w:type="spellStart"/>
      <w:r>
        <w:t>Burpee</w:t>
      </w:r>
      <w:proofErr w:type="spellEnd"/>
      <w:r>
        <w:t>, 2014). In Africa, CC is predicted to modify the water cycle. Most</w:t>
      </w:r>
      <w:r>
        <w:t xml:space="preserve"> climate models forecast a reduction in precipitation which means a decline in available surface water and river runoff (</w:t>
      </w:r>
      <w:proofErr w:type="spellStart"/>
      <w:r>
        <w:t>Sietz</w:t>
      </w:r>
      <w:proofErr w:type="spellEnd"/>
      <w:r>
        <w:t xml:space="preserve"> et al., 2008) hence an upsurge water scarcity and severity of droughts. Some of the models approximate a temperature rise of abou</w:t>
      </w:r>
      <w:r>
        <w:t>t 3</w:t>
      </w:r>
      <w:r>
        <w:rPr>
          <w:vertAlign w:val="superscript"/>
        </w:rPr>
        <w:t>o</w:t>
      </w:r>
      <w:r>
        <w:t>C to 4</w:t>
      </w:r>
      <w:r>
        <w:rPr>
          <w:vertAlign w:val="superscript"/>
        </w:rPr>
        <w:t>o</w:t>
      </w:r>
      <w:r>
        <w:t>C by the end of the 21</w:t>
      </w:r>
      <w:r>
        <w:rPr>
          <w:vertAlign w:val="superscript"/>
        </w:rPr>
        <w:t>st</w:t>
      </w:r>
      <w:r>
        <w:t xml:space="preserve"> century. </w:t>
      </w:r>
    </w:p>
    <w:p w:rsidR="002116B0" w:rsidRDefault="00FF7F9F">
      <w:pPr>
        <w:spacing w:line="477" w:lineRule="auto"/>
        <w:ind w:left="-5" w:right="431"/>
      </w:pPr>
      <w:r>
        <w:t>Bryan et al. (2013) estimate that the combined effect of temperature rise and decline in precipitation would intensify evapotranspiration which would reduce yield of crops such as  maize, sorghum, millet, groun</w:t>
      </w:r>
      <w:r>
        <w:t xml:space="preserve">dnut and cassava by about 8% to 22% by 2050 in Africa. Agriculture in Sub Sahara Africa  (SSA) </w:t>
      </w:r>
      <w:proofErr w:type="spellStart"/>
      <w:r>
        <w:t>contibute</w:t>
      </w:r>
      <w:proofErr w:type="spellEnd"/>
      <w:r>
        <w:t xml:space="preserve"> 33% of the region’s gross domestic product (GDP), 66% of its </w:t>
      </w:r>
      <w:proofErr w:type="spellStart"/>
      <w:r>
        <w:t>labour</w:t>
      </w:r>
      <w:proofErr w:type="spellEnd"/>
      <w:r>
        <w:t xml:space="preserve"> force and 40% of its exports thus alterations in climate especially temperature inc</w:t>
      </w:r>
      <w:r>
        <w:t>rease could undermine the basis of these economies and lead the region into destitution (</w:t>
      </w:r>
      <w:proofErr w:type="spellStart"/>
      <w:r>
        <w:t>Ikeme</w:t>
      </w:r>
      <w:proofErr w:type="spellEnd"/>
      <w:r>
        <w:t xml:space="preserve">, 2003).   </w:t>
      </w:r>
    </w:p>
    <w:p w:rsidR="002116B0" w:rsidRDefault="00FF7F9F">
      <w:pPr>
        <w:spacing w:after="120" w:line="480" w:lineRule="auto"/>
        <w:ind w:left="-5" w:right="431"/>
      </w:pPr>
      <w:r>
        <w:t>Kenya’s rural economy is dependent on rain fed agriculture which is susceptible to climate variability (</w:t>
      </w:r>
      <w:proofErr w:type="spellStart"/>
      <w:r>
        <w:t>Mogaka</w:t>
      </w:r>
      <w:proofErr w:type="spellEnd"/>
      <w:r>
        <w:t>, 2006). Climate variability in Kenya is</w:t>
      </w:r>
      <w:r>
        <w:t xml:space="preserve"> likely to have substantial effect on agriculture and livestock productivity and revenue.  Global circulation models project that Kenya would face temperature increase of about 3.5</w:t>
      </w:r>
      <w:r>
        <w:rPr>
          <w:vertAlign w:val="superscript"/>
        </w:rPr>
        <w:t>o</w:t>
      </w:r>
      <w:r>
        <w:t>C to 4</w:t>
      </w:r>
      <w:r>
        <w:rPr>
          <w:vertAlign w:val="superscript"/>
        </w:rPr>
        <w:t>o</w:t>
      </w:r>
      <w:r>
        <w:t>C and rainfall variability of up to 20% by 2030 (</w:t>
      </w:r>
      <w:proofErr w:type="spellStart"/>
      <w:r>
        <w:t>Kabubo-Mariara</w:t>
      </w:r>
      <w:proofErr w:type="spellEnd"/>
      <w:r>
        <w:t xml:space="preserve"> and </w:t>
      </w:r>
      <w:proofErr w:type="spellStart"/>
      <w:r>
        <w:t>Karanja</w:t>
      </w:r>
      <w:proofErr w:type="spellEnd"/>
      <w:r>
        <w:t>, 2007). Canadian Climate Model predicts a shortfall of revenue of about 1% (US$3.54 per hectare) and 21.5% (US$54 per hectare) in high and medium potential crop areas respectively by 2030 whereas Geophysical Fluid Dynamics Laboratory (GFDL) forecas</w:t>
      </w:r>
      <w:r>
        <w:t>ts loss of revenues of about US$32 per hectare in high potential and about US$178 loss in medium and low potential zones by the year 2030. Quantitative crop yield projections under CC scenarios for Kenya differ across studies due to application of differen</w:t>
      </w:r>
      <w:r>
        <w:t xml:space="preserve">t models, assumptions and emission scenarios. </w:t>
      </w:r>
      <w:r>
        <w:lastRenderedPageBreak/>
        <w:t xml:space="preserve">However bulk of the studies predicts a decline in yields with CC for Kenya’s staple crops; maize and beans. </w:t>
      </w:r>
    </w:p>
    <w:p w:rsidR="002116B0" w:rsidRDefault="00FF7F9F">
      <w:pPr>
        <w:spacing w:after="186" w:line="477" w:lineRule="auto"/>
        <w:ind w:left="-5" w:right="432"/>
      </w:pPr>
      <w:r>
        <w:t xml:space="preserve">The Government of Kenya (GOK) faces a challenge of feeding its population of about 50 million taking </w:t>
      </w:r>
      <w:r>
        <w:t>into account the declining agricultural productivity and envisaged impacts of climate variability on agriculture (</w:t>
      </w:r>
      <w:proofErr w:type="spellStart"/>
      <w:r>
        <w:t>Kabubo-Mariara</w:t>
      </w:r>
      <w:proofErr w:type="spellEnd"/>
      <w:r>
        <w:t xml:space="preserve"> and </w:t>
      </w:r>
      <w:proofErr w:type="spellStart"/>
      <w:r>
        <w:t>Karanja</w:t>
      </w:r>
      <w:proofErr w:type="spellEnd"/>
      <w:r>
        <w:t>, 2007). Government’s effort to increase productivity is undermined by volatile climate variability whose effects ar</w:t>
      </w:r>
      <w:r>
        <w:t xml:space="preserve">e severe in the Arid and Semi-Arid Lands (ASALs) where </w:t>
      </w:r>
      <w:proofErr w:type="spellStart"/>
      <w:r>
        <w:t>Machakos</w:t>
      </w:r>
      <w:proofErr w:type="spellEnd"/>
      <w:r>
        <w:t xml:space="preserve"> County is situated consequently causing longstanding food insecurity, water and energy shortages and rendering the area unsuitable for farming certain food crops (Oppenheimer, 2013).  As a res</w:t>
      </w:r>
      <w:r>
        <w:t xml:space="preserve">ult GOK devised and initiated Strategy for Revitalizing Agriculture (SRA) for execution in 2004 under agricultural sector policies to </w:t>
      </w:r>
      <w:proofErr w:type="gramStart"/>
      <w:r>
        <w:t>spearhead  sustainable</w:t>
      </w:r>
      <w:proofErr w:type="gramEnd"/>
      <w:r>
        <w:t xml:space="preserve"> utilization of ASALs through several climate change adaptation (CCA) strategies such as irrigation </w:t>
      </w:r>
      <w:r>
        <w:t>development, water harvesting, agro-forestry, development and promotion of early maturing crops, drought and pest tolerant crop varieties and improved livestock marketing (</w:t>
      </w:r>
      <w:proofErr w:type="spellStart"/>
      <w:r>
        <w:t>Ndambiri</w:t>
      </w:r>
      <w:proofErr w:type="spellEnd"/>
      <w:r>
        <w:t xml:space="preserve"> et al., 2013).  </w:t>
      </w:r>
    </w:p>
    <w:p w:rsidR="002116B0" w:rsidRDefault="00FF7F9F">
      <w:pPr>
        <w:pStyle w:val="Heading3"/>
        <w:ind w:left="-5"/>
      </w:pPr>
      <w:bookmarkStart w:id="8" w:name="_Toc61285"/>
      <w:r>
        <w:t xml:space="preserve">1.2 Overview of climate change adaptation (CCA) </w:t>
      </w:r>
      <w:bookmarkEnd w:id="8"/>
    </w:p>
    <w:p w:rsidR="002116B0" w:rsidRDefault="00FF7F9F">
      <w:pPr>
        <w:spacing w:after="171" w:line="476" w:lineRule="auto"/>
        <w:ind w:left="-5" w:right="433"/>
      </w:pPr>
      <w:r>
        <w:t>The impacts of CC on society and the environment are global problems for public policy and decision-making (</w:t>
      </w:r>
      <w:proofErr w:type="spellStart"/>
      <w:r>
        <w:t>Dessai</w:t>
      </w:r>
      <w:proofErr w:type="spellEnd"/>
      <w:r>
        <w:t xml:space="preserve"> et al., 2009). Given the inherent difficulty of avoiding CC, adaptation is perceived as a way of countering the anticipated impacts of long-t</w:t>
      </w:r>
      <w:r>
        <w:t>erm CC on various sectors of the economy (</w:t>
      </w:r>
      <w:proofErr w:type="spellStart"/>
      <w:r>
        <w:t>Kabubo-Mariara</w:t>
      </w:r>
      <w:proofErr w:type="spellEnd"/>
      <w:r>
        <w:t xml:space="preserve"> and </w:t>
      </w:r>
      <w:proofErr w:type="spellStart"/>
      <w:r>
        <w:t>Karanja</w:t>
      </w:r>
      <w:proofErr w:type="spellEnd"/>
      <w:r>
        <w:t>, 2007). Individual and societal adaptations to CC is an old phenomenon, historically stimulated by resource scarcities and irregularities posed by different climates and weather variabili</w:t>
      </w:r>
      <w:r>
        <w:t>ty (</w:t>
      </w:r>
      <w:proofErr w:type="spellStart"/>
      <w:r>
        <w:t>Adger</w:t>
      </w:r>
      <w:proofErr w:type="spellEnd"/>
      <w:r>
        <w:t xml:space="preserve"> et al., 2009). </w:t>
      </w:r>
      <w:proofErr w:type="spellStart"/>
      <w:r>
        <w:t>Dessai</w:t>
      </w:r>
      <w:proofErr w:type="spellEnd"/>
      <w:r>
        <w:t xml:space="preserve"> et al. (2009) argue that adaptation could help address vulnerability without requiring accurate probabilistic predictions. International climate politics advocate for adaptation and mitigation as ways of reducing vulnerabili</w:t>
      </w:r>
      <w:r>
        <w:t>ty and enhancing resilience of agricultural systems and closely relate it to sustainable development (</w:t>
      </w:r>
      <w:proofErr w:type="spellStart"/>
      <w:r>
        <w:t>Adger</w:t>
      </w:r>
      <w:proofErr w:type="spellEnd"/>
      <w:r>
        <w:t xml:space="preserve"> et al., 2009).  </w:t>
      </w:r>
    </w:p>
    <w:p w:rsidR="002116B0" w:rsidRDefault="00FF7F9F">
      <w:pPr>
        <w:spacing w:line="477" w:lineRule="auto"/>
        <w:ind w:left="-5" w:right="433"/>
      </w:pPr>
      <w:r>
        <w:lastRenderedPageBreak/>
        <w:t>Climate change adaptation (CCA) denotes ‘adjustment by the affected natural or human systems in response to actual or expected clim</w:t>
      </w:r>
      <w:r>
        <w:t>ate stimuli or their effects, in order to moderate harm or to benefit from opportunities associated with CC (</w:t>
      </w:r>
      <w:proofErr w:type="spellStart"/>
      <w:r>
        <w:t>Grothmann</w:t>
      </w:r>
      <w:proofErr w:type="spellEnd"/>
      <w:r>
        <w:t xml:space="preserve"> and </w:t>
      </w:r>
      <w:proofErr w:type="spellStart"/>
      <w:r>
        <w:t>Patt</w:t>
      </w:r>
      <w:proofErr w:type="spellEnd"/>
      <w:r>
        <w:t xml:space="preserve">, 2005, </w:t>
      </w:r>
      <w:proofErr w:type="spellStart"/>
      <w:r>
        <w:t>Adger</w:t>
      </w:r>
      <w:proofErr w:type="spellEnd"/>
      <w:r>
        <w:t xml:space="preserve"> et al., 2009, Field, 2012). Adaptations consist of actions throughout the society by individuals, groups and govern</w:t>
      </w:r>
      <w:r>
        <w:t xml:space="preserve">ments which may involve both building adaptive capacity and implementing adaptation decisions (Raymond and </w:t>
      </w:r>
      <w:proofErr w:type="spellStart"/>
      <w:r>
        <w:t>Spoehr</w:t>
      </w:r>
      <w:proofErr w:type="spellEnd"/>
      <w:r>
        <w:t>, 2013). Adaptation need the participation of many stakeholders, including farmers, policymakers, extension agents, NGOs, researchers, communit</w:t>
      </w:r>
      <w:r>
        <w:t xml:space="preserve">ies and the private sector (Bryan et al., 2013). “CCA planning and implementation require governance at all scales even though most adaptation activities have different goals and are inclined towards smaller scales’’ (Oppenheimer, 2013). </w:t>
      </w:r>
    </w:p>
    <w:p w:rsidR="002116B0" w:rsidRDefault="00FF7F9F">
      <w:pPr>
        <w:spacing w:line="477" w:lineRule="auto"/>
        <w:ind w:left="-5" w:right="431"/>
      </w:pPr>
      <w:r>
        <w:t xml:space="preserve">According to </w:t>
      </w:r>
      <w:proofErr w:type="spellStart"/>
      <w:r>
        <w:t>Adge</w:t>
      </w:r>
      <w:r>
        <w:t>r</w:t>
      </w:r>
      <w:proofErr w:type="spellEnd"/>
      <w:r>
        <w:t xml:space="preserve"> et al. (2009) the goals of CCA varies amongst development agents such as researchers and extension officers.  The goal dissimilarities amongst stakeholders in CCA may constrain global adaptation and mitigation process (Oppenheimer, 2013). For some develo</w:t>
      </w:r>
      <w:r>
        <w:t>pment agents’ CCA requires maintenance of status quo, while for others the current state is undesirable and hence there is need for technological innovations. Wealthier groups may strive for maintenance of their status quo or standard of living through ada</w:t>
      </w:r>
      <w:r>
        <w:t xml:space="preserve">ptation, poor populations may concentrate on improving their present circumstances while CCA priority </w:t>
      </w:r>
      <w:proofErr w:type="spellStart"/>
      <w:r>
        <w:t>marginalised</w:t>
      </w:r>
      <w:proofErr w:type="spellEnd"/>
      <w:r>
        <w:t xml:space="preserve"> societies may aim at securing livelihoods or protecting assets from adverse effects and risks associated with climate variability (</w:t>
      </w:r>
      <w:proofErr w:type="spellStart"/>
      <w:r>
        <w:t>Adger</w:t>
      </w:r>
      <w:proofErr w:type="spellEnd"/>
      <w:r>
        <w:t xml:space="preserve"> et a</w:t>
      </w:r>
      <w:r>
        <w:t xml:space="preserve">l., 2009).  </w:t>
      </w:r>
    </w:p>
    <w:p w:rsidR="002116B0" w:rsidRDefault="00FF7F9F">
      <w:pPr>
        <w:pStyle w:val="Heading3"/>
        <w:ind w:left="-5"/>
      </w:pPr>
      <w:bookmarkStart w:id="9" w:name="_Toc61286"/>
      <w:r>
        <w:t xml:space="preserve">1.3 Problem statement </w:t>
      </w:r>
      <w:bookmarkEnd w:id="9"/>
    </w:p>
    <w:p w:rsidR="002116B0" w:rsidRDefault="00FF7F9F">
      <w:pPr>
        <w:spacing w:line="483" w:lineRule="auto"/>
        <w:ind w:left="-5" w:right="433"/>
      </w:pPr>
      <w:r>
        <w:t>Agricultural Extension and Advisory Services (AEAS) and their effective functioning play a critical role in mainstreaming climate change adaptation objectives. Successful CCA needs participation of all AEAS providers’ fr</w:t>
      </w:r>
      <w:r>
        <w:t xml:space="preserve">om both the private and public sectors to design and implement adaptive measures. Previous study by </w:t>
      </w:r>
      <w:proofErr w:type="spellStart"/>
      <w:r>
        <w:t>Ndambiri</w:t>
      </w:r>
      <w:proofErr w:type="spellEnd"/>
      <w:r>
        <w:t xml:space="preserve"> et al. (2013) in Kenya established that farmers access to </w:t>
      </w:r>
      <w:r>
        <w:lastRenderedPageBreak/>
        <w:t>information on climate change through the AEAS significantly influence the probability of</w:t>
      </w:r>
      <w:r>
        <w:t xml:space="preserve"> farmers to perceive and or adapt to CC. </w:t>
      </w:r>
    </w:p>
    <w:p w:rsidR="002116B0" w:rsidRDefault="00FF7F9F">
      <w:pPr>
        <w:spacing w:after="165" w:line="476" w:lineRule="auto"/>
        <w:ind w:left="-5" w:right="431"/>
      </w:pPr>
      <w:r>
        <w:t>However, the existing knowledge of adaptation and adaptive capacity in sub-Sahara counties may be unsatisfactory for reliable projection of adaptation and adaptive capacity and insufficient for implementing, evalua</w:t>
      </w:r>
      <w:r>
        <w:t>ting and planning adaptation options, measures and policies (</w:t>
      </w:r>
      <w:proofErr w:type="spellStart"/>
      <w:r>
        <w:t>Ikeme</w:t>
      </w:r>
      <w:proofErr w:type="spellEnd"/>
      <w:r>
        <w:t>, 2003, Jarvis et al., 2011). Agricultural extension and advisory services in Kenya may have inadequate capacity to facilitate climate change adaptation thus an institutional barrier. Instit</w:t>
      </w:r>
      <w:r>
        <w:t xml:space="preserve">utional barriers relate to how formal and informal institutions influence CCA (Raymond and </w:t>
      </w:r>
      <w:proofErr w:type="spellStart"/>
      <w:r>
        <w:t>Spoehr</w:t>
      </w:r>
      <w:proofErr w:type="spellEnd"/>
      <w:r>
        <w:t>, 2013) and often include lack of human resources within relevant institutions such as AEAS, insufficient data and information availability, inadequate data an</w:t>
      </w:r>
      <w:r>
        <w:t>d information dissemination (</w:t>
      </w:r>
      <w:proofErr w:type="spellStart"/>
      <w:r>
        <w:t>Sietz</w:t>
      </w:r>
      <w:proofErr w:type="spellEnd"/>
      <w:r>
        <w:t xml:space="preserve"> et al., 2008).  </w:t>
      </w:r>
    </w:p>
    <w:p w:rsidR="002116B0" w:rsidRDefault="00FF7F9F">
      <w:pPr>
        <w:spacing w:line="477" w:lineRule="auto"/>
        <w:ind w:left="-5" w:right="428"/>
      </w:pPr>
      <w:r>
        <w:t>Uptake of CCA recommendations depend on individual extension officer’s ability to effectively communicate to farmers alternative adaptive measures that increase their production and economic outcomes give</w:t>
      </w:r>
      <w:r>
        <w:t xml:space="preserve">n the risk posed by climate change (Hansen and </w:t>
      </w:r>
      <w:proofErr w:type="spellStart"/>
      <w:r>
        <w:t>Indeje</w:t>
      </w:r>
      <w:proofErr w:type="spellEnd"/>
      <w:r>
        <w:t>, 2004). The capacity of the AEAS to successfully facilitate CCA is based on extension officers’ experience, perceptions, knowledge, technical skills and the organizational environment in which people ap</w:t>
      </w:r>
      <w:r>
        <w:t>ply their skills (</w:t>
      </w:r>
      <w:proofErr w:type="spellStart"/>
      <w:r>
        <w:t>Sietz</w:t>
      </w:r>
      <w:proofErr w:type="spellEnd"/>
      <w:r>
        <w:t xml:space="preserve"> et al., 2008). Extension officers may however possess divergent perceptions on climate change due to different approaches to climate science and politics which motivates their knowledge claims thus creating information disparity on </w:t>
      </w:r>
      <w:r>
        <w:t xml:space="preserve">the climate change adaptation strategies promoted by the extension officers.  </w:t>
      </w:r>
    </w:p>
    <w:p w:rsidR="002116B0" w:rsidRDefault="00FF7F9F">
      <w:pPr>
        <w:spacing w:after="185" w:line="478" w:lineRule="auto"/>
        <w:ind w:left="-5" w:right="431"/>
      </w:pPr>
      <w:r>
        <w:t xml:space="preserve">Extension officers’ perceptions on CC is shaped by contested scientific </w:t>
      </w:r>
      <w:r>
        <w:t xml:space="preserve">knowledge, attributions of liability and political activism alongside beliefs and values through which individuals make recommendations (Raymond and </w:t>
      </w:r>
      <w:proofErr w:type="spellStart"/>
      <w:r>
        <w:t>Spoehr</w:t>
      </w:r>
      <w:proofErr w:type="spellEnd"/>
      <w:r>
        <w:t>, 2013). Inadequate agricultural extension and advisory facilities could interpreted as a lost opport</w:t>
      </w:r>
      <w:r>
        <w:t xml:space="preserve">unity at best and at worst a social cost to farmers who may remain ignorant of simple climate adaptation measures such as right time of planting and use of </w:t>
      </w:r>
      <w:r>
        <w:lastRenderedPageBreak/>
        <w:t>drought-resistant crop varieties (</w:t>
      </w:r>
      <w:proofErr w:type="spellStart"/>
      <w:r>
        <w:t>Ikeme</w:t>
      </w:r>
      <w:proofErr w:type="spellEnd"/>
      <w:r>
        <w:t>, 2003). Imprecise information on climate change may be refle</w:t>
      </w:r>
      <w:r>
        <w:t>cted as incapability of AEAS to facilitate CCA resulting in dissemination of CC maladaptation to farmers which are socially and economically costly interventions when time and money are scarce. Understanding extension officers’ perceptions of CC in compari</w:t>
      </w:r>
      <w:r>
        <w:t xml:space="preserve">son to actual climate data and their adaptation recommendations as well as factors driving their </w:t>
      </w:r>
      <w:proofErr w:type="spellStart"/>
      <w:r>
        <w:t>decisionmaking</w:t>
      </w:r>
      <w:proofErr w:type="spellEnd"/>
      <w:r>
        <w:t xml:space="preserve"> process help in assessing the capacity of the agricultural extension and advisory services to support CCA which is essential to guide policies a</w:t>
      </w:r>
      <w:r>
        <w:t xml:space="preserve">imed at encouraging adaptation in the agricultural sector. </w:t>
      </w:r>
    </w:p>
    <w:p w:rsidR="002116B0" w:rsidRDefault="00FF7F9F">
      <w:pPr>
        <w:pStyle w:val="Heading3"/>
        <w:ind w:left="-5"/>
      </w:pPr>
      <w:bookmarkStart w:id="10" w:name="_Toc61287"/>
      <w:r>
        <w:t xml:space="preserve">1.4 Research objectives and Research questions </w:t>
      </w:r>
      <w:bookmarkEnd w:id="10"/>
    </w:p>
    <w:p w:rsidR="002116B0" w:rsidRDefault="00FF7F9F">
      <w:pPr>
        <w:pStyle w:val="Heading5"/>
        <w:ind w:left="-5" w:right="0"/>
      </w:pPr>
      <w:r>
        <w:t xml:space="preserve">Research objectives </w:t>
      </w:r>
    </w:p>
    <w:p w:rsidR="002116B0" w:rsidRDefault="00FF7F9F">
      <w:pPr>
        <w:numPr>
          <w:ilvl w:val="0"/>
          <w:numId w:val="2"/>
        </w:numPr>
        <w:spacing w:after="169" w:line="475" w:lineRule="auto"/>
        <w:ind w:right="434" w:hanging="360"/>
      </w:pPr>
      <w:r>
        <w:t>Assess the perceptions of extension officers on climate change and variability and compare the perceptions to climate variabili</w:t>
      </w:r>
      <w:r>
        <w:t xml:space="preserve">ty as depicted by climate data. </w:t>
      </w:r>
    </w:p>
    <w:p w:rsidR="002116B0" w:rsidRDefault="00FF7F9F">
      <w:pPr>
        <w:numPr>
          <w:ilvl w:val="0"/>
          <w:numId w:val="2"/>
        </w:numPr>
        <w:spacing w:line="476" w:lineRule="auto"/>
        <w:ind w:right="434" w:hanging="360"/>
      </w:pPr>
      <w:r>
        <w:t xml:space="preserve">Investigate the climate change adaptation recommendations made by the extension officers to enable farmers adapt to climate variability and assess factors that influence the recommendations options. </w:t>
      </w:r>
    </w:p>
    <w:p w:rsidR="002116B0" w:rsidRDefault="00FF7F9F">
      <w:pPr>
        <w:pStyle w:val="Heading5"/>
        <w:ind w:left="-5" w:right="0"/>
      </w:pPr>
      <w:r>
        <w:t xml:space="preserve">Research questions  </w:t>
      </w:r>
    </w:p>
    <w:p w:rsidR="002116B0" w:rsidRDefault="00FF7F9F">
      <w:pPr>
        <w:numPr>
          <w:ilvl w:val="0"/>
          <w:numId w:val="3"/>
        </w:numPr>
        <w:spacing w:line="475" w:lineRule="auto"/>
        <w:ind w:right="426" w:hanging="360"/>
      </w:pPr>
      <w:r>
        <w:t>Wh</w:t>
      </w:r>
      <w:r>
        <w:t xml:space="preserve">at are the perceptions of extension officers on CC? Are the perceptions of extension agents consistent with actual climate data?  </w:t>
      </w:r>
    </w:p>
    <w:p w:rsidR="002116B0" w:rsidRDefault="00FF7F9F">
      <w:pPr>
        <w:numPr>
          <w:ilvl w:val="0"/>
          <w:numId w:val="3"/>
        </w:numPr>
        <w:spacing w:after="200"/>
        <w:ind w:right="426" w:hanging="360"/>
      </w:pPr>
      <w:r>
        <w:t xml:space="preserve">What are the current CC adaptation recommendations made by the extension officers?  </w:t>
      </w:r>
    </w:p>
    <w:p w:rsidR="002116B0" w:rsidRDefault="00FF7F9F">
      <w:pPr>
        <w:spacing w:after="433"/>
        <w:ind w:left="730" w:right="10"/>
      </w:pPr>
      <w:r>
        <w:t>What are the factors that influence thes</w:t>
      </w:r>
      <w:r>
        <w:t xml:space="preserve">e CC adaptation recommendations? </w:t>
      </w:r>
    </w:p>
    <w:p w:rsidR="002116B0" w:rsidRDefault="00FF7F9F">
      <w:pPr>
        <w:pStyle w:val="Heading3"/>
        <w:ind w:left="-5"/>
      </w:pPr>
      <w:bookmarkStart w:id="11" w:name="_Toc61288"/>
      <w:r>
        <w:t xml:space="preserve">1.5 Dissertation structure </w:t>
      </w:r>
      <w:bookmarkEnd w:id="11"/>
    </w:p>
    <w:p w:rsidR="002116B0" w:rsidRDefault="00FF7F9F">
      <w:pPr>
        <w:spacing w:after="62" w:line="483" w:lineRule="auto"/>
        <w:ind w:left="-5" w:right="430"/>
      </w:pPr>
      <w:r>
        <w:t>The dissertation is organized into six chapters. Chapter one is the gives a general overview of CC adaptation and objectives of the study. Chapter two presents the literature review of the topic</w:t>
      </w:r>
      <w:r>
        <w:t xml:space="preserve">. In </w:t>
      </w:r>
      <w:r>
        <w:lastRenderedPageBreak/>
        <w:t>chapter three describes the methodology that was used. In chapter four explains results and discusses extension officers’ perceptions on CC in relation to climate data.  Chapter five represents results and discussions on extension officers’ CC adaptat</w:t>
      </w:r>
      <w:r>
        <w:t xml:space="preserve">ion recommendations. Chapter </w:t>
      </w:r>
    </w:p>
    <w:p w:rsidR="002116B0" w:rsidRDefault="00FF7F9F">
      <w:pPr>
        <w:tabs>
          <w:tab w:val="center" w:pos="7787"/>
        </w:tabs>
        <w:ind w:left="-15" w:firstLine="0"/>
        <w:jc w:val="left"/>
      </w:pPr>
      <w:proofErr w:type="gramStart"/>
      <w:r>
        <w:t>six</w:t>
      </w:r>
      <w:proofErr w:type="gramEnd"/>
      <w:r>
        <w:t xml:space="preserve"> presents the conclusions and recommendations. </w:t>
      </w:r>
      <w:r>
        <w:tab/>
      </w:r>
      <w:r>
        <w:rPr>
          <w:b/>
          <w:sz w:val="32"/>
        </w:rPr>
        <w:t xml:space="preserve"> </w:t>
      </w:r>
      <w:r>
        <w:br w:type="page"/>
      </w:r>
    </w:p>
    <w:p w:rsidR="002116B0" w:rsidRDefault="00FF7F9F">
      <w:pPr>
        <w:pStyle w:val="Heading1"/>
        <w:spacing w:after="431"/>
        <w:ind w:left="578" w:right="1003"/>
        <w:jc w:val="center"/>
      </w:pPr>
      <w:bookmarkStart w:id="12" w:name="_Toc61289"/>
      <w:r>
        <w:lastRenderedPageBreak/>
        <w:t xml:space="preserve">CHAPTER 2: LITERATURE REVIEW </w:t>
      </w:r>
      <w:bookmarkEnd w:id="12"/>
    </w:p>
    <w:p w:rsidR="002116B0" w:rsidRDefault="00FF7F9F">
      <w:pPr>
        <w:pStyle w:val="Heading3"/>
        <w:ind w:left="-5"/>
      </w:pPr>
      <w:bookmarkStart w:id="13" w:name="_Toc61290"/>
      <w:r>
        <w:t xml:space="preserve">2.1 Introduction  </w:t>
      </w:r>
      <w:bookmarkEnd w:id="13"/>
    </w:p>
    <w:p w:rsidR="002116B0" w:rsidRDefault="00FF7F9F">
      <w:pPr>
        <w:spacing w:after="188" w:line="476" w:lineRule="auto"/>
        <w:ind w:left="-5" w:right="430"/>
      </w:pPr>
      <w:r>
        <w:t xml:space="preserve">This chapter presents on the second section different pieces of research that have been done on CC </w:t>
      </w:r>
      <w:r>
        <w:t xml:space="preserve">adaptation in the past. The third section describes the role of agricultural extension service in different part of Africa and the fourth section explains the theoretical framework upon which the study is based.  </w:t>
      </w:r>
    </w:p>
    <w:p w:rsidR="002116B0" w:rsidRDefault="00FF7F9F">
      <w:pPr>
        <w:pStyle w:val="Heading3"/>
        <w:ind w:left="-5"/>
      </w:pPr>
      <w:bookmarkStart w:id="14" w:name="_Toc61291"/>
      <w:r>
        <w:t>2.2 Empirical review on climate change ada</w:t>
      </w:r>
      <w:r>
        <w:t xml:space="preserve">ptation  </w:t>
      </w:r>
      <w:bookmarkEnd w:id="14"/>
    </w:p>
    <w:p w:rsidR="002116B0" w:rsidRDefault="00FF7F9F">
      <w:pPr>
        <w:pStyle w:val="Heading5"/>
        <w:ind w:left="-5" w:right="0"/>
      </w:pPr>
      <w:r>
        <w:t xml:space="preserve">Perceptions on climate change </w:t>
      </w:r>
    </w:p>
    <w:p w:rsidR="002116B0" w:rsidRDefault="00FF7F9F">
      <w:pPr>
        <w:spacing w:line="481" w:lineRule="auto"/>
        <w:ind w:left="-5" w:right="432"/>
      </w:pPr>
      <w:r>
        <w:t xml:space="preserve">Several studies have </w:t>
      </w:r>
      <w:proofErr w:type="spellStart"/>
      <w:r>
        <w:t>assesed</w:t>
      </w:r>
      <w:proofErr w:type="spellEnd"/>
      <w:r>
        <w:t xml:space="preserve"> </w:t>
      </w:r>
      <w:proofErr w:type="gramStart"/>
      <w:r>
        <w:t>farmers</w:t>
      </w:r>
      <w:proofErr w:type="gramEnd"/>
      <w:r>
        <w:t xml:space="preserve"> perceptions of CC in relation to actual climate data (</w:t>
      </w:r>
      <w:proofErr w:type="spellStart"/>
      <w:r>
        <w:t>Osbahr</w:t>
      </w:r>
      <w:proofErr w:type="spellEnd"/>
      <w:r>
        <w:t xml:space="preserve"> et al., 2011, </w:t>
      </w:r>
      <w:proofErr w:type="spellStart"/>
      <w:r>
        <w:t>Abongu</w:t>
      </w:r>
      <w:proofErr w:type="spellEnd"/>
      <w:r>
        <w:t>, 2013, Bryan et al., 2013, Rao et al., 2011) in different parts of Africa. The findings show tha</w:t>
      </w:r>
      <w:r>
        <w:t>t farmers perceive changes in temperature, precipitation and precipitation related variables such as onset and length of seasons. Farmers’ perceptions on temperature are correct but some of the changes in seasonality, distribution, amount, and intensity pe</w:t>
      </w:r>
      <w:r>
        <w:t xml:space="preserve">rceived by farmers were imprecise and not established by climate data thus exposing some discrepancy between farmers’ perceptions on CC and scientific data. Perceived changes may not always be linked to long term changes but also short term events (Webber </w:t>
      </w:r>
      <w:r>
        <w:t xml:space="preserve">et al., 2014), </w:t>
      </w:r>
      <w:proofErr w:type="gramStart"/>
      <w:r>
        <w:t>thus  the</w:t>
      </w:r>
      <w:proofErr w:type="gramEnd"/>
      <w:r>
        <w:t xml:space="preserve"> divergence between farmers’ perception and evolution of climate based on scientific data result from farmers association of  their past and current experiences such as poor crop yields, high prices of staple foods, crop and livesto</w:t>
      </w:r>
      <w:r>
        <w:t xml:space="preserve">ck pests and diseases to CC.  </w:t>
      </w:r>
    </w:p>
    <w:p w:rsidR="002116B0" w:rsidRDefault="00FF7F9F">
      <w:pPr>
        <w:spacing w:line="477" w:lineRule="auto"/>
        <w:ind w:left="-5" w:right="431"/>
      </w:pPr>
      <w:r>
        <w:t>The discrepancies between trends observed in rainfall data and farmers’ perceptions may also come up due to complexity of CC as a phenomenon with multiple interdependent environmental and social causes, contested areas of sci</w:t>
      </w:r>
      <w:r>
        <w:t>entific research and uncertain future impacts which make it difficult for people to understand (</w:t>
      </w:r>
      <w:proofErr w:type="spellStart"/>
      <w:r>
        <w:t>Pidgeon</w:t>
      </w:r>
      <w:proofErr w:type="spellEnd"/>
      <w:r>
        <w:t xml:space="preserve">, 2012, Rao et al., 2011). The variations implies limited </w:t>
      </w:r>
      <w:r>
        <w:lastRenderedPageBreak/>
        <w:t>understanding of climate variables exhibited by famers and individuals and may lead to errors o</w:t>
      </w:r>
      <w:r>
        <w:t>r CC maladaptation (</w:t>
      </w:r>
      <w:proofErr w:type="spellStart"/>
      <w:r>
        <w:t>Ikeme</w:t>
      </w:r>
      <w:proofErr w:type="spellEnd"/>
      <w:r>
        <w:t xml:space="preserve">, 2003). Webber et al. (2014) argue that irrespective of whether or not perceptions on CC are precise, perceptions only neither lead to changed practices in the farming systems nor extension recommendations on CCA. </w:t>
      </w:r>
    </w:p>
    <w:p w:rsidR="002116B0" w:rsidRDefault="00FF7F9F">
      <w:pPr>
        <w:spacing w:line="477" w:lineRule="auto"/>
        <w:ind w:left="-5" w:right="433"/>
      </w:pPr>
      <w:r>
        <w:t>Analysis of rai</w:t>
      </w:r>
      <w:r>
        <w:t xml:space="preserve">nfall data by most studies give mixed signals on trends of average yearly or seasonal precipitation (Bryan et al., 2013, </w:t>
      </w:r>
      <w:proofErr w:type="spellStart"/>
      <w:r>
        <w:t>Abongu</w:t>
      </w:r>
      <w:proofErr w:type="spellEnd"/>
      <w:r>
        <w:t xml:space="preserve">, 2013, </w:t>
      </w:r>
      <w:proofErr w:type="spellStart"/>
      <w:r>
        <w:t>Osbahr</w:t>
      </w:r>
      <w:proofErr w:type="spellEnd"/>
      <w:r>
        <w:t xml:space="preserve"> et al., 2011, Rao et al., 2011, Stern and Cooper, 2011). The findings of the analysis temperature data also differ</w:t>
      </w:r>
      <w:r>
        <w:t xml:space="preserve">s across the studies but a significantly increasing trend is established by most studies (Hassan, 2010, Hassan and </w:t>
      </w:r>
      <w:proofErr w:type="spellStart"/>
      <w:r>
        <w:t>Nhemachena</w:t>
      </w:r>
      <w:proofErr w:type="spellEnd"/>
      <w:r>
        <w:t>, 2008). A clear increase of temperature have been established in the climate data record in Kenya, Tanzania and Uganda (</w:t>
      </w:r>
      <w:proofErr w:type="spellStart"/>
      <w:r>
        <w:t>Ogutu</w:t>
      </w:r>
      <w:proofErr w:type="spellEnd"/>
      <w:r>
        <w:t xml:space="preserve"> et a</w:t>
      </w:r>
      <w:r>
        <w:t xml:space="preserve">l., 2008, </w:t>
      </w:r>
      <w:proofErr w:type="spellStart"/>
      <w:r>
        <w:t>Osbahr</w:t>
      </w:r>
      <w:proofErr w:type="spellEnd"/>
      <w:r>
        <w:t xml:space="preserve"> et al., 2011) whilst Bryan et al. (2013) found no change in average yearly temperature for weather stations near Gem, </w:t>
      </w:r>
      <w:proofErr w:type="spellStart"/>
      <w:r>
        <w:t>Siaya</w:t>
      </w:r>
      <w:proofErr w:type="spellEnd"/>
      <w:r>
        <w:t xml:space="preserve">, </w:t>
      </w:r>
      <w:proofErr w:type="spellStart"/>
      <w:r>
        <w:t>Garissa</w:t>
      </w:r>
      <w:proofErr w:type="spellEnd"/>
      <w:r>
        <w:t xml:space="preserve">, </w:t>
      </w:r>
      <w:proofErr w:type="spellStart"/>
      <w:r>
        <w:t>Mbeere</w:t>
      </w:r>
      <w:proofErr w:type="spellEnd"/>
      <w:r>
        <w:t xml:space="preserve">, and </w:t>
      </w:r>
      <w:proofErr w:type="spellStart"/>
      <w:proofErr w:type="gramStart"/>
      <w:r>
        <w:t>Njoro</w:t>
      </w:r>
      <w:proofErr w:type="spellEnd"/>
      <w:r>
        <w:t xml:space="preserve">  districts</w:t>
      </w:r>
      <w:proofErr w:type="gramEnd"/>
      <w:r>
        <w:t xml:space="preserve"> of Kenya  and a declining temperature trend in </w:t>
      </w:r>
      <w:proofErr w:type="spellStart"/>
      <w:r>
        <w:t>Mukurweini</w:t>
      </w:r>
      <w:proofErr w:type="spellEnd"/>
      <w:r>
        <w:t xml:space="preserve"> and </w:t>
      </w:r>
      <w:proofErr w:type="spellStart"/>
      <w:r>
        <w:t>Othaya</w:t>
      </w:r>
      <w:proofErr w:type="spellEnd"/>
      <w:r>
        <w:t xml:space="preserve"> distric</w:t>
      </w:r>
      <w:r>
        <w:t xml:space="preserve">ts of Kenya  with  actual climate data for the period from 1957 to 1996. </w:t>
      </w:r>
    </w:p>
    <w:p w:rsidR="002116B0" w:rsidRDefault="00FF7F9F">
      <w:pPr>
        <w:pStyle w:val="Heading5"/>
        <w:spacing w:after="416"/>
        <w:ind w:left="-5" w:right="0"/>
      </w:pPr>
      <w:r>
        <w:t xml:space="preserve">Adaptations to climate variability and change </w:t>
      </w:r>
    </w:p>
    <w:p w:rsidR="002116B0" w:rsidRDefault="00FF7F9F">
      <w:pPr>
        <w:spacing w:after="176" w:line="477" w:lineRule="auto"/>
        <w:ind w:left="-5" w:right="435"/>
      </w:pPr>
      <w:r>
        <w:t>Some studies have assessed farmers’ response to climate variability. Choice models were used to estimate the farm enterprises choice de</w:t>
      </w:r>
      <w:r>
        <w:t>cisions in response CC (</w:t>
      </w:r>
      <w:proofErr w:type="spellStart"/>
      <w:r>
        <w:t>Kurukulasuriya</w:t>
      </w:r>
      <w:proofErr w:type="spellEnd"/>
      <w:r>
        <w:t xml:space="preserve"> and Mendelsohn, 2007, </w:t>
      </w:r>
      <w:proofErr w:type="spellStart"/>
      <w:r>
        <w:t>Seo</w:t>
      </w:r>
      <w:proofErr w:type="spellEnd"/>
      <w:r>
        <w:t xml:space="preserve"> et al., 2008, Jones and Thornton, 2009, </w:t>
      </w:r>
      <w:proofErr w:type="spellStart"/>
      <w:r>
        <w:t>Deressa</w:t>
      </w:r>
      <w:proofErr w:type="spellEnd"/>
      <w:r>
        <w:t xml:space="preserve"> et al., 2009). The findings show that farmers respond to perceived climate variability in different ways such as switching to tolerant crops, m</w:t>
      </w:r>
      <w:r>
        <w:t xml:space="preserve">ixed cropping and agro pastoralism so as to reduce the damages from CC.  </w:t>
      </w:r>
    </w:p>
    <w:p w:rsidR="002116B0" w:rsidRDefault="00FF7F9F">
      <w:pPr>
        <w:spacing w:line="477" w:lineRule="auto"/>
        <w:ind w:left="-5" w:right="433"/>
      </w:pPr>
      <w:r>
        <w:t xml:space="preserve">A number of studies used a multinomial </w:t>
      </w:r>
      <w:proofErr w:type="spellStart"/>
      <w:r>
        <w:t>logit</w:t>
      </w:r>
      <w:proofErr w:type="spellEnd"/>
      <w:r>
        <w:t xml:space="preserve"> model to explore farmers’ choice of farm types and how the net proceeds of each type diverges across the diverse climates in Africa (Jone</w:t>
      </w:r>
      <w:r>
        <w:t xml:space="preserve">s and Thornton, 2009, </w:t>
      </w:r>
      <w:proofErr w:type="spellStart"/>
      <w:r>
        <w:t>Seo</w:t>
      </w:r>
      <w:proofErr w:type="spellEnd"/>
      <w:r>
        <w:t xml:space="preserve">, 2011, Hassan and </w:t>
      </w:r>
      <w:proofErr w:type="spellStart"/>
      <w:r>
        <w:t>Nhemachena</w:t>
      </w:r>
      <w:proofErr w:type="spellEnd"/>
      <w:r>
        <w:t xml:space="preserve">, 2008). The results demonstrate climate change encourages shift from mono cropping and specialization to multiple cropping and livestock integration (Hassan, 2010, </w:t>
      </w:r>
      <w:proofErr w:type="spellStart"/>
      <w:r>
        <w:t>Seo</w:t>
      </w:r>
      <w:proofErr w:type="spellEnd"/>
      <w:r>
        <w:t>, 2011) which are thought to sprea</w:t>
      </w:r>
      <w:r>
        <w:t xml:space="preserve">d farming risks. Jones and Thornton </w:t>
      </w:r>
      <w:r>
        <w:lastRenderedPageBreak/>
        <w:t>(2009) predict that the number of integrated farms will increase whereas that of specialized farm decreases across Africa in due climate variability by 2060. The comparative profitability of each system against each othe</w:t>
      </w:r>
      <w:r>
        <w:t xml:space="preserve">r is transforming thus an integrated farm would be relatively more advantageous over specialized farms in future of CC (Jones and Thornton, 2009). </w:t>
      </w:r>
    </w:p>
    <w:p w:rsidR="002116B0" w:rsidRDefault="00FF7F9F">
      <w:pPr>
        <w:spacing w:line="477" w:lineRule="auto"/>
        <w:ind w:left="-5" w:right="432"/>
      </w:pPr>
      <w:r>
        <w:t xml:space="preserve">Studies on farmers responses to climate variability by (Bryan et al., 2013, </w:t>
      </w:r>
      <w:proofErr w:type="spellStart"/>
      <w:r>
        <w:t>Abongu</w:t>
      </w:r>
      <w:proofErr w:type="spellEnd"/>
      <w:r>
        <w:t xml:space="preserve">, 2013, </w:t>
      </w:r>
      <w:proofErr w:type="spellStart"/>
      <w:r>
        <w:t>KabuboMariara</w:t>
      </w:r>
      <w:proofErr w:type="spellEnd"/>
      <w:r>
        <w:t xml:space="preserve"> and </w:t>
      </w:r>
      <w:proofErr w:type="spellStart"/>
      <w:r>
        <w:t>Karanja</w:t>
      </w:r>
      <w:proofErr w:type="spellEnd"/>
      <w:r>
        <w:t xml:space="preserve">, 2007, Meza et al., 2008, </w:t>
      </w:r>
      <w:proofErr w:type="spellStart"/>
      <w:r>
        <w:t>Ndambiri</w:t>
      </w:r>
      <w:proofErr w:type="spellEnd"/>
      <w:r>
        <w:t xml:space="preserve"> et al., 2013) have shown that farmers perceive both temperature and precipitation to be changing and a as result they implement numerous farm management practices to respond to perceived short and long-term CC but</w:t>
      </w:r>
      <w:r>
        <w:t xml:space="preserve"> only use some of coping strategies to reduce their vulnerability. These coping strategies however vary across agro ecological zones.  </w:t>
      </w:r>
    </w:p>
    <w:p w:rsidR="002116B0" w:rsidRDefault="00FF7F9F">
      <w:pPr>
        <w:spacing w:after="181" w:line="476" w:lineRule="auto"/>
        <w:ind w:left="-5" w:right="433"/>
      </w:pPr>
      <w:proofErr w:type="spellStart"/>
      <w:r>
        <w:t>Ngugi</w:t>
      </w:r>
      <w:proofErr w:type="spellEnd"/>
      <w:r>
        <w:t xml:space="preserve"> (2002) examined the use of seasonal climate forecasts as adaptation strategy amongst small holder farmers in </w:t>
      </w:r>
      <w:proofErr w:type="spellStart"/>
      <w:r>
        <w:t>Macha</w:t>
      </w:r>
      <w:r>
        <w:t>kos</w:t>
      </w:r>
      <w:proofErr w:type="spellEnd"/>
      <w:r>
        <w:t>. The findings revealed a high degree of awareness of seasonal climate forecast, however incorporation of seasonal forecast information in farm management were constrained by low confidence in the forecasts, inability to interpret the seasonal climate i</w:t>
      </w:r>
      <w:r>
        <w:t>nformation and poor relevance of the variables forecast to farm management decisions (</w:t>
      </w:r>
      <w:proofErr w:type="spellStart"/>
      <w:r>
        <w:t>Ngugi</w:t>
      </w:r>
      <w:proofErr w:type="spellEnd"/>
      <w:r>
        <w:t xml:space="preserve">, 2002).  </w:t>
      </w:r>
    </w:p>
    <w:p w:rsidR="002116B0" w:rsidRDefault="00FF7F9F">
      <w:pPr>
        <w:spacing w:after="180" w:line="477" w:lineRule="auto"/>
        <w:ind w:left="-5" w:right="429"/>
      </w:pPr>
      <w:r>
        <w:t xml:space="preserve">Huang et al. (2014) examined farmers’ responsiveness to extreme weather events through crops diversification. Their </w:t>
      </w:r>
      <w:r>
        <w:t xml:space="preserve">findings show that the number of crops grown increased due to past exposure to extreme weather conditions to spread the weather related risk, thus consistent with the results of </w:t>
      </w:r>
      <w:proofErr w:type="spellStart"/>
      <w:r>
        <w:t>Kandulu</w:t>
      </w:r>
      <w:proofErr w:type="spellEnd"/>
      <w:r>
        <w:t xml:space="preserve"> et al. (2012) that established that increased diversification </w:t>
      </w:r>
      <w:proofErr w:type="spellStart"/>
      <w:r>
        <w:t>minimise</w:t>
      </w:r>
      <w:r>
        <w:t>s</w:t>
      </w:r>
      <w:proofErr w:type="spellEnd"/>
      <w:r>
        <w:t xml:space="preserve"> climate induced variability in long term return from rain fed agriculture. </w:t>
      </w:r>
    </w:p>
    <w:p w:rsidR="002116B0" w:rsidRDefault="00FF7F9F">
      <w:pPr>
        <w:spacing w:line="477" w:lineRule="auto"/>
        <w:ind w:left="-5" w:right="437"/>
      </w:pPr>
      <w:r>
        <w:t xml:space="preserve">Webber et al. (2014) explored farmers’ actual adaptations, key drivers of the adaptations and constraints as documented on adaption literature from previous studies and used the </w:t>
      </w:r>
      <w:r>
        <w:t xml:space="preserve">outcome of the literature assessment to investigate the adequacy of crop models in representing reality. Their findings show that farmers adapt to multiple socio economic and biophysical stress in the </w:t>
      </w:r>
      <w:r>
        <w:lastRenderedPageBreak/>
        <w:t xml:space="preserve">environment and perceptions of changing climate is one </w:t>
      </w:r>
      <w:r>
        <w:t xml:space="preserve">of the stresses. They also found that farmers’ socio economic status constrain CCA options farmers undertake in response to CC. </w:t>
      </w:r>
    </w:p>
    <w:p w:rsidR="002116B0" w:rsidRDefault="00FF7F9F">
      <w:pPr>
        <w:spacing w:line="477" w:lineRule="auto"/>
        <w:ind w:left="-5" w:right="430"/>
      </w:pPr>
      <w:proofErr w:type="spellStart"/>
      <w:r>
        <w:t>Heltberg</w:t>
      </w:r>
      <w:proofErr w:type="spellEnd"/>
      <w:r>
        <w:t xml:space="preserve"> et al. (2012) assessed at a macro level how climate adaptation priorities were established by grant seekers in their f</w:t>
      </w:r>
      <w:r>
        <w:t xml:space="preserve">unding proposals. They established that grant seekers frequently relate CC to problems caused by current climate variability. The risks </w:t>
      </w:r>
      <w:proofErr w:type="spellStart"/>
      <w:r>
        <w:t>recognised</w:t>
      </w:r>
      <w:proofErr w:type="spellEnd"/>
      <w:r>
        <w:t xml:space="preserve"> in most proposals were droughts, floods and variation in temperature with a belief of deteriorating solution.</w:t>
      </w:r>
      <w:r>
        <w:t xml:space="preserve"> The findings showed that proposal authors displayed awareness on broad CC studies and projections but lacked downscaled data for the proposed implementation areas and did not rely on climate models, scenarios and projections. This is an indication that mo</w:t>
      </w:r>
      <w:r>
        <w:t>st CCA measure implemented by various grant seekers downplays the evidences from formal climate science. The CCA proposals barely used formal sources of information but used indigenous and informal sources of knowledge and it was uncertain whether the gran</w:t>
      </w:r>
      <w:r>
        <w:t xml:space="preserve">t seekers insight of CC were precise. </w:t>
      </w:r>
    </w:p>
    <w:p w:rsidR="002116B0" w:rsidRDefault="00FF7F9F">
      <w:pPr>
        <w:pStyle w:val="Heading5"/>
        <w:ind w:left="-5" w:right="0"/>
      </w:pPr>
      <w:r>
        <w:t xml:space="preserve">Impacts of climate change </w:t>
      </w:r>
    </w:p>
    <w:p w:rsidR="002116B0" w:rsidRDefault="00FF7F9F">
      <w:pPr>
        <w:spacing w:line="477" w:lineRule="auto"/>
        <w:ind w:left="-5" w:right="431"/>
      </w:pPr>
      <w:r>
        <w:t xml:space="preserve">Most studies have </w:t>
      </w:r>
      <w:proofErr w:type="spellStart"/>
      <w:r>
        <w:t>analysed</w:t>
      </w:r>
      <w:proofErr w:type="spellEnd"/>
      <w:r>
        <w:t xml:space="preserve"> the impact of climate variability on African agricultural productivity and net income from agricultural production under CC (</w:t>
      </w:r>
      <w:proofErr w:type="spellStart"/>
      <w:r>
        <w:t>Asafu-Adjaye</w:t>
      </w:r>
      <w:proofErr w:type="spellEnd"/>
      <w:r>
        <w:t xml:space="preserve">, 2014, </w:t>
      </w:r>
      <w:proofErr w:type="spellStart"/>
      <w:r>
        <w:t>Kabubo-Mariara</w:t>
      </w:r>
      <w:proofErr w:type="spellEnd"/>
      <w:r>
        <w:t xml:space="preserve"> and</w:t>
      </w:r>
      <w:r>
        <w:t xml:space="preserve"> </w:t>
      </w:r>
      <w:proofErr w:type="spellStart"/>
      <w:r>
        <w:t>Karanja</w:t>
      </w:r>
      <w:proofErr w:type="spellEnd"/>
      <w:r>
        <w:t xml:space="preserve">, 2007, </w:t>
      </w:r>
      <w:proofErr w:type="spellStart"/>
      <w:r>
        <w:t>Molua</w:t>
      </w:r>
      <w:proofErr w:type="spellEnd"/>
      <w:r>
        <w:t xml:space="preserve"> and </w:t>
      </w:r>
      <w:proofErr w:type="spellStart"/>
      <w:r>
        <w:t>Lambi</w:t>
      </w:r>
      <w:proofErr w:type="spellEnd"/>
      <w:r>
        <w:t xml:space="preserve">, 2007). The findings of </w:t>
      </w:r>
      <w:proofErr w:type="spellStart"/>
      <w:r>
        <w:t>Asafu-Adjaye</w:t>
      </w:r>
      <w:proofErr w:type="spellEnd"/>
      <w:r>
        <w:t xml:space="preserve"> (2014) show that Africa will encounter the most impacts of CC in terms of decline in economic growth and welfare loss and that Southern Africa would be the continent’s hardest hit region,</w:t>
      </w:r>
      <w:r>
        <w:t xml:space="preserve"> followed by the rest of SSA, North Africa and East Africa in that order.  </w:t>
      </w:r>
    </w:p>
    <w:p w:rsidR="002116B0" w:rsidRDefault="00FF7F9F">
      <w:pPr>
        <w:spacing w:line="477" w:lineRule="auto"/>
        <w:ind w:left="-5" w:right="435"/>
      </w:pPr>
      <w:r>
        <w:t xml:space="preserve">Most of the micro-econometric studies have employed the </w:t>
      </w:r>
      <w:proofErr w:type="spellStart"/>
      <w:r>
        <w:t>Ricardian</w:t>
      </w:r>
      <w:proofErr w:type="spellEnd"/>
      <w:r>
        <w:t xml:space="preserve"> approach to assess the impact of CC in different countries in Africa (</w:t>
      </w:r>
      <w:proofErr w:type="spellStart"/>
      <w:r>
        <w:t>Kabubo-Mariara</w:t>
      </w:r>
      <w:proofErr w:type="spellEnd"/>
      <w:r>
        <w:t xml:space="preserve"> and </w:t>
      </w:r>
      <w:proofErr w:type="spellStart"/>
      <w:r>
        <w:t>Karanja</w:t>
      </w:r>
      <w:proofErr w:type="spellEnd"/>
      <w:r>
        <w:t xml:space="preserve">, 2007, </w:t>
      </w:r>
      <w:proofErr w:type="spellStart"/>
      <w:r>
        <w:t>Molua</w:t>
      </w:r>
      <w:proofErr w:type="spellEnd"/>
      <w:r>
        <w:t xml:space="preserve"> and </w:t>
      </w:r>
      <w:proofErr w:type="spellStart"/>
      <w:r>
        <w:t>Lambi</w:t>
      </w:r>
      <w:proofErr w:type="spellEnd"/>
      <w:r>
        <w:t>, 2007). Their results disclosed that high winter temperatures and precipitation are likely to increase net crop revenue but high summer temperatures would cutback revenue. These studies are based on assumptions general crop agriculture and spatial un</w:t>
      </w:r>
      <w:r>
        <w:t xml:space="preserve">iformity of the areas of study thus fails to show </w:t>
      </w:r>
      <w:r>
        <w:lastRenderedPageBreak/>
        <w:t xml:space="preserve">the impact of CC on individual crops and livestock in different localities. </w:t>
      </w:r>
      <w:proofErr w:type="spellStart"/>
      <w:r>
        <w:t>Kabubo-Mariara</w:t>
      </w:r>
      <w:proofErr w:type="spellEnd"/>
      <w:r>
        <w:t xml:space="preserve"> and </w:t>
      </w:r>
      <w:proofErr w:type="spellStart"/>
      <w:r>
        <w:t>Karanja</w:t>
      </w:r>
      <w:proofErr w:type="spellEnd"/>
      <w:r>
        <w:t xml:space="preserve"> (2007) established that temperatures and precipitation have a non-linear relationship with crop revenue</w:t>
      </w:r>
      <w:r>
        <w:t xml:space="preserve"> and that high temperatures are likely to elicit devastating effects on crop revenues in Kenya.    </w:t>
      </w:r>
    </w:p>
    <w:p w:rsidR="002116B0" w:rsidRDefault="00FF7F9F">
      <w:pPr>
        <w:spacing w:line="477" w:lineRule="auto"/>
        <w:ind w:left="-5" w:right="431"/>
      </w:pPr>
      <w:r>
        <w:t xml:space="preserve">Meza et al. (2008) assessed the effect of CC on maize production and evaluated conventional agronomic adaptation strategies that farmers exploit in the new </w:t>
      </w:r>
      <w:r>
        <w:t xml:space="preserve">climatic conditions. They indicated that CC especially temperature increase affect relevant variables such as maize rate of development thus shortening its growing cycle which consequently affect maize productivity. The findings of Meza et al. (2008) show </w:t>
      </w:r>
      <w:r>
        <w:t xml:space="preserve">that double cropping and intercropping are efficient alternative adaptation options compared to other management practices such as early sowing dates and nitrogen fertilization.  </w:t>
      </w:r>
    </w:p>
    <w:p w:rsidR="002116B0" w:rsidRDefault="00FF7F9F">
      <w:pPr>
        <w:spacing w:after="182" w:line="481" w:lineRule="auto"/>
        <w:ind w:left="-5" w:right="431"/>
      </w:pPr>
      <w:r>
        <w:t>Despite the major role of extension service in CC adaptation and influence o</w:t>
      </w:r>
      <w:r>
        <w:t>n farm management decisions, their capacity to advice on CC adaptation remain largely unknown. Most of the CCA literature only assessed farmers’ responses to CC thus assuming CCA is independently implemented by farmers. Knowledge of extension officers’ per</w:t>
      </w:r>
      <w:r>
        <w:t xml:space="preserve">ceptions on CC and their adaptation recommendations could guide policies aimed at strengthening AEAS in facilitating CCA. </w:t>
      </w:r>
    </w:p>
    <w:p w:rsidR="002116B0" w:rsidRDefault="00FF7F9F">
      <w:pPr>
        <w:pStyle w:val="Heading3"/>
        <w:ind w:left="-5"/>
      </w:pPr>
      <w:bookmarkStart w:id="15" w:name="_Toc61292"/>
      <w:r>
        <w:t xml:space="preserve">2.3 The role of agricultural extension and advisory services  </w:t>
      </w:r>
      <w:bookmarkEnd w:id="15"/>
    </w:p>
    <w:p w:rsidR="002116B0" w:rsidRDefault="00FF7F9F">
      <w:pPr>
        <w:spacing w:line="478" w:lineRule="auto"/>
        <w:ind w:left="-5" w:right="433"/>
      </w:pPr>
      <w:r>
        <w:t>Agricultural extension and advisory services (AEAS) refers to activiti</w:t>
      </w:r>
      <w:r>
        <w:t>es that strengthen the farmers’ capacities, empower farming communities and promote farming innovations by supporting farm households to obtain information and develop skills to address farming challenges thus sequentially improving their livelihood and we</w:t>
      </w:r>
      <w:r>
        <w:t>llbeing (</w:t>
      </w:r>
      <w:proofErr w:type="spellStart"/>
      <w:r>
        <w:t>Christoplos</w:t>
      </w:r>
      <w:proofErr w:type="spellEnd"/>
      <w:r>
        <w:t xml:space="preserve">, 2012).  Primarily, AEAS served as a linkage between farmers, research, private sector, education and government in facilitating adapted practices amongst farming populations (Simpson and </w:t>
      </w:r>
      <w:proofErr w:type="spellStart"/>
      <w:r>
        <w:t>Burpee</w:t>
      </w:r>
      <w:proofErr w:type="spellEnd"/>
      <w:r>
        <w:t>, 2014). AEAS disseminated information ab</w:t>
      </w:r>
      <w:r>
        <w:t xml:space="preserve">out </w:t>
      </w:r>
      <w:r>
        <w:lastRenderedPageBreak/>
        <w:t>agricultural technologies, farm inputs, agricultural markets and financial services (Davis et al., 2012) with the aim of assisting farmers to develop their farming and management skills so as to tackle rural poverty, economic growth and food security (</w:t>
      </w:r>
      <w:r>
        <w:t xml:space="preserve">Kidd et al., 2000).  </w:t>
      </w:r>
    </w:p>
    <w:p w:rsidR="002116B0" w:rsidRDefault="00FF7F9F">
      <w:pPr>
        <w:spacing w:line="476" w:lineRule="auto"/>
        <w:ind w:left="-5" w:right="433"/>
      </w:pPr>
      <w:r>
        <w:t xml:space="preserve">Agricultural extension and advisory services are known to facilitate agricultural </w:t>
      </w:r>
      <w:proofErr w:type="spellStart"/>
      <w:r>
        <w:t>develoments</w:t>
      </w:r>
      <w:proofErr w:type="spellEnd"/>
      <w:r>
        <w:t xml:space="preserve"> worldwide (Kidd et al., 2000). Extension service delivery have yielded mixed results in </w:t>
      </w:r>
      <w:proofErr w:type="spellStart"/>
      <w:r>
        <w:t>diferent</w:t>
      </w:r>
      <w:proofErr w:type="spellEnd"/>
      <w:r>
        <w:t xml:space="preserve"> parts of Africa. In Kenya, Tanzania and Uga</w:t>
      </w:r>
      <w:r>
        <w:t xml:space="preserve">nda, different approaches to extension such as Farmer field schools (FFS) and train and visit (T&amp;V) were implemented and AEAS are applauded for having contributed significantly towards the improvement of agricultural productivity and </w:t>
      </w:r>
      <w:proofErr w:type="spellStart"/>
      <w:r>
        <w:t>onfarm</w:t>
      </w:r>
      <w:proofErr w:type="spellEnd"/>
      <w:r>
        <w:t xml:space="preserve"> income in (Davi</w:t>
      </w:r>
      <w:r>
        <w:t xml:space="preserve">s et al., 2012) thus remains the most trusted source of information to farmers. </w:t>
      </w:r>
    </w:p>
    <w:p w:rsidR="002116B0" w:rsidRDefault="00FF7F9F">
      <w:pPr>
        <w:spacing w:line="487" w:lineRule="auto"/>
        <w:ind w:left="-5" w:right="434"/>
      </w:pPr>
      <w:r>
        <w:t xml:space="preserve">Conversely, a case study in </w:t>
      </w:r>
      <w:proofErr w:type="gramStart"/>
      <w:r>
        <w:t>south</w:t>
      </w:r>
      <w:proofErr w:type="gramEnd"/>
      <w:r>
        <w:t xml:space="preserve"> Africa revealed that deficiencies and weaknesses in technical support, training and knowledge of the extension staff; and administrative cont</w:t>
      </w:r>
      <w:r>
        <w:t>rol at all levels AEAS hindered the institution from achieving its goals and objectives of facilitating farmers to improve their productivity (</w:t>
      </w:r>
      <w:proofErr w:type="spellStart"/>
      <w:r>
        <w:t>Bembridge</w:t>
      </w:r>
      <w:proofErr w:type="spellEnd"/>
      <w:r>
        <w:t xml:space="preserve">, 1987). The conclusions of </w:t>
      </w:r>
      <w:proofErr w:type="spellStart"/>
      <w:r>
        <w:t>Bembridge</w:t>
      </w:r>
      <w:proofErr w:type="spellEnd"/>
      <w:r>
        <w:t xml:space="preserve"> (1987) pointed out that success of any AEAS is dependent on the “s</w:t>
      </w:r>
      <w:r>
        <w:t xml:space="preserve">tructure and management of the institution itself in addition to the personal, social, socio-psychological and communication characteristics of the extension staff.”  </w:t>
      </w:r>
    </w:p>
    <w:p w:rsidR="002116B0" w:rsidRDefault="00FF7F9F">
      <w:pPr>
        <w:spacing w:line="476" w:lineRule="auto"/>
        <w:ind w:left="-5" w:right="433"/>
      </w:pPr>
      <w:r>
        <w:t>With the recognition of risk posed to agriculture by CC and variability, several develop</w:t>
      </w:r>
      <w:r>
        <w:t>ment approaches focus on how climate change adaptation be facilitated and enhanced given that present and future generation are faced with progressively variable climates (</w:t>
      </w:r>
      <w:proofErr w:type="spellStart"/>
      <w:r>
        <w:t>Adger</w:t>
      </w:r>
      <w:proofErr w:type="spellEnd"/>
      <w:r>
        <w:t xml:space="preserve"> et al., 2009).  AEAS as an institution is a major partner in CCA efforts (</w:t>
      </w:r>
      <w:proofErr w:type="spellStart"/>
      <w:r>
        <w:t>Chri</w:t>
      </w:r>
      <w:r>
        <w:t>stoplos</w:t>
      </w:r>
      <w:proofErr w:type="spellEnd"/>
      <w:r>
        <w:t xml:space="preserve">, 2012) and is expected to play a key role of facilitating learning of CCA strategies amongst farmers (Simpson and </w:t>
      </w:r>
      <w:proofErr w:type="spellStart"/>
      <w:r>
        <w:t>Burpee</w:t>
      </w:r>
      <w:proofErr w:type="spellEnd"/>
      <w:r>
        <w:t>, 2014) to reduce vulnerability in the agricultural sector in addition to their conventional roles.  AEAS are expected to embrac</w:t>
      </w:r>
      <w:r>
        <w:t>e informal and scientific knowledge of CC into designing adaptation interventions in order to influence farmers’ CC adaptation responses (</w:t>
      </w:r>
      <w:proofErr w:type="spellStart"/>
      <w:r>
        <w:t>Adger</w:t>
      </w:r>
      <w:proofErr w:type="spellEnd"/>
      <w:r>
        <w:t xml:space="preserve"> et al., 2009). </w:t>
      </w:r>
    </w:p>
    <w:p w:rsidR="002116B0" w:rsidRDefault="00FF7F9F">
      <w:pPr>
        <w:spacing w:line="476" w:lineRule="auto"/>
        <w:ind w:left="-5" w:right="433"/>
      </w:pPr>
      <w:r>
        <w:lastRenderedPageBreak/>
        <w:t xml:space="preserve">Given limited human and financial resources in most AEAS (Simpson and </w:t>
      </w:r>
      <w:proofErr w:type="spellStart"/>
      <w:r>
        <w:t>Burpee</w:t>
      </w:r>
      <w:proofErr w:type="spellEnd"/>
      <w:r>
        <w:t xml:space="preserve">, 2014) </w:t>
      </w:r>
      <w:r>
        <w:t xml:space="preserve">and contradicting status of knowledge claims on CC among the extension officers and other </w:t>
      </w:r>
      <w:proofErr w:type="spellStart"/>
      <w:r>
        <w:t>stakeholkders</w:t>
      </w:r>
      <w:proofErr w:type="spellEnd"/>
      <w:r>
        <w:t xml:space="preserve"> who influence the direction of CCA decisions (</w:t>
      </w:r>
      <w:proofErr w:type="spellStart"/>
      <w:r>
        <w:t>Adger</w:t>
      </w:r>
      <w:proofErr w:type="spellEnd"/>
      <w:r>
        <w:t xml:space="preserve"> et al., 2009) makes selection of desirable climate change adaptive strategies a challenging task for</w:t>
      </w:r>
      <w:r>
        <w:t xml:space="preserve"> the AEAS (Simpson and </w:t>
      </w:r>
      <w:proofErr w:type="spellStart"/>
      <w:r>
        <w:t>Burpee</w:t>
      </w:r>
      <w:proofErr w:type="spellEnd"/>
      <w:r>
        <w:t xml:space="preserve">, 2014). </w:t>
      </w:r>
      <w:proofErr w:type="spellStart"/>
      <w:r>
        <w:t>Alligning</w:t>
      </w:r>
      <w:proofErr w:type="spellEnd"/>
      <w:r>
        <w:t xml:space="preserve"> technology exchange and farm management practices to match </w:t>
      </w:r>
      <w:proofErr w:type="spellStart"/>
      <w:r>
        <w:t>continous</w:t>
      </w:r>
      <w:proofErr w:type="spellEnd"/>
      <w:r>
        <w:t xml:space="preserve"> climate and weather adjustments is equally demanding. To design and implement effective adaptation interventions, extension officers and ot</w:t>
      </w:r>
      <w:r>
        <w:t xml:space="preserve">her </w:t>
      </w:r>
      <w:proofErr w:type="spellStart"/>
      <w:r>
        <w:t>staakeholders</w:t>
      </w:r>
      <w:proofErr w:type="spellEnd"/>
      <w:r>
        <w:t xml:space="preserve"> in CC adaptation need accurate information on the status and impacts of CC (</w:t>
      </w:r>
      <w:proofErr w:type="spellStart"/>
      <w:r>
        <w:t>Dessai</w:t>
      </w:r>
      <w:proofErr w:type="spellEnd"/>
      <w:r>
        <w:t xml:space="preserve"> et al., 2009). </w:t>
      </w:r>
    </w:p>
    <w:p w:rsidR="002116B0" w:rsidRDefault="00FF7F9F">
      <w:pPr>
        <w:spacing w:line="476" w:lineRule="auto"/>
        <w:ind w:left="-5" w:right="432"/>
      </w:pPr>
      <w:r>
        <w:t xml:space="preserve">The provision of AEAS in Kenya prior to market liberalization and structural adjustment programs (SAPs) was a responsibility of the state. </w:t>
      </w:r>
      <w:r>
        <w:t xml:space="preserve">The public extension and advisory services were </w:t>
      </w:r>
      <w:proofErr w:type="spellStart"/>
      <w:r>
        <w:t>criticised</w:t>
      </w:r>
      <w:proofErr w:type="spellEnd"/>
      <w:r>
        <w:t xml:space="preserve"> for lacking appropriate concepts, being </w:t>
      </w:r>
      <w:proofErr w:type="spellStart"/>
      <w:r>
        <w:t>disorganised</w:t>
      </w:r>
      <w:proofErr w:type="spellEnd"/>
      <w:r>
        <w:t xml:space="preserve">, and lacking qualified and motivated staff, funding and materials (Kidd et al., 2000). AEAS in other developing countries were also </w:t>
      </w:r>
      <w:proofErr w:type="spellStart"/>
      <w:r>
        <w:t>criticised</w:t>
      </w:r>
      <w:proofErr w:type="spellEnd"/>
      <w:r>
        <w:t xml:space="preserve"> f</w:t>
      </w:r>
      <w:r>
        <w:t>or their inability to cope with the problems of development and to handle changing technologies (Chaudhry and Al-Haj, 1985). Historical challenges in AEAS provision led to mixed feelings about the relevance of the institution with extension officers occasi</w:t>
      </w:r>
      <w:r>
        <w:t xml:space="preserve">onally considered too inflexible and unresponsive to farmers’ needs, </w:t>
      </w:r>
      <w:proofErr w:type="gramStart"/>
      <w:r>
        <w:t>thus  exposing</w:t>
      </w:r>
      <w:proofErr w:type="gramEnd"/>
      <w:r>
        <w:t xml:space="preserve">  AEASs as a high cost institution of scanty benefits (Kidd et al., 2000). The criticism led to the emergence of present-day models of AEAS that are financed and provided by</w:t>
      </w:r>
      <w:r>
        <w:t xml:space="preserve"> both the public and private sectors or through public private partnership (Kidd et al., 2000). The existence of both private and public extension gives farmers various choices on where to seek advice and information. The extent to which an advice exhibits</w:t>
      </w:r>
      <w:r>
        <w:t xml:space="preserve"> public or private good characteristics and significant externalities that spill over to the society influence the provision of private extension and advisory services (Kidd et al., 2000) </w:t>
      </w:r>
    </w:p>
    <w:p w:rsidR="002116B0" w:rsidRDefault="00FF7F9F">
      <w:pPr>
        <w:spacing w:after="185" w:line="478" w:lineRule="auto"/>
        <w:ind w:left="-5" w:right="430"/>
      </w:pPr>
      <w:r>
        <w:t>In Kenya, climate risks threaten to wipe out the significant progre</w:t>
      </w:r>
      <w:r>
        <w:t xml:space="preserve">ss made by the AEAS in increasing agricultural output forcing the </w:t>
      </w:r>
      <w:proofErr w:type="spellStart"/>
      <w:r>
        <w:t>instituion</w:t>
      </w:r>
      <w:proofErr w:type="spellEnd"/>
      <w:r>
        <w:t xml:space="preserve"> to engage in agro meteorological extension respond to </w:t>
      </w:r>
      <w:r>
        <w:lastRenderedPageBreak/>
        <w:t>extreme weather events such as flooding and droughts that occur with increased frequency and intensity (Field, 2012) and prov</w:t>
      </w:r>
      <w:r>
        <w:t xml:space="preserve">ide information about growing seasonal characteristics in advance of the season (Hansen and </w:t>
      </w:r>
      <w:proofErr w:type="spellStart"/>
      <w:r>
        <w:t>Indeje</w:t>
      </w:r>
      <w:proofErr w:type="spellEnd"/>
      <w:r>
        <w:t>, 2004). Agro meteorological information on a seasonal timescale is important in farm management decisions (</w:t>
      </w:r>
      <w:proofErr w:type="spellStart"/>
      <w:r>
        <w:t>Kabubo-Mariara</w:t>
      </w:r>
      <w:proofErr w:type="spellEnd"/>
      <w:r>
        <w:t xml:space="preserve"> and </w:t>
      </w:r>
      <w:proofErr w:type="spellStart"/>
      <w:r>
        <w:t>Karanja</w:t>
      </w:r>
      <w:proofErr w:type="spellEnd"/>
      <w:r>
        <w:t>, 2007) such as crop sel</w:t>
      </w:r>
      <w:r>
        <w:t>ection, livestock management practices and land use (Bryan et al., 2013). Significant reduction in farmer’s vulnerability to CC requires provision of accurate and reliable agro meteorological information by the AEAS. Conversely, the ability of extension se</w:t>
      </w:r>
      <w:r>
        <w:t xml:space="preserve">rvice give accurate information depend on timely access to probabilistic historical climate information in addition to seasonal forecasts of production and economic outcomes of management alternatives (Hansen and </w:t>
      </w:r>
      <w:proofErr w:type="spellStart"/>
      <w:r>
        <w:t>Indeje</w:t>
      </w:r>
      <w:proofErr w:type="spellEnd"/>
      <w:r>
        <w:t xml:space="preserve">, 2004) </w:t>
      </w:r>
    </w:p>
    <w:p w:rsidR="002116B0" w:rsidRDefault="00FF7F9F">
      <w:pPr>
        <w:pStyle w:val="Heading3"/>
        <w:ind w:left="-5"/>
      </w:pPr>
      <w:bookmarkStart w:id="16" w:name="_Toc61293"/>
      <w:r>
        <w:t xml:space="preserve">2.4 Theoretical framework </w:t>
      </w:r>
      <w:bookmarkEnd w:id="16"/>
    </w:p>
    <w:p w:rsidR="002116B0" w:rsidRDefault="00FF7F9F">
      <w:pPr>
        <w:spacing w:line="476" w:lineRule="auto"/>
        <w:ind w:left="-5" w:right="431"/>
      </w:pPr>
      <w:r>
        <w:t>T</w:t>
      </w:r>
      <w:r>
        <w:t>he study adopt elaboration likelihood model of persuasion (ELM) (Petty et al., 2002). The theory is widely used in communication and psychological studies. The model suggests that attitude change, perceptions, decision making process can occur when the cog</w:t>
      </w:r>
      <w:r>
        <w:t>nitive thinking process is high or low and are influenced by various factors such personal characteristics, work environment characteristics and information characteristics. However the cognitive processes and consequential attitude change, perceptions and</w:t>
      </w:r>
      <w:r>
        <w:t xml:space="preserve"> decisions are different in each situation. Decisions to design and recommend adaptation strategies to farmers are considered as a function of one of two distinct routes of persuasion namely: central route and peripheral route.  </w:t>
      </w:r>
    </w:p>
    <w:p w:rsidR="002116B0" w:rsidRDefault="00FF7F9F">
      <w:pPr>
        <w:spacing w:line="476" w:lineRule="auto"/>
        <w:ind w:left="-5" w:right="431"/>
      </w:pPr>
      <w:r>
        <w:t>The central route involves</w:t>
      </w:r>
      <w:r>
        <w:t xml:space="preserve"> effortful cognitive process where the extension officer actively evaluates the merits of the climate change adaptation options  based on his/her knowledge, prior experiences and other personal characteristics. Peripheral route on the other hand does not i</w:t>
      </w:r>
      <w:r>
        <w:t xml:space="preserve">nvolve evaluation of the merits on the position advocated but relies on the information characteristics and work environment characteristics to recommend climate change adaptation strategies. Climate adaptation </w:t>
      </w:r>
      <w:r>
        <w:lastRenderedPageBreak/>
        <w:t>recommendations influenced by the central rou</w:t>
      </w:r>
      <w:r>
        <w:t>te are held with high confidence and are persistent over time hence resistant to change until they are challenged by a contrary information. But climate adaptation options influenced by peripheral route are short lived since work environment and informatio</w:t>
      </w:r>
      <w:r>
        <w:t xml:space="preserve">n characteristics may be lost or changed over time. </w:t>
      </w:r>
    </w:p>
    <w:p w:rsidR="002116B0" w:rsidRDefault="00FF7F9F">
      <w:pPr>
        <w:spacing w:line="479" w:lineRule="auto"/>
        <w:ind w:left="-5" w:right="430"/>
      </w:pPr>
      <w:r>
        <w:t xml:space="preserve">In forming perceptions on climate change and making climate adaptation recommendations, any of the routes can take precedence based on the extension officer’s likelihood of elaboration/ thinking. If the </w:t>
      </w:r>
      <w:r>
        <w:t>likelihood of elaboration is high, the extension officer’s personal characteristics become important determinants of his/her perceptions and recommendations. This allows for the central route to dominate and proceed in either a relatively objective or bias</w:t>
      </w:r>
      <w:r>
        <w:t>ed manner. However, if the likelihood of elaboration is low, the peripheral route takes precedence and adaptation recommendations are likely to change rapidly within a short time. ELM suggest that variables that influence climate change perceptions, attitu</w:t>
      </w:r>
      <w:r>
        <w:t>des and recommendations work by different processes in different scenarios thus understanding different variable that induces change and the processes by which they work is vital for understanding consequences of attitude change and perceptions (Petty et a</w:t>
      </w:r>
      <w:r>
        <w:t xml:space="preserve">l., 2002). This framework would aid in analyzing variables and processes that influence the design and recommendations of various CC adaptation strategies.  </w:t>
      </w:r>
    </w:p>
    <w:p w:rsidR="002116B0" w:rsidRDefault="00FF7F9F">
      <w:pPr>
        <w:spacing w:after="387"/>
        <w:ind w:left="-5" w:right="10"/>
      </w:pPr>
      <w:r>
        <w:t xml:space="preserve">Figure 1: Theoretical framework </w:t>
      </w:r>
    </w:p>
    <w:p w:rsidR="002116B0" w:rsidRDefault="00FF7F9F">
      <w:pPr>
        <w:spacing w:after="336" w:line="259" w:lineRule="auto"/>
        <w:ind w:left="-1" w:right="840" w:firstLine="0"/>
        <w:jc w:val="right"/>
      </w:pPr>
      <w:r>
        <w:rPr>
          <w:noProof/>
        </w:rPr>
        <w:lastRenderedPageBreak/>
        <w:drawing>
          <wp:inline distT="0" distB="0" distL="0" distR="0">
            <wp:extent cx="5734050" cy="3867150"/>
            <wp:effectExtent l="0" t="0" r="0" b="0"/>
            <wp:docPr id="3522" name="Picture 3522"/>
            <wp:cNvGraphicFramePr/>
            <a:graphic xmlns:a="http://schemas.openxmlformats.org/drawingml/2006/main">
              <a:graphicData uri="http://schemas.openxmlformats.org/drawingml/2006/picture">
                <pic:pic xmlns:pic="http://schemas.openxmlformats.org/drawingml/2006/picture">
                  <pic:nvPicPr>
                    <pic:cNvPr id="3522" name="Picture 3522"/>
                    <pic:cNvPicPr/>
                  </pic:nvPicPr>
                  <pic:blipFill>
                    <a:blip r:embed="rId13"/>
                    <a:stretch>
                      <a:fillRect/>
                    </a:stretch>
                  </pic:blipFill>
                  <pic:spPr>
                    <a:xfrm>
                      <a:off x="0" y="0"/>
                      <a:ext cx="5734050" cy="3867150"/>
                    </a:xfrm>
                    <a:prstGeom prst="rect">
                      <a:avLst/>
                    </a:prstGeom>
                  </pic:spPr>
                </pic:pic>
              </a:graphicData>
            </a:graphic>
          </wp:inline>
        </w:drawing>
      </w:r>
      <w:r>
        <w:t xml:space="preserve"> </w:t>
      </w:r>
    </w:p>
    <w:p w:rsidR="002116B0" w:rsidRDefault="00FF7F9F">
      <w:pPr>
        <w:spacing w:after="433"/>
        <w:ind w:left="-5" w:right="10"/>
      </w:pPr>
      <w:r>
        <w:t xml:space="preserve">(Petty et al., 2002) </w:t>
      </w:r>
    </w:p>
    <w:p w:rsidR="002116B0" w:rsidRDefault="00FF7F9F">
      <w:pPr>
        <w:pStyle w:val="Heading3"/>
        <w:spacing w:after="427"/>
        <w:ind w:left="-5"/>
      </w:pPr>
      <w:bookmarkStart w:id="17" w:name="_Toc61294"/>
      <w:r>
        <w:t xml:space="preserve">2.5 Conclusion </w:t>
      </w:r>
      <w:bookmarkEnd w:id="17"/>
    </w:p>
    <w:p w:rsidR="002116B0" w:rsidRDefault="00FF7F9F">
      <w:pPr>
        <w:spacing w:after="0" w:line="477" w:lineRule="auto"/>
        <w:ind w:left="-5" w:right="431"/>
      </w:pPr>
      <w:r>
        <w:t>This chapter presented l</w:t>
      </w:r>
      <w:r>
        <w:t xml:space="preserve">iterature reflecting the perceptions of farmer’s CC in comparison to climate data, responses to perceived CC and impact of climate variability on agriculture as well as the role of agricultural extension and advisory services in CCA. The insights obtained </w:t>
      </w:r>
      <w:r>
        <w:t xml:space="preserve">from the pieces of literature reviewed will form a basis for </w:t>
      </w:r>
      <w:proofErr w:type="spellStart"/>
      <w:r>
        <w:t>contextualising</w:t>
      </w:r>
      <w:proofErr w:type="spellEnd"/>
      <w:r>
        <w:t xml:space="preserve"> the findings of this study since AEAS serves as direct linkage between farmers and other stakeholders in agricultural sector hence their perceptions and advices on CC adaptation a</w:t>
      </w:r>
      <w:r>
        <w:t xml:space="preserve">re likely to be reflected in farmers’ perceptions and responses to CC. Lastly, it discussed the theoretical framework that underpins the study was </w:t>
      </w:r>
    </w:p>
    <w:p w:rsidR="002116B0" w:rsidRDefault="00FF7F9F">
      <w:pPr>
        <w:tabs>
          <w:tab w:val="center" w:pos="3819"/>
        </w:tabs>
        <w:ind w:left="-15" w:firstLine="0"/>
        <w:jc w:val="left"/>
      </w:pPr>
      <w:proofErr w:type="gramStart"/>
      <w:r>
        <w:t>reviewed</w:t>
      </w:r>
      <w:proofErr w:type="gramEnd"/>
      <w:r>
        <w:t xml:space="preserve">. </w:t>
      </w:r>
      <w:r>
        <w:tab/>
        <w:t xml:space="preserve"> </w:t>
      </w:r>
    </w:p>
    <w:p w:rsidR="002116B0" w:rsidRDefault="00FF7F9F">
      <w:pPr>
        <w:pStyle w:val="Heading1"/>
        <w:spacing w:after="431"/>
        <w:ind w:left="578" w:right="1002"/>
        <w:jc w:val="center"/>
      </w:pPr>
      <w:bookmarkStart w:id="18" w:name="_Toc61295"/>
      <w:r>
        <w:lastRenderedPageBreak/>
        <w:t xml:space="preserve">CHAPTER 3: METHODOLOGY </w:t>
      </w:r>
      <w:bookmarkEnd w:id="18"/>
    </w:p>
    <w:p w:rsidR="002116B0" w:rsidRDefault="00FF7F9F">
      <w:pPr>
        <w:pStyle w:val="Heading3"/>
        <w:ind w:left="-5"/>
      </w:pPr>
      <w:bookmarkStart w:id="19" w:name="_Toc61296"/>
      <w:r>
        <w:t xml:space="preserve">3.1 Introduction </w:t>
      </w:r>
      <w:bookmarkEnd w:id="19"/>
    </w:p>
    <w:p w:rsidR="002116B0" w:rsidRDefault="00FF7F9F">
      <w:pPr>
        <w:spacing w:after="188" w:line="476" w:lineRule="auto"/>
        <w:ind w:left="-5" w:right="433"/>
      </w:pPr>
      <w:r>
        <w:t>This chapter presents the methodology used in carrying out the study. The second section describes the study area. The third section outlines how the data used in the study was obtained. The forth section explains how the data was analyzed whereas the four</w:t>
      </w:r>
      <w:r>
        <w:t xml:space="preserve">th sections presents the limitations of the study. </w:t>
      </w:r>
    </w:p>
    <w:p w:rsidR="002116B0" w:rsidRDefault="00FF7F9F">
      <w:pPr>
        <w:pStyle w:val="Heading3"/>
        <w:ind w:left="-5"/>
      </w:pPr>
      <w:bookmarkStart w:id="20" w:name="_Toc61297"/>
      <w:r>
        <w:t xml:space="preserve">3.2 Study area </w:t>
      </w:r>
      <w:bookmarkEnd w:id="20"/>
    </w:p>
    <w:p w:rsidR="002116B0" w:rsidRDefault="00FF7F9F">
      <w:pPr>
        <w:spacing w:after="385"/>
        <w:ind w:left="-5" w:right="10"/>
      </w:pPr>
      <w:r>
        <w:t xml:space="preserve">Figure 2: Map of </w:t>
      </w:r>
      <w:proofErr w:type="spellStart"/>
      <w:r>
        <w:t>Machakos</w:t>
      </w:r>
      <w:proofErr w:type="spellEnd"/>
      <w:r>
        <w:t xml:space="preserve"> County </w:t>
      </w:r>
    </w:p>
    <w:p w:rsidR="002116B0" w:rsidRDefault="00FF7F9F">
      <w:pPr>
        <w:spacing w:after="336" w:line="259" w:lineRule="auto"/>
        <w:ind w:left="-1" w:firstLine="0"/>
        <w:jc w:val="right"/>
      </w:pPr>
      <w:r>
        <w:rPr>
          <w:noProof/>
        </w:rPr>
        <w:drawing>
          <wp:inline distT="0" distB="0" distL="0" distR="0">
            <wp:extent cx="6257925" cy="3709035"/>
            <wp:effectExtent l="0" t="0" r="0" b="0"/>
            <wp:docPr id="3607" name="Picture 3607"/>
            <wp:cNvGraphicFramePr/>
            <a:graphic xmlns:a="http://schemas.openxmlformats.org/drawingml/2006/main">
              <a:graphicData uri="http://schemas.openxmlformats.org/drawingml/2006/picture">
                <pic:pic xmlns:pic="http://schemas.openxmlformats.org/drawingml/2006/picture">
                  <pic:nvPicPr>
                    <pic:cNvPr id="3607" name="Picture 3607"/>
                    <pic:cNvPicPr/>
                  </pic:nvPicPr>
                  <pic:blipFill>
                    <a:blip r:embed="rId14"/>
                    <a:stretch>
                      <a:fillRect/>
                    </a:stretch>
                  </pic:blipFill>
                  <pic:spPr>
                    <a:xfrm>
                      <a:off x="0" y="0"/>
                      <a:ext cx="6257925" cy="3709035"/>
                    </a:xfrm>
                    <a:prstGeom prst="rect">
                      <a:avLst/>
                    </a:prstGeom>
                  </pic:spPr>
                </pic:pic>
              </a:graphicData>
            </a:graphic>
          </wp:inline>
        </w:drawing>
      </w:r>
      <w:r>
        <w:t xml:space="preserve"> </w:t>
      </w:r>
    </w:p>
    <w:p w:rsidR="002116B0" w:rsidRDefault="00FF7F9F">
      <w:pPr>
        <w:spacing w:line="494" w:lineRule="auto"/>
        <w:ind w:left="-5" w:right="433"/>
      </w:pPr>
      <w:r>
        <w:t xml:space="preserve">Figure 2 shows the geographical location of </w:t>
      </w:r>
      <w:proofErr w:type="spellStart"/>
      <w:r>
        <w:t>Machakos</w:t>
      </w:r>
      <w:proofErr w:type="spellEnd"/>
      <w:r>
        <w:t xml:space="preserve"> County. </w:t>
      </w:r>
      <w:proofErr w:type="spellStart"/>
      <w:r>
        <w:t>Machakos</w:t>
      </w:r>
      <w:proofErr w:type="spellEnd"/>
      <w:r>
        <w:t xml:space="preserve"> is one of the ASALs Counties of Kenya and was chosen for the study because of its</w:t>
      </w:r>
      <w:r>
        <w:t xml:space="preserve"> past experiences with recurrent drought and floods often associated with CC. The county is located between latitudes 0</w:t>
      </w:r>
      <w:r>
        <w:rPr>
          <w:vertAlign w:val="superscript"/>
        </w:rPr>
        <w:t>0</w:t>
      </w:r>
      <w:r>
        <w:t>.45'S and 1</w:t>
      </w:r>
      <w:r>
        <w:rPr>
          <w:vertAlign w:val="superscript"/>
        </w:rPr>
        <w:t>0</w:t>
      </w:r>
      <w:r>
        <w:t>.31'S, and longitudes 36</w:t>
      </w:r>
      <w:r>
        <w:rPr>
          <w:vertAlign w:val="superscript"/>
        </w:rPr>
        <w:t>0</w:t>
      </w:r>
      <w:r>
        <w:t>.45'E and 37</w:t>
      </w:r>
      <w:r>
        <w:rPr>
          <w:vertAlign w:val="superscript"/>
        </w:rPr>
        <w:t>0</w:t>
      </w:r>
      <w:r>
        <w:t>.45'E, with a total area of 6,051 km2 (</w:t>
      </w:r>
      <w:proofErr w:type="spellStart"/>
      <w:r>
        <w:t>Ngugi</w:t>
      </w:r>
      <w:proofErr w:type="spellEnd"/>
      <w:r>
        <w:t xml:space="preserve">, 2002). </w:t>
      </w:r>
    </w:p>
    <w:p w:rsidR="002116B0" w:rsidRDefault="00FF7F9F">
      <w:pPr>
        <w:spacing w:line="476" w:lineRule="auto"/>
        <w:ind w:left="-5" w:right="434"/>
      </w:pPr>
      <w:proofErr w:type="spellStart"/>
      <w:r>
        <w:lastRenderedPageBreak/>
        <w:t>Machakos</w:t>
      </w:r>
      <w:proofErr w:type="spellEnd"/>
      <w:r>
        <w:t xml:space="preserve"> consist of hills and sm</w:t>
      </w:r>
      <w:r>
        <w:t xml:space="preserve">all plateaus of </w:t>
      </w:r>
      <w:proofErr w:type="spellStart"/>
      <w:r>
        <w:t>altitute</w:t>
      </w:r>
      <w:proofErr w:type="spellEnd"/>
      <w:r>
        <w:t xml:space="preserve"> between 1800-2100 m above the sea level (</w:t>
      </w:r>
      <w:proofErr w:type="spellStart"/>
      <w:r>
        <w:t>Claessens</w:t>
      </w:r>
      <w:proofErr w:type="spellEnd"/>
      <w:r>
        <w:t xml:space="preserve"> et al., 2012, </w:t>
      </w:r>
      <w:proofErr w:type="spellStart"/>
      <w:r>
        <w:t>Jaetzold</w:t>
      </w:r>
      <w:proofErr w:type="spellEnd"/>
      <w:r>
        <w:t xml:space="preserve"> and Schmidt, 1983). The population of </w:t>
      </w:r>
      <w:proofErr w:type="spellStart"/>
      <w:r>
        <w:t>Machakos</w:t>
      </w:r>
      <w:proofErr w:type="spellEnd"/>
      <w:r>
        <w:t xml:space="preserve"> is approximately 1,100,000 (</w:t>
      </w:r>
      <w:proofErr w:type="spellStart"/>
      <w:r>
        <w:t>Claessens</w:t>
      </w:r>
      <w:proofErr w:type="spellEnd"/>
      <w:r>
        <w:t xml:space="preserve"> et al., 2012). </w:t>
      </w:r>
    </w:p>
    <w:p w:rsidR="002116B0" w:rsidRDefault="00FF7F9F">
      <w:pPr>
        <w:spacing w:line="476" w:lineRule="auto"/>
        <w:ind w:left="-5" w:right="430"/>
      </w:pPr>
      <w:r>
        <w:t xml:space="preserve">The rainfall pattern in </w:t>
      </w:r>
      <w:proofErr w:type="spellStart"/>
      <w:r>
        <w:t>Machakos</w:t>
      </w:r>
      <w:proofErr w:type="spellEnd"/>
      <w:r>
        <w:t xml:space="preserve"> is bimodal and is norma</w:t>
      </w:r>
      <w:r>
        <w:t xml:space="preserve">lly concentrated into two short seasons namely: March to May and October to December seasons respectively. February and September are the hottest months in the year with low and unreliable rainfall. The long rains are experienced between March and May and </w:t>
      </w:r>
      <w:r>
        <w:t>short rains in October and December. The short rains are deemed more reliable than the long rains as it is during the short rains that farmers get yield (</w:t>
      </w:r>
      <w:proofErr w:type="spellStart"/>
      <w:r>
        <w:t>Ndambiri</w:t>
      </w:r>
      <w:proofErr w:type="spellEnd"/>
      <w:r>
        <w:t xml:space="preserve"> et al., 2013). The total annual rainfall averages range between 500 and 1300 mm with  66% rai</w:t>
      </w:r>
      <w:r>
        <w:t>nfall reliability during the growing period of the first rainy season is &lt;100-450 mm, and that of the second rainy season 80-530 mm (</w:t>
      </w:r>
      <w:proofErr w:type="spellStart"/>
      <w:r>
        <w:t>Jaetzold</w:t>
      </w:r>
      <w:proofErr w:type="spellEnd"/>
      <w:r>
        <w:t xml:space="preserve"> and Schmidt, 1983, </w:t>
      </w:r>
      <w:proofErr w:type="spellStart"/>
      <w:r>
        <w:t>Claessens</w:t>
      </w:r>
      <w:proofErr w:type="spellEnd"/>
      <w:r>
        <w:t xml:space="preserve"> et al., 2012).  </w:t>
      </w:r>
    </w:p>
    <w:p w:rsidR="002116B0" w:rsidRDefault="00FF7F9F">
      <w:pPr>
        <w:spacing w:after="187" w:line="477" w:lineRule="auto"/>
        <w:ind w:left="-5" w:right="434"/>
      </w:pPr>
      <w:r>
        <w:t xml:space="preserve">Agriculture in </w:t>
      </w:r>
      <w:proofErr w:type="spellStart"/>
      <w:r>
        <w:t>Machakos</w:t>
      </w:r>
      <w:proofErr w:type="spellEnd"/>
      <w:r>
        <w:t xml:space="preserve"> is mainly rain fed. The major crops grown by</w:t>
      </w:r>
      <w:r>
        <w:t xml:space="preserve"> farmers include pigeon peas, maize, cowpeas, green grams, sorghum, beans, millet, cassava and sweet potatoes. Farm sizes ranges from 1.5-6.0 hectares of which 1.5-3.5 hectares are cultivated. Yields are low and crop failure is a common problem in a cycle </w:t>
      </w:r>
      <w:r>
        <w:t>of four years due to low soil nutrient or weather variability (</w:t>
      </w:r>
      <w:proofErr w:type="spellStart"/>
      <w:r>
        <w:t>Claessens</w:t>
      </w:r>
      <w:proofErr w:type="spellEnd"/>
      <w:r>
        <w:t xml:space="preserve"> et al., 2012). </w:t>
      </w:r>
    </w:p>
    <w:p w:rsidR="002116B0" w:rsidRDefault="00FF7F9F">
      <w:pPr>
        <w:pStyle w:val="Heading3"/>
        <w:ind w:left="-5"/>
      </w:pPr>
      <w:bookmarkStart w:id="21" w:name="_Toc61298"/>
      <w:r>
        <w:t xml:space="preserve">3.3 Data  </w:t>
      </w:r>
      <w:bookmarkEnd w:id="21"/>
    </w:p>
    <w:p w:rsidR="002116B0" w:rsidRDefault="00FF7F9F">
      <w:pPr>
        <w:spacing w:line="476" w:lineRule="auto"/>
        <w:ind w:left="-5" w:right="434"/>
      </w:pPr>
      <w:r>
        <w:t xml:space="preserve">The study used climate data obtained from </w:t>
      </w:r>
      <w:proofErr w:type="spellStart"/>
      <w:r>
        <w:t>Katumani</w:t>
      </w:r>
      <w:proofErr w:type="spellEnd"/>
      <w:r>
        <w:t xml:space="preserve"> Meteorological station in </w:t>
      </w:r>
      <w:proofErr w:type="spellStart"/>
      <w:r>
        <w:t>Machakos</w:t>
      </w:r>
      <w:proofErr w:type="spellEnd"/>
      <w:r>
        <w:t>. The data values were derived from daily observations of rainfall amou</w:t>
      </w:r>
      <w:r>
        <w:t xml:space="preserve">nts for fifty-two years from January 1960 to December 2012 and daily observations of maximum and minimum temperatures for thirty-four years from January 1978 to December 2012.  </w:t>
      </w:r>
    </w:p>
    <w:p w:rsidR="002116B0" w:rsidRDefault="00FF7F9F">
      <w:pPr>
        <w:spacing w:after="182" w:line="476" w:lineRule="auto"/>
        <w:ind w:left="-5" w:right="10"/>
      </w:pPr>
      <w:r>
        <w:t xml:space="preserve">In addition to the climate data, a survey was carried out. The study population was primarily drawn from extension officers in the private and public sectors who had previously implemented CC adaptation </w:t>
      </w:r>
      <w:r>
        <w:lastRenderedPageBreak/>
        <w:t xml:space="preserve">projects in </w:t>
      </w:r>
      <w:proofErr w:type="spellStart"/>
      <w:r>
        <w:t>Machakos</w:t>
      </w:r>
      <w:proofErr w:type="spellEnd"/>
      <w:r>
        <w:t xml:space="preserve"> County. Purposive sampling proce</w:t>
      </w:r>
      <w:r>
        <w:t xml:space="preserve">dure was employed to select 106 respondents. Data was collected on the extension officers’ perceptions and awareness of CC and recommendations made to facilitate CC adaptation.   </w:t>
      </w:r>
    </w:p>
    <w:p w:rsidR="002116B0" w:rsidRDefault="00FF7F9F">
      <w:pPr>
        <w:pStyle w:val="Heading3"/>
        <w:ind w:left="-5"/>
      </w:pPr>
      <w:bookmarkStart w:id="22" w:name="_Toc61299"/>
      <w:r>
        <w:t xml:space="preserve">3.4 Data analysis </w:t>
      </w:r>
      <w:bookmarkEnd w:id="22"/>
    </w:p>
    <w:p w:rsidR="002116B0" w:rsidRDefault="00FF7F9F">
      <w:pPr>
        <w:spacing w:line="477" w:lineRule="auto"/>
        <w:ind w:left="-5" w:right="433"/>
      </w:pPr>
      <w:r>
        <w:t>Statistical Analysis System (SAS) was used for qualitativ</w:t>
      </w:r>
      <w:r>
        <w:t xml:space="preserve">e and quantitative analysis. Measures of central tendencies, dispersion and variation for the following climatic variables (season length, season rainy days, season totals and annual totals, minimum and maximum temperatures) were computed to </w:t>
      </w:r>
      <w:proofErr w:type="spellStart"/>
      <w:r>
        <w:t>summarise</w:t>
      </w:r>
      <w:proofErr w:type="spellEnd"/>
      <w:r>
        <w:t xml:space="preserve"> the </w:t>
      </w:r>
      <w:r>
        <w:t xml:space="preserve">climate data into two different seasons. Frequencies were used to </w:t>
      </w:r>
      <w:proofErr w:type="spellStart"/>
      <w:r>
        <w:t>summarise</w:t>
      </w:r>
      <w:proofErr w:type="spellEnd"/>
      <w:r>
        <w:t xml:space="preserve"> data collected for extension officers. Other methods used in the analysis include auto regression, factor analysis, cluster analysis and binary </w:t>
      </w:r>
      <w:proofErr w:type="spellStart"/>
      <w:r>
        <w:t>logit</w:t>
      </w:r>
      <w:proofErr w:type="spellEnd"/>
      <w:r>
        <w:t xml:space="preserve"> regressions and are discussed </w:t>
      </w:r>
      <w:r>
        <w:t xml:space="preserve">below. </w:t>
      </w:r>
    </w:p>
    <w:p w:rsidR="002116B0" w:rsidRDefault="00FF7F9F">
      <w:pPr>
        <w:pStyle w:val="Heading5"/>
        <w:ind w:left="-5" w:right="0"/>
      </w:pPr>
      <w:r>
        <w:t xml:space="preserve">Auto regressive distributed Lag (ARDL) model  </w:t>
      </w:r>
    </w:p>
    <w:p w:rsidR="002116B0" w:rsidRDefault="00FF7F9F">
      <w:pPr>
        <w:spacing w:line="476" w:lineRule="auto"/>
        <w:ind w:left="-5" w:right="433"/>
      </w:pPr>
      <w:r>
        <w:t xml:space="preserve">An augmented dickey fuller test with and without trend and </w:t>
      </w:r>
      <w:proofErr w:type="spellStart"/>
      <w:r>
        <w:t>Jarque</w:t>
      </w:r>
      <w:proofErr w:type="spellEnd"/>
      <w:r>
        <w:t xml:space="preserve"> </w:t>
      </w:r>
      <w:proofErr w:type="spellStart"/>
      <w:r>
        <w:t>Bera’s</w:t>
      </w:r>
      <w:proofErr w:type="spellEnd"/>
      <w:r>
        <w:t xml:space="preserve"> test for normality conducted to determine the suitability of the model for analysis the time series data. Some of the variables </w:t>
      </w:r>
      <w:r>
        <w:t xml:space="preserve">were trend stationary while some were stationary with and without trend thus auto regressive distributed lag model was deemed suitable for the nature of the series and also to allow for the possibility serially correlated errors (Hill et al., 2008, Harris </w:t>
      </w:r>
      <w:r>
        <w:t xml:space="preserve">and </w:t>
      </w:r>
      <w:proofErr w:type="spellStart"/>
      <w:r>
        <w:t>Sollis</w:t>
      </w:r>
      <w:proofErr w:type="spellEnd"/>
      <w:r>
        <w:t xml:space="preserve">, 2003). Some of the climate variables violated the normality assumption thus required transformation. </w:t>
      </w:r>
    </w:p>
    <w:p w:rsidR="002116B0" w:rsidRDefault="00FF7F9F">
      <w:pPr>
        <w:spacing w:line="476" w:lineRule="auto"/>
        <w:ind w:left="-5" w:right="10"/>
      </w:pPr>
      <w:r>
        <w:t xml:space="preserve">The auto regressive distributed lag model (ARDL) was used to assess linear trends of climate variables overtime is given by: </w:t>
      </w:r>
    </w:p>
    <w:p w:rsidR="002116B0" w:rsidRDefault="00FF7F9F">
      <w:pPr>
        <w:spacing w:after="359" w:line="259" w:lineRule="auto"/>
        <w:ind w:left="-62" w:firstLine="0"/>
        <w:jc w:val="left"/>
      </w:pPr>
      <w:r>
        <w:rPr>
          <w:noProof/>
        </w:rPr>
        <w:drawing>
          <wp:inline distT="0" distB="0" distL="0" distR="0">
            <wp:extent cx="2215896" cy="152400"/>
            <wp:effectExtent l="0" t="0" r="0" b="0"/>
            <wp:docPr id="59854" name="Picture 59854"/>
            <wp:cNvGraphicFramePr/>
            <a:graphic xmlns:a="http://schemas.openxmlformats.org/drawingml/2006/main">
              <a:graphicData uri="http://schemas.openxmlformats.org/drawingml/2006/picture">
                <pic:pic xmlns:pic="http://schemas.openxmlformats.org/drawingml/2006/picture">
                  <pic:nvPicPr>
                    <pic:cNvPr id="59854" name="Picture 59854"/>
                    <pic:cNvPicPr/>
                  </pic:nvPicPr>
                  <pic:blipFill>
                    <a:blip r:embed="rId15"/>
                    <a:stretch>
                      <a:fillRect/>
                    </a:stretch>
                  </pic:blipFill>
                  <pic:spPr>
                    <a:xfrm>
                      <a:off x="0" y="0"/>
                      <a:ext cx="2215896" cy="152400"/>
                    </a:xfrm>
                    <a:prstGeom prst="rect">
                      <a:avLst/>
                    </a:prstGeom>
                  </pic:spPr>
                </pic:pic>
              </a:graphicData>
            </a:graphic>
          </wp:inline>
        </w:drawing>
      </w:r>
      <w:r>
        <w:t xml:space="preserve"> </w:t>
      </w:r>
    </w:p>
    <w:p w:rsidR="002116B0" w:rsidRDefault="00FF7F9F">
      <w:pPr>
        <w:ind w:left="-5" w:right="10"/>
      </w:pPr>
      <w:r>
        <w:t xml:space="preserve">Where </w:t>
      </w:r>
    </w:p>
    <w:p w:rsidR="002116B0" w:rsidRDefault="00FF7F9F">
      <w:pPr>
        <w:spacing w:after="244"/>
        <w:ind w:left="-52" w:right="426"/>
        <w:jc w:val="right"/>
      </w:pPr>
      <w:r>
        <w:rPr>
          <w:noProof/>
        </w:rPr>
        <w:drawing>
          <wp:inline distT="0" distB="0" distL="0" distR="0">
            <wp:extent cx="1572768" cy="143256"/>
            <wp:effectExtent l="0" t="0" r="0" b="0"/>
            <wp:docPr id="59855" name="Picture 59855"/>
            <wp:cNvGraphicFramePr/>
            <a:graphic xmlns:a="http://schemas.openxmlformats.org/drawingml/2006/main">
              <a:graphicData uri="http://schemas.openxmlformats.org/drawingml/2006/picture">
                <pic:pic xmlns:pic="http://schemas.openxmlformats.org/drawingml/2006/picture">
                  <pic:nvPicPr>
                    <pic:cNvPr id="59855" name="Picture 59855"/>
                    <pic:cNvPicPr/>
                  </pic:nvPicPr>
                  <pic:blipFill>
                    <a:blip r:embed="rId16"/>
                    <a:stretch>
                      <a:fillRect/>
                    </a:stretch>
                  </pic:blipFill>
                  <pic:spPr>
                    <a:xfrm>
                      <a:off x="0" y="0"/>
                      <a:ext cx="1572768" cy="143256"/>
                    </a:xfrm>
                    <a:prstGeom prst="rect">
                      <a:avLst/>
                    </a:prstGeom>
                  </pic:spPr>
                </pic:pic>
              </a:graphicData>
            </a:graphic>
          </wp:inline>
        </w:drawing>
      </w:r>
      <w:r>
        <w:t xml:space="preserve"> (Sta</w:t>
      </w:r>
      <w:r>
        <w:t xml:space="preserve">rt of the season, end of the season, rainy days, mean-maximum </w:t>
      </w:r>
    </w:p>
    <w:p w:rsidR="002116B0" w:rsidRDefault="00FF7F9F">
      <w:pPr>
        <w:spacing w:line="476" w:lineRule="auto"/>
        <w:ind w:left="-5" w:right="10"/>
      </w:pPr>
      <w:proofErr w:type="gramStart"/>
      <w:r>
        <w:lastRenderedPageBreak/>
        <w:t>temperature</w:t>
      </w:r>
      <w:proofErr w:type="gramEnd"/>
      <w:r>
        <w:t xml:space="preserve">, lowest maximum temperatures, highest maximum temperature, mean minimum temperature, lowest minimum temperature and highest minimum temperatures) </w:t>
      </w:r>
    </w:p>
    <w:p w:rsidR="002116B0" w:rsidRDefault="00FF7F9F">
      <w:pPr>
        <w:spacing w:after="365" w:line="259" w:lineRule="auto"/>
        <w:ind w:left="-62" w:firstLine="0"/>
        <w:jc w:val="left"/>
      </w:pPr>
      <w:r>
        <w:rPr>
          <w:noProof/>
        </w:rPr>
        <w:drawing>
          <wp:inline distT="0" distB="0" distL="0" distR="0">
            <wp:extent cx="1002792" cy="143256"/>
            <wp:effectExtent l="0" t="0" r="0" b="0"/>
            <wp:docPr id="59856" name="Picture 59856"/>
            <wp:cNvGraphicFramePr/>
            <a:graphic xmlns:a="http://schemas.openxmlformats.org/drawingml/2006/main">
              <a:graphicData uri="http://schemas.openxmlformats.org/drawingml/2006/picture">
                <pic:pic xmlns:pic="http://schemas.openxmlformats.org/drawingml/2006/picture">
                  <pic:nvPicPr>
                    <pic:cNvPr id="59856" name="Picture 59856"/>
                    <pic:cNvPicPr/>
                  </pic:nvPicPr>
                  <pic:blipFill>
                    <a:blip r:embed="rId17"/>
                    <a:stretch>
                      <a:fillRect/>
                    </a:stretch>
                  </pic:blipFill>
                  <pic:spPr>
                    <a:xfrm>
                      <a:off x="0" y="0"/>
                      <a:ext cx="1002792" cy="143256"/>
                    </a:xfrm>
                    <a:prstGeom prst="rect">
                      <a:avLst/>
                    </a:prstGeom>
                  </pic:spPr>
                </pic:pic>
              </a:graphicData>
            </a:graphic>
          </wp:inline>
        </w:drawing>
      </w:r>
      <w:r>
        <w:t xml:space="preserve"> </w:t>
      </w:r>
    </w:p>
    <w:p w:rsidR="002116B0" w:rsidRDefault="00FF7F9F">
      <w:pPr>
        <w:spacing w:after="404" w:line="259" w:lineRule="auto"/>
        <w:ind w:left="-62" w:right="4741" w:firstLine="0"/>
        <w:jc w:val="center"/>
      </w:pPr>
      <w:r>
        <w:rPr>
          <w:noProof/>
        </w:rPr>
        <w:drawing>
          <wp:inline distT="0" distB="0" distL="0" distR="0">
            <wp:extent cx="3255264" cy="143256"/>
            <wp:effectExtent l="0" t="0" r="0" b="0"/>
            <wp:docPr id="59857" name="Picture 59857"/>
            <wp:cNvGraphicFramePr/>
            <a:graphic xmlns:a="http://schemas.openxmlformats.org/drawingml/2006/main">
              <a:graphicData uri="http://schemas.openxmlformats.org/drawingml/2006/picture">
                <pic:pic xmlns:pic="http://schemas.openxmlformats.org/drawingml/2006/picture">
                  <pic:nvPicPr>
                    <pic:cNvPr id="59857" name="Picture 59857"/>
                    <pic:cNvPicPr/>
                  </pic:nvPicPr>
                  <pic:blipFill>
                    <a:blip r:embed="rId18"/>
                    <a:stretch>
                      <a:fillRect/>
                    </a:stretch>
                  </pic:blipFill>
                  <pic:spPr>
                    <a:xfrm>
                      <a:off x="0" y="0"/>
                      <a:ext cx="3255264" cy="143256"/>
                    </a:xfrm>
                    <a:prstGeom prst="rect">
                      <a:avLst/>
                    </a:prstGeom>
                  </pic:spPr>
                </pic:pic>
              </a:graphicData>
            </a:graphic>
          </wp:inline>
        </w:drawing>
      </w:r>
      <w:r>
        <w:t xml:space="preserve"> </w:t>
      </w:r>
    </w:p>
    <w:p w:rsidR="002116B0" w:rsidRDefault="00FF7F9F">
      <w:pPr>
        <w:spacing w:after="347" w:line="259" w:lineRule="auto"/>
        <w:ind w:left="-62" w:right="5207" w:firstLine="0"/>
        <w:jc w:val="center"/>
      </w:pPr>
      <w:r>
        <w:rPr>
          <w:noProof/>
        </w:rPr>
        <w:drawing>
          <wp:inline distT="0" distB="0" distL="0" distR="0">
            <wp:extent cx="2953512" cy="146304"/>
            <wp:effectExtent l="0" t="0" r="0" b="0"/>
            <wp:docPr id="59858" name="Picture 59858"/>
            <wp:cNvGraphicFramePr/>
            <a:graphic xmlns:a="http://schemas.openxmlformats.org/drawingml/2006/main">
              <a:graphicData uri="http://schemas.openxmlformats.org/drawingml/2006/picture">
                <pic:pic xmlns:pic="http://schemas.openxmlformats.org/drawingml/2006/picture">
                  <pic:nvPicPr>
                    <pic:cNvPr id="59858" name="Picture 59858"/>
                    <pic:cNvPicPr/>
                  </pic:nvPicPr>
                  <pic:blipFill>
                    <a:blip r:embed="rId19"/>
                    <a:stretch>
                      <a:fillRect/>
                    </a:stretch>
                  </pic:blipFill>
                  <pic:spPr>
                    <a:xfrm>
                      <a:off x="0" y="0"/>
                      <a:ext cx="2953512" cy="146304"/>
                    </a:xfrm>
                    <a:prstGeom prst="rect">
                      <a:avLst/>
                    </a:prstGeom>
                  </pic:spPr>
                </pic:pic>
              </a:graphicData>
            </a:graphic>
          </wp:inline>
        </w:drawing>
      </w:r>
      <w:r>
        <w:t xml:space="preserve"> </w:t>
      </w:r>
    </w:p>
    <w:p w:rsidR="002116B0" w:rsidRDefault="00FF7F9F">
      <w:pPr>
        <w:spacing w:after="365" w:line="259" w:lineRule="auto"/>
        <w:ind w:left="-62" w:firstLine="0"/>
        <w:jc w:val="left"/>
      </w:pPr>
      <w:r>
        <w:rPr>
          <w:noProof/>
        </w:rPr>
        <w:drawing>
          <wp:inline distT="0" distB="0" distL="0" distR="0">
            <wp:extent cx="2231136" cy="143256"/>
            <wp:effectExtent l="0" t="0" r="0" b="0"/>
            <wp:docPr id="59859" name="Picture 59859"/>
            <wp:cNvGraphicFramePr/>
            <a:graphic xmlns:a="http://schemas.openxmlformats.org/drawingml/2006/main">
              <a:graphicData uri="http://schemas.openxmlformats.org/drawingml/2006/picture">
                <pic:pic xmlns:pic="http://schemas.openxmlformats.org/drawingml/2006/picture">
                  <pic:nvPicPr>
                    <pic:cNvPr id="59859" name="Picture 59859"/>
                    <pic:cNvPicPr/>
                  </pic:nvPicPr>
                  <pic:blipFill>
                    <a:blip r:embed="rId20"/>
                    <a:stretch>
                      <a:fillRect/>
                    </a:stretch>
                  </pic:blipFill>
                  <pic:spPr>
                    <a:xfrm>
                      <a:off x="0" y="0"/>
                      <a:ext cx="2231136" cy="143256"/>
                    </a:xfrm>
                    <a:prstGeom prst="rect">
                      <a:avLst/>
                    </a:prstGeom>
                  </pic:spPr>
                </pic:pic>
              </a:graphicData>
            </a:graphic>
          </wp:inline>
        </w:drawing>
      </w:r>
      <w:r>
        <w:t xml:space="preserve"> </w:t>
      </w:r>
    </w:p>
    <w:p w:rsidR="002116B0" w:rsidRDefault="00FF7F9F">
      <w:pPr>
        <w:spacing w:after="394" w:line="259" w:lineRule="auto"/>
        <w:ind w:left="-62" w:firstLine="0"/>
        <w:jc w:val="left"/>
      </w:pPr>
      <w:r>
        <w:rPr>
          <w:noProof/>
        </w:rPr>
        <w:drawing>
          <wp:inline distT="0" distB="0" distL="0" distR="0">
            <wp:extent cx="1085088" cy="109728"/>
            <wp:effectExtent l="0" t="0" r="0" b="0"/>
            <wp:docPr id="59860" name="Picture 59860"/>
            <wp:cNvGraphicFramePr/>
            <a:graphic xmlns:a="http://schemas.openxmlformats.org/drawingml/2006/main">
              <a:graphicData uri="http://schemas.openxmlformats.org/drawingml/2006/picture">
                <pic:pic xmlns:pic="http://schemas.openxmlformats.org/drawingml/2006/picture">
                  <pic:nvPicPr>
                    <pic:cNvPr id="59860" name="Picture 59860"/>
                    <pic:cNvPicPr/>
                  </pic:nvPicPr>
                  <pic:blipFill>
                    <a:blip r:embed="rId21"/>
                    <a:stretch>
                      <a:fillRect/>
                    </a:stretch>
                  </pic:blipFill>
                  <pic:spPr>
                    <a:xfrm>
                      <a:off x="0" y="0"/>
                      <a:ext cx="1085088" cy="109728"/>
                    </a:xfrm>
                    <a:prstGeom prst="rect">
                      <a:avLst/>
                    </a:prstGeom>
                  </pic:spPr>
                </pic:pic>
              </a:graphicData>
            </a:graphic>
          </wp:inline>
        </w:drawing>
      </w:r>
      <w:r>
        <w:t xml:space="preserve"> </w:t>
      </w:r>
    </w:p>
    <w:p w:rsidR="002116B0" w:rsidRDefault="00FF7F9F">
      <w:pPr>
        <w:spacing w:after="179" w:line="478" w:lineRule="auto"/>
        <w:ind w:left="-5" w:right="432"/>
      </w:pPr>
      <w:r>
        <w:t xml:space="preserve">Slopes </w:t>
      </w:r>
      <w:r>
        <w:t xml:space="preserve">were examined for any significant trends for all possible data points, from 1961 to 2012 for precipitation aspects and from 1978 to 2012 for temperature aspects. Previous studies by Estrada et al. (2013) and </w:t>
      </w:r>
      <w:proofErr w:type="spellStart"/>
      <w:r>
        <w:t>Osbahr</w:t>
      </w:r>
      <w:proofErr w:type="spellEnd"/>
      <w:r>
        <w:t xml:space="preserve"> et al. (2011) used time series analysis o</w:t>
      </w:r>
      <w:r>
        <w:t xml:space="preserve">f climate variables which fitted autoregressive integrated moving </w:t>
      </w:r>
      <w:proofErr w:type="gramStart"/>
      <w:r>
        <w:t>average  and</w:t>
      </w:r>
      <w:proofErr w:type="gramEnd"/>
      <w:r>
        <w:t xml:space="preserve"> </w:t>
      </w:r>
      <w:r>
        <w:rPr>
          <w:sz w:val="22"/>
        </w:rPr>
        <w:t xml:space="preserve">simple regression models respectively </w:t>
      </w:r>
      <w:r>
        <w:t xml:space="preserve">understand the trends in climate variables over time. </w:t>
      </w:r>
    </w:p>
    <w:p w:rsidR="002116B0" w:rsidRDefault="00FF7F9F">
      <w:pPr>
        <w:spacing w:line="477" w:lineRule="auto"/>
        <w:ind w:left="-5" w:right="435"/>
      </w:pPr>
      <w:r>
        <w:t>Bryan et al. (2013) used a choice model used to estimate the factors influencing far</w:t>
      </w:r>
      <w:r>
        <w:t xml:space="preserve">mers’ perceptions of long-term changes in rainfall variability. They </w:t>
      </w:r>
      <w:proofErr w:type="spellStart"/>
      <w:r>
        <w:t>categorised</w:t>
      </w:r>
      <w:proofErr w:type="spellEnd"/>
      <w:r>
        <w:t xml:space="preserve"> perceptions regarding long-term change in average temperature and precipitation fall into three (perceived increase, perceived decrease, and no change) and applied a multinomi</w:t>
      </w:r>
      <w:r>
        <w:t xml:space="preserve">al </w:t>
      </w:r>
      <w:proofErr w:type="spellStart"/>
      <w:r>
        <w:t>logit</w:t>
      </w:r>
      <w:proofErr w:type="spellEnd"/>
      <w:r>
        <w:t xml:space="preserve"> model to </w:t>
      </w:r>
      <w:proofErr w:type="spellStart"/>
      <w:r>
        <w:t>analyse</w:t>
      </w:r>
      <w:proofErr w:type="spellEnd"/>
      <w:r>
        <w:t xml:space="preserve"> the factors affecting these perceptions.  </w:t>
      </w:r>
    </w:p>
    <w:p w:rsidR="002116B0" w:rsidRDefault="00FF7F9F">
      <w:pPr>
        <w:pStyle w:val="Heading5"/>
        <w:ind w:left="-5" w:right="0"/>
      </w:pPr>
      <w:r>
        <w:t xml:space="preserve">Factor analysis  </w:t>
      </w:r>
    </w:p>
    <w:p w:rsidR="002116B0" w:rsidRDefault="00FF7F9F">
      <w:pPr>
        <w:spacing w:line="476" w:lineRule="auto"/>
        <w:ind w:left="-5" w:right="434"/>
      </w:pPr>
      <w:r>
        <w:t>Factor analysis was used to reduce six original variables known as drivers of recommendations into a few composite factors with minimum loss of information. The six orig</w:t>
      </w:r>
      <w:r>
        <w:t xml:space="preserve">inal variables were six statements in the </w:t>
      </w:r>
      <w:proofErr w:type="spellStart"/>
      <w:r>
        <w:t>questinnaire</w:t>
      </w:r>
      <w:proofErr w:type="spellEnd"/>
      <w:r>
        <w:t xml:space="preserve"> specified as follows: (My recommendations on CC strategies are influenced by the socioeconomic characteristics of the farmers, I often implement CC adaptation </w:t>
      </w:r>
      <w:r>
        <w:lastRenderedPageBreak/>
        <w:t>strategies in collaboration with other dev</w:t>
      </w:r>
      <w:r>
        <w:t>elopment stakeholders, I very knowledgeable on weather variability and CC adaptation strategies, The CC adaptation strategies that I undertake are mainly influence by government policies, I recommend CC adaptation strategies based on scientific information</w:t>
      </w:r>
      <w:r>
        <w:t xml:space="preserve">, I recommend CC adaptation strategies based on the policies of international developments agencies) </w:t>
      </w:r>
    </w:p>
    <w:p w:rsidR="002116B0" w:rsidRDefault="00FF7F9F">
      <w:pPr>
        <w:spacing w:line="477" w:lineRule="auto"/>
        <w:ind w:left="-5" w:right="432"/>
      </w:pPr>
      <w:r>
        <w:t>Principal components analysis was chosen for its capability to transform a group of observations of possibly correlated variables into linearly uncorrelat</w:t>
      </w:r>
      <w:r>
        <w:t>ed variables called principal components (</w:t>
      </w:r>
      <w:proofErr w:type="spellStart"/>
      <w:r>
        <w:t>Kisaka-Lwayo</w:t>
      </w:r>
      <w:proofErr w:type="spellEnd"/>
      <w:r>
        <w:t xml:space="preserve"> and Obi, 2012, </w:t>
      </w:r>
      <w:proofErr w:type="spellStart"/>
      <w:r>
        <w:t>Haiming</w:t>
      </w:r>
      <w:proofErr w:type="spellEnd"/>
      <w:r>
        <w:t xml:space="preserve"> and </w:t>
      </w:r>
      <w:proofErr w:type="spellStart"/>
      <w:r>
        <w:t>Wenlin</w:t>
      </w:r>
      <w:proofErr w:type="spellEnd"/>
      <w:r>
        <w:t xml:space="preserve">, 2005, Field, 2013). Each principal component is a continuous variable associated to the products of the values of the original variables and their component loadings </w:t>
      </w:r>
      <w:r>
        <w:t>(</w:t>
      </w:r>
      <w:proofErr w:type="spellStart"/>
      <w:r>
        <w:t>Kisaka-Lwayo</w:t>
      </w:r>
      <w:proofErr w:type="spellEnd"/>
      <w:r>
        <w:t xml:space="preserve"> and Obi, 2012, Field, 2013). The implicit form for computing principal components (</w:t>
      </w:r>
      <w:proofErr w:type="spellStart"/>
      <w:r>
        <w:t>PC</w:t>
      </w:r>
      <w:r>
        <w:rPr>
          <w:vertAlign w:val="subscript"/>
        </w:rPr>
        <w:t>n</w:t>
      </w:r>
      <w:proofErr w:type="spellEnd"/>
      <w:r>
        <w:t xml:space="preserve">) is given by: </w:t>
      </w:r>
    </w:p>
    <w:p w:rsidR="002116B0" w:rsidRDefault="00FF7F9F">
      <w:pPr>
        <w:spacing w:after="387" w:line="259" w:lineRule="auto"/>
        <w:ind w:left="-62" w:firstLine="0"/>
        <w:jc w:val="left"/>
      </w:pPr>
      <w:r>
        <w:rPr>
          <w:noProof/>
        </w:rPr>
        <w:drawing>
          <wp:inline distT="0" distB="0" distL="0" distR="0">
            <wp:extent cx="2081784" cy="146304"/>
            <wp:effectExtent l="0" t="0" r="0" b="0"/>
            <wp:docPr id="59861" name="Picture 59861"/>
            <wp:cNvGraphicFramePr/>
            <a:graphic xmlns:a="http://schemas.openxmlformats.org/drawingml/2006/main">
              <a:graphicData uri="http://schemas.openxmlformats.org/drawingml/2006/picture">
                <pic:pic xmlns:pic="http://schemas.openxmlformats.org/drawingml/2006/picture">
                  <pic:nvPicPr>
                    <pic:cNvPr id="59861" name="Picture 59861"/>
                    <pic:cNvPicPr/>
                  </pic:nvPicPr>
                  <pic:blipFill>
                    <a:blip r:embed="rId22"/>
                    <a:stretch>
                      <a:fillRect/>
                    </a:stretch>
                  </pic:blipFill>
                  <pic:spPr>
                    <a:xfrm>
                      <a:off x="0" y="0"/>
                      <a:ext cx="2081784" cy="146304"/>
                    </a:xfrm>
                    <a:prstGeom prst="rect">
                      <a:avLst/>
                    </a:prstGeom>
                  </pic:spPr>
                </pic:pic>
              </a:graphicData>
            </a:graphic>
          </wp:inline>
        </w:drawing>
      </w:r>
      <w:r>
        <w:t xml:space="preserve"> </w:t>
      </w:r>
    </w:p>
    <w:p w:rsidR="002116B0" w:rsidRDefault="00FF7F9F">
      <w:pPr>
        <w:spacing w:line="476" w:lineRule="auto"/>
        <w:ind w:left="-5" w:right="10"/>
      </w:pPr>
      <w:r>
        <w:t xml:space="preserve">In case of a number of principal components denoted by n, then a series of n equations can be written each to represent the different principal components as shown below: </w:t>
      </w:r>
    </w:p>
    <w:p w:rsidR="002116B0" w:rsidRDefault="00FF7F9F">
      <w:pPr>
        <w:spacing w:after="383" w:line="259" w:lineRule="auto"/>
        <w:ind w:left="-62" w:firstLine="0"/>
        <w:jc w:val="left"/>
      </w:pPr>
      <w:r>
        <w:rPr>
          <w:noProof/>
        </w:rPr>
        <w:drawing>
          <wp:inline distT="0" distB="0" distL="0" distR="0">
            <wp:extent cx="2273808" cy="140209"/>
            <wp:effectExtent l="0" t="0" r="0" b="0"/>
            <wp:docPr id="59862" name="Picture 59862"/>
            <wp:cNvGraphicFramePr/>
            <a:graphic xmlns:a="http://schemas.openxmlformats.org/drawingml/2006/main">
              <a:graphicData uri="http://schemas.openxmlformats.org/drawingml/2006/picture">
                <pic:pic xmlns:pic="http://schemas.openxmlformats.org/drawingml/2006/picture">
                  <pic:nvPicPr>
                    <pic:cNvPr id="59862" name="Picture 59862"/>
                    <pic:cNvPicPr/>
                  </pic:nvPicPr>
                  <pic:blipFill>
                    <a:blip r:embed="rId23"/>
                    <a:stretch>
                      <a:fillRect/>
                    </a:stretch>
                  </pic:blipFill>
                  <pic:spPr>
                    <a:xfrm>
                      <a:off x="0" y="0"/>
                      <a:ext cx="2273808" cy="140209"/>
                    </a:xfrm>
                    <a:prstGeom prst="rect">
                      <a:avLst/>
                    </a:prstGeom>
                  </pic:spPr>
                </pic:pic>
              </a:graphicData>
            </a:graphic>
          </wp:inline>
        </w:drawing>
      </w:r>
      <w:r>
        <w:t xml:space="preserve"> </w:t>
      </w:r>
    </w:p>
    <w:p w:rsidR="002116B0" w:rsidRDefault="00FF7F9F">
      <w:pPr>
        <w:spacing w:after="397"/>
        <w:ind w:left="-5" w:right="10"/>
      </w:pPr>
      <w:r>
        <w:t xml:space="preserve">Where </w:t>
      </w:r>
    </w:p>
    <w:p w:rsidR="002116B0" w:rsidRDefault="00FF7F9F">
      <w:pPr>
        <w:spacing w:after="365" w:line="259" w:lineRule="auto"/>
        <w:ind w:left="-62" w:firstLine="0"/>
        <w:jc w:val="left"/>
      </w:pPr>
      <w:r>
        <w:rPr>
          <w:noProof/>
        </w:rPr>
        <w:drawing>
          <wp:inline distT="0" distB="0" distL="0" distR="0">
            <wp:extent cx="2554224" cy="146304"/>
            <wp:effectExtent l="0" t="0" r="0" b="0"/>
            <wp:docPr id="59863" name="Picture 59863"/>
            <wp:cNvGraphicFramePr/>
            <a:graphic xmlns:a="http://schemas.openxmlformats.org/drawingml/2006/main">
              <a:graphicData uri="http://schemas.openxmlformats.org/drawingml/2006/picture">
                <pic:pic xmlns:pic="http://schemas.openxmlformats.org/drawingml/2006/picture">
                  <pic:nvPicPr>
                    <pic:cNvPr id="59863" name="Picture 59863"/>
                    <pic:cNvPicPr/>
                  </pic:nvPicPr>
                  <pic:blipFill>
                    <a:blip r:embed="rId24"/>
                    <a:stretch>
                      <a:fillRect/>
                    </a:stretch>
                  </pic:blipFill>
                  <pic:spPr>
                    <a:xfrm>
                      <a:off x="0" y="0"/>
                      <a:ext cx="2554224" cy="146304"/>
                    </a:xfrm>
                    <a:prstGeom prst="rect">
                      <a:avLst/>
                    </a:prstGeom>
                  </pic:spPr>
                </pic:pic>
              </a:graphicData>
            </a:graphic>
          </wp:inline>
        </w:drawing>
      </w:r>
      <w:r>
        <w:t xml:space="preserve"> </w:t>
      </w:r>
    </w:p>
    <w:p w:rsidR="002116B0" w:rsidRDefault="00FF7F9F">
      <w:pPr>
        <w:spacing w:after="365" w:line="259" w:lineRule="auto"/>
        <w:ind w:left="-62" w:firstLine="0"/>
        <w:jc w:val="left"/>
      </w:pPr>
      <w:r>
        <w:rPr>
          <w:noProof/>
        </w:rPr>
        <w:drawing>
          <wp:inline distT="0" distB="0" distL="0" distR="0">
            <wp:extent cx="2462784" cy="149352"/>
            <wp:effectExtent l="0" t="0" r="0" b="0"/>
            <wp:docPr id="59864" name="Picture 59864"/>
            <wp:cNvGraphicFramePr/>
            <a:graphic xmlns:a="http://schemas.openxmlformats.org/drawingml/2006/main">
              <a:graphicData uri="http://schemas.openxmlformats.org/drawingml/2006/picture">
                <pic:pic xmlns:pic="http://schemas.openxmlformats.org/drawingml/2006/picture">
                  <pic:nvPicPr>
                    <pic:cNvPr id="59864" name="Picture 59864"/>
                    <pic:cNvPicPr/>
                  </pic:nvPicPr>
                  <pic:blipFill>
                    <a:blip r:embed="rId25"/>
                    <a:stretch>
                      <a:fillRect/>
                    </a:stretch>
                  </pic:blipFill>
                  <pic:spPr>
                    <a:xfrm>
                      <a:off x="0" y="0"/>
                      <a:ext cx="2462784" cy="149352"/>
                    </a:xfrm>
                    <a:prstGeom prst="rect">
                      <a:avLst/>
                    </a:prstGeom>
                  </pic:spPr>
                </pic:pic>
              </a:graphicData>
            </a:graphic>
          </wp:inline>
        </w:drawing>
      </w:r>
      <w:r>
        <w:t xml:space="preserve"> </w:t>
      </w:r>
    </w:p>
    <w:p w:rsidR="002116B0" w:rsidRDefault="00FF7F9F">
      <w:pPr>
        <w:spacing w:after="399" w:line="259" w:lineRule="auto"/>
        <w:ind w:left="-62" w:firstLine="0"/>
        <w:jc w:val="left"/>
      </w:pPr>
      <w:r>
        <w:rPr>
          <w:noProof/>
        </w:rPr>
        <w:drawing>
          <wp:inline distT="0" distB="0" distL="0" distR="0">
            <wp:extent cx="1764792" cy="146304"/>
            <wp:effectExtent l="0" t="0" r="0" b="0"/>
            <wp:docPr id="59865" name="Picture 59865"/>
            <wp:cNvGraphicFramePr/>
            <a:graphic xmlns:a="http://schemas.openxmlformats.org/drawingml/2006/main">
              <a:graphicData uri="http://schemas.openxmlformats.org/drawingml/2006/picture">
                <pic:pic xmlns:pic="http://schemas.openxmlformats.org/drawingml/2006/picture">
                  <pic:nvPicPr>
                    <pic:cNvPr id="59865" name="Picture 59865"/>
                    <pic:cNvPicPr/>
                  </pic:nvPicPr>
                  <pic:blipFill>
                    <a:blip r:embed="rId26"/>
                    <a:stretch>
                      <a:fillRect/>
                    </a:stretch>
                  </pic:blipFill>
                  <pic:spPr>
                    <a:xfrm>
                      <a:off x="0" y="0"/>
                      <a:ext cx="1764792" cy="146304"/>
                    </a:xfrm>
                    <a:prstGeom prst="rect">
                      <a:avLst/>
                    </a:prstGeom>
                  </pic:spPr>
                </pic:pic>
              </a:graphicData>
            </a:graphic>
          </wp:inline>
        </w:drawing>
      </w:r>
      <w:r>
        <w:t xml:space="preserve"> </w:t>
      </w:r>
    </w:p>
    <w:p w:rsidR="002116B0" w:rsidRDefault="00FF7F9F">
      <w:pPr>
        <w:spacing w:after="0" w:line="259" w:lineRule="auto"/>
        <w:ind w:left="-62" w:right="4796" w:firstLine="0"/>
        <w:jc w:val="center"/>
      </w:pPr>
      <w:r>
        <w:rPr>
          <w:noProof/>
        </w:rPr>
        <w:drawing>
          <wp:inline distT="0" distB="0" distL="0" distR="0">
            <wp:extent cx="3215640" cy="143256"/>
            <wp:effectExtent l="0" t="0" r="0" b="0"/>
            <wp:docPr id="59866" name="Picture 59866"/>
            <wp:cNvGraphicFramePr/>
            <a:graphic xmlns:a="http://schemas.openxmlformats.org/drawingml/2006/main">
              <a:graphicData uri="http://schemas.openxmlformats.org/drawingml/2006/picture">
                <pic:pic xmlns:pic="http://schemas.openxmlformats.org/drawingml/2006/picture">
                  <pic:nvPicPr>
                    <pic:cNvPr id="59866" name="Picture 59866"/>
                    <pic:cNvPicPr/>
                  </pic:nvPicPr>
                  <pic:blipFill>
                    <a:blip r:embed="rId27"/>
                    <a:stretch>
                      <a:fillRect/>
                    </a:stretch>
                  </pic:blipFill>
                  <pic:spPr>
                    <a:xfrm>
                      <a:off x="0" y="0"/>
                      <a:ext cx="3215640" cy="143256"/>
                    </a:xfrm>
                    <a:prstGeom prst="rect">
                      <a:avLst/>
                    </a:prstGeom>
                  </pic:spPr>
                </pic:pic>
              </a:graphicData>
            </a:graphic>
          </wp:inline>
        </w:drawing>
      </w:r>
      <w:r>
        <w:t xml:space="preserve"> </w:t>
      </w:r>
    </w:p>
    <w:p w:rsidR="002116B0" w:rsidRDefault="00FF7F9F">
      <w:pPr>
        <w:spacing w:line="476" w:lineRule="auto"/>
        <w:ind w:left="-5" w:right="10"/>
      </w:pPr>
      <w:r>
        <w:t xml:space="preserve">The new factors extracted were then used in the </w:t>
      </w:r>
      <w:proofErr w:type="spellStart"/>
      <w:r>
        <w:t>logit</w:t>
      </w:r>
      <w:proofErr w:type="spellEnd"/>
      <w:r>
        <w:t xml:space="preserve"> regressi</w:t>
      </w:r>
      <w:r>
        <w:t xml:space="preserve">ons as explanatory variables influencing recommendations of extension officers. </w:t>
      </w:r>
    </w:p>
    <w:p w:rsidR="002116B0" w:rsidRDefault="00FF7F9F">
      <w:pPr>
        <w:pStyle w:val="Heading5"/>
        <w:ind w:left="-5" w:right="0"/>
      </w:pPr>
      <w:r>
        <w:lastRenderedPageBreak/>
        <w:t xml:space="preserve">Logistic regression model </w:t>
      </w:r>
    </w:p>
    <w:p w:rsidR="002116B0" w:rsidRDefault="00FF7F9F">
      <w:pPr>
        <w:spacing w:line="477" w:lineRule="auto"/>
        <w:ind w:left="-5" w:right="434"/>
      </w:pPr>
      <w:r>
        <w:t>This study used a binary logistic regression model to estimate the probability of extension officers making a given recommendation. The extension of</w:t>
      </w:r>
      <w:r>
        <w:t>ficers recommend various adaptation strategies and crops to wealthy and resource poor farmers, these recommendations were the dependent variables hence for each recommendation a logistic regression run to infer the factors that influenced the recommendatio</w:t>
      </w:r>
      <w:r>
        <w:t xml:space="preserve">n. The recommendations to wealthy farmers are assumed to differ from that made to poor farmers to take into account the divergent risk profiles and utility functions for these two categories of farmers. </w:t>
      </w:r>
    </w:p>
    <w:p w:rsidR="002116B0" w:rsidRDefault="00FF7F9F">
      <w:pPr>
        <w:spacing w:line="476" w:lineRule="auto"/>
        <w:ind w:left="-5" w:right="10"/>
      </w:pPr>
      <w:r>
        <w:t xml:space="preserve">The cumulative distribution function for a logistic </w:t>
      </w:r>
      <w:r>
        <w:t xml:space="preserve">random variable is given by Hill et al. (2008) as shown below:  </w:t>
      </w:r>
    </w:p>
    <w:p w:rsidR="002116B0" w:rsidRDefault="00FF7F9F">
      <w:pPr>
        <w:spacing w:after="428" w:line="259" w:lineRule="auto"/>
        <w:ind w:left="-62" w:firstLine="0"/>
        <w:jc w:val="left"/>
      </w:pPr>
      <w:r>
        <w:rPr>
          <w:noProof/>
        </w:rPr>
        <w:drawing>
          <wp:inline distT="0" distB="0" distL="0" distR="0">
            <wp:extent cx="1530096" cy="240792"/>
            <wp:effectExtent l="0" t="0" r="0" b="0"/>
            <wp:docPr id="59867" name="Picture 59867"/>
            <wp:cNvGraphicFramePr/>
            <a:graphic xmlns:a="http://schemas.openxmlformats.org/drawingml/2006/main">
              <a:graphicData uri="http://schemas.openxmlformats.org/drawingml/2006/picture">
                <pic:pic xmlns:pic="http://schemas.openxmlformats.org/drawingml/2006/picture">
                  <pic:nvPicPr>
                    <pic:cNvPr id="59867" name="Picture 59867"/>
                    <pic:cNvPicPr/>
                  </pic:nvPicPr>
                  <pic:blipFill>
                    <a:blip r:embed="rId28"/>
                    <a:stretch>
                      <a:fillRect/>
                    </a:stretch>
                  </pic:blipFill>
                  <pic:spPr>
                    <a:xfrm>
                      <a:off x="0" y="0"/>
                      <a:ext cx="1530096" cy="240792"/>
                    </a:xfrm>
                    <a:prstGeom prst="rect">
                      <a:avLst/>
                    </a:prstGeom>
                  </pic:spPr>
                </pic:pic>
              </a:graphicData>
            </a:graphic>
          </wp:inline>
        </w:drawing>
      </w:r>
      <w:r>
        <w:t xml:space="preserve">  </w:t>
      </w:r>
    </w:p>
    <w:p w:rsidR="002116B0" w:rsidRDefault="00FF7F9F">
      <w:pPr>
        <w:spacing w:after="393"/>
        <w:ind w:left="-5" w:right="10"/>
      </w:pPr>
      <w:r>
        <w:t xml:space="preserve">The probability that the </w:t>
      </w:r>
      <w:proofErr w:type="spellStart"/>
      <w:r>
        <w:t>i</w:t>
      </w:r>
      <w:r>
        <w:rPr>
          <w:vertAlign w:val="superscript"/>
        </w:rPr>
        <w:t>th</w:t>
      </w:r>
      <w:proofErr w:type="spellEnd"/>
      <w:r>
        <w:t xml:space="preserve"> extension officer chooses recommendation j, lies between 0 and 1. </w:t>
      </w:r>
    </w:p>
    <w:p w:rsidR="002116B0" w:rsidRDefault="00FF7F9F">
      <w:pPr>
        <w:spacing w:after="357" w:line="259" w:lineRule="auto"/>
        <w:ind w:left="-62" w:right="3452" w:firstLine="0"/>
        <w:jc w:val="center"/>
      </w:pPr>
      <w:r>
        <w:rPr>
          <w:noProof/>
        </w:rPr>
        <w:drawing>
          <wp:inline distT="0" distB="0" distL="0" distR="0">
            <wp:extent cx="4062984" cy="204216"/>
            <wp:effectExtent l="0" t="0" r="0" b="0"/>
            <wp:docPr id="59868" name="Picture 59868"/>
            <wp:cNvGraphicFramePr/>
            <a:graphic xmlns:a="http://schemas.openxmlformats.org/drawingml/2006/main">
              <a:graphicData uri="http://schemas.openxmlformats.org/drawingml/2006/picture">
                <pic:pic xmlns:pic="http://schemas.openxmlformats.org/drawingml/2006/picture">
                  <pic:nvPicPr>
                    <pic:cNvPr id="59868" name="Picture 59868"/>
                    <pic:cNvPicPr/>
                  </pic:nvPicPr>
                  <pic:blipFill>
                    <a:blip r:embed="rId29"/>
                    <a:stretch>
                      <a:fillRect/>
                    </a:stretch>
                  </pic:blipFill>
                  <pic:spPr>
                    <a:xfrm>
                      <a:off x="0" y="0"/>
                      <a:ext cx="4062984" cy="204216"/>
                    </a:xfrm>
                    <a:prstGeom prst="rect">
                      <a:avLst/>
                    </a:prstGeom>
                  </pic:spPr>
                </pic:pic>
              </a:graphicData>
            </a:graphic>
          </wp:inline>
        </w:drawing>
      </w:r>
      <w:r>
        <w:t xml:space="preserve"> </w:t>
      </w:r>
    </w:p>
    <w:p w:rsidR="002116B0" w:rsidRDefault="00FF7F9F">
      <w:pPr>
        <w:spacing w:after="391"/>
        <w:ind w:left="-5" w:right="10"/>
      </w:pPr>
      <w:r>
        <w:t xml:space="preserve">Probability that the observed value of Y takes the value of 1 given by below: </w:t>
      </w:r>
    </w:p>
    <w:p w:rsidR="002116B0" w:rsidRDefault="00FF7F9F">
      <w:pPr>
        <w:spacing w:after="364" w:line="259" w:lineRule="auto"/>
        <w:ind w:left="-62" w:firstLine="0"/>
        <w:jc w:val="left"/>
      </w:pPr>
      <w:r>
        <w:rPr>
          <w:noProof/>
        </w:rPr>
        <w:drawing>
          <wp:inline distT="0" distB="0" distL="0" distR="0">
            <wp:extent cx="2042160" cy="274320"/>
            <wp:effectExtent l="0" t="0" r="0" b="0"/>
            <wp:docPr id="59869" name="Picture 59869"/>
            <wp:cNvGraphicFramePr/>
            <a:graphic xmlns:a="http://schemas.openxmlformats.org/drawingml/2006/main">
              <a:graphicData uri="http://schemas.openxmlformats.org/drawingml/2006/picture">
                <pic:pic xmlns:pic="http://schemas.openxmlformats.org/drawingml/2006/picture">
                  <pic:nvPicPr>
                    <pic:cNvPr id="59869" name="Picture 59869"/>
                    <pic:cNvPicPr/>
                  </pic:nvPicPr>
                  <pic:blipFill>
                    <a:blip r:embed="rId30"/>
                    <a:stretch>
                      <a:fillRect/>
                    </a:stretch>
                  </pic:blipFill>
                  <pic:spPr>
                    <a:xfrm>
                      <a:off x="0" y="0"/>
                      <a:ext cx="2042160" cy="274320"/>
                    </a:xfrm>
                    <a:prstGeom prst="rect">
                      <a:avLst/>
                    </a:prstGeom>
                  </pic:spPr>
                </pic:pic>
              </a:graphicData>
            </a:graphic>
          </wp:inline>
        </w:drawing>
      </w:r>
      <w:r>
        <w:t xml:space="preserve">  </w:t>
      </w:r>
    </w:p>
    <w:p w:rsidR="002116B0" w:rsidRDefault="00FF7F9F">
      <w:pPr>
        <w:spacing w:after="374"/>
        <w:ind w:left="-5" w:right="10"/>
      </w:pPr>
      <w:r>
        <w:t xml:space="preserve">Where  </w:t>
      </w:r>
    </w:p>
    <w:p w:rsidR="002116B0" w:rsidRDefault="00FF7F9F">
      <w:pPr>
        <w:spacing w:after="0" w:line="259" w:lineRule="auto"/>
        <w:ind w:left="-62" w:right="1481" w:firstLine="0"/>
        <w:jc w:val="right"/>
      </w:pPr>
      <w:r>
        <w:rPr>
          <w:noProof/>
        </w:rPr>
        <w:drawing>
          <wp:inline distT="0" distB="0" distL="0" distR="0">
            <wp:extent cx="5248657" cy="161544"/>
            <wp:effectExtent l="0" t="0" r="0" b="0"/>
            <wp:docPr id="59870" name="Picture 59870"/>
            <wp:cNvGraphicFramePr/>
            <a:graphic xmlns:a="http://schemas.openxmlformats.org/drawingml/2006/main">
              <a:graphicData uri="http://schemas.openxmlformats.org/drawingml/2006/picture">
                <pic:pic xmlns:pic="http://schemas.openxmlformats.org/drawingml/2006/picture">
                  <pic:nvPicPr>
                    <pic:cNvPr id="59870" name="Picture 59870"/>
                    <pic:cNvPicPr/>
                  </pic:nvPicPr>
                  <pic:blipFill>
                    <a:blip r:embed="rId31"/>
                    <a:stretch>
                      <a:fillRect/>
                    </a:stretch>
                  </pic:blipFill>
                  <pic:spPr>
                    <a:xfrm>
                      <a:off x="0" y="0"/>
                      <a:ext cx="5248657" cy="161544"/>
                    </a:xfrm>
                    <a:prstGeom prst="rect">
                      <a:avLst/>
                    </a:prstGeom>
                  </pic:spPr>
                </pic:pic>
              </a:graphicData>
            </a:graphic>
          </wp:inline>
        </w:drawing>
      </w:r>
      <w:r>
        <w:t xml:space="preserve">  </w:t>
      </w:r>
    </w:p>
    <w:p w:rsidR="002116B0" w:rsidRDefault="00FF7F9F">
      <w:pPr>
        <w:spacing w:line="475" w:lineRule="auto"/>
        <w:ind w:left="-5" w:right="436"/>
      </w:pPr>
      <w:r>
        <w:t>(</w:t>
      </w:r>
      <w:r>
        <w:rPr>
          <w:noProof/>
        </w:rPr>
        <w:drawing>
          <wp:inline distT="0" distB="0" distL="0" distR="0">
            <wp:extent cx="640080" cy="146304"/>
            <wp:effectExtent l="0" t="0" r="0" b="0"/>
            <wp:docPr id="59871" name="Picture 59871"/>
            <wp:cNvGraphicFramePr/>
            <a:graphic xmlns:a="http://schemas.openxmlformats.org/drawingml/2006/main">
              <a:graphicData uri="http://schemas.openxmlformats.org/drawingml/2006/picture">
                <pic:pic xmlns:pic="http://schemas.openxmlformats.org/drawingml/2006/picture">
                  <pic:nvPicPr>
                    <pic:cNvPr id="59871" name="Picture 59871"/>
                    <pic:cNvPicPr/>
                  </pic:nvPicPr>
                  <pic:blipFill>
                    <a:blip r:embed="rId32"/>
                    <a:stretch>
                      <a:fillRect/>
                    </a:stretch>
                  </pic:blipFill>
                  <pic:spPr>
                    <a:xfrm>
                      <a:off x="0" y="0"/>
                      <a:ext cx="640080" cy="146304"/>
                    </a:xfrm>
                    <a:prstGeom prst="rect">
                      <a:avLst/>
                    </a:prstGeom>
                  </pic:spPr>
                </pic:pic>
              </a:graphicData>
            </a:graphic>
          </wp:inline>
        </w:drawing>
      </w:r>
      <w:r>
        <w:t xml:space="preserve"> intercropping, agroforestry, mixed farming, use of long maturing high yielding crops, use manure and fertilizer, drought tolerant crops, crop diversification, irrigation, early planting and early maturing crops, crop recommendations) </w:t>
      </w:r>
    </w:p>
    <w:p w:rsidR="002116B0" w:rsidRDefault="00FF7F9F">
      <w:pPr>
        <w:spacing w:after="362" w:line="259" w:lineRule="auto"/>
        <w:ind w:left="-62" w:right="3894" w:firstLine="0"/>
        <w:jc w:val="center"/>
      </w:pPr>
      <w:r>
        <w:rPr>
          <w:noProof/>
        </w:rPr>
        <w:drawing>
          <wp:inline distT="0" distB="0" distL="0" distR="0">
            <wp:extent cx="3791712" cy="146304"/>
            <wp:effectExtent l="0" t="0" r="0" b="0"/>
            <wp:docPr id="59872" name="Picture 59872"/>
            <wp:cNvGraphicFramePr/>
            <a:graphic xmlns:a="http://schemas.openxmlformats.org/drawingml/2006/main">
              <a:graphicData uri="http://schemas.openxmlformats.org/drawingml/2006/picture">
                <pic:pic xmlns:pic="http://schemas.openxmlformats.org/drawingml/2006/picture">
                  <pic:nvPicPr>
                    <pic:cNvPr id="59872" name="Picture 59872"/>
                    <pic:cNvPicPr/>
                  </pic:nvPicPr>
                  <pic:blipFill>
                    <a:blip r:embed="rId33"/>
                    <a:stretch>
                      <a:fillRect/>
                    </a:stretch>
                  </pic:blipFill>
                  <pic:spPr>
                    <a:xfrm>
                      <a:off x="0" y="0"/>
                      <a:ext cx="3791712" cy="146304"/>
                    </a:xfrm>
                    <a:prstGeom prst="rect">
                      <a:avLst/>
                    </a:prstGeom>
                  </pic:spPr>
                </pic:pic>
              </a:graphicData>
            </a:graphic>
          </wp:inline>
        </w:drawing>
      </w:r>
      <w:r>
        <w:t xml:space="preserve"> </w:t>
      </w:r>
    </w:p>
    <w:p w:rsidR="002116B0" w:rsidRDefault="00FF7F9F">
      <w:pPr>
        <w:spacing w:after="399" w:line="259" w:lineRule="auto"/>
        <w:ind w:left="-62" w:right="1400" w:firstLine="0"/>
        <w:jc w:val="right"/>
      </w:pPr>
      <w:r>
        <w:rPr>
          <w:noProof/>
        </w:rPr>
        <w:drawing>
          <wp:inline distT="0" distB="0" distL="0" distR="0">
            <wp:extent cx="5309616" cy="143256"/>
            <wp:effectExtent l="0" t="0" r="0" b="0"/>
            <wp:docPr id="59873" name="Picture 59873"/>
            <wp:cNvGraphicFramePr/>
            <a:graphic xmlns:a="http://schemas.openxmlformats.org/drawingml/2006/main">
              <a:graphicData uri="http://schemas.openxmlformats.org/drawingml/2006/picture">
                <pic:pic xmlns:pic="http://schemas.openxmlformats.org/drawingml/2006/picture">
                  <pic:nvPicPr>
                    <pic:cNvPr id="59873" name="Picture 59873"/>
                    <pic:cNvPicPr/>
                  </pic:nvPicPr>
                  <pic:blipFill>
                    <a:blip r:embed="rId34"/>
                    <a:stretch>
                      <a:fillRect/>
                    </a:stretch>
                  </pic:blipFill>
                  <pic:spPr>
                    <a:xfrm>
                      <a:off x="0" y="0"/>
                      <a:ext cx="5309616" cy="143256"/>
                    </a:xfrm>
                    <a:prstGeom prst="rect">
                      <a:avLst/>
                    </a:prstGeom>
                  </pic:spPr>
                </pic:pic>
              </a:graphicData>
            </a:graphic>
          </wp:inline>
        </w:drawing>
      </w:r>
      <w:r>
        <w:t xml:space="preserve">  </w:t>
      </w:r>
    </w:p>
    <w:p w:rsidR="002116B0" w:rsidRDefault="00FF7F9F">
      <w:pPr>
        <w:spacing w:after="230"/>
        <w:ind w:right="426"/>
        <w:jc w:val="right"/>
      </w:pPr>
      <w:r>
        <w:rPr>
          <w:noProof/>
        </w:rPr>
        <w:lastRenderedPageBreak/>
        <w:drawing>
          <wp:inline distT="0" distB="0" distL="0" distR="0">
            <wp:extent cx="673608" cy="146304"/>
            <wp:effectExtent l="0" t="0" r="0" b="0"/>
            <wp:docPr id="59874" name="Picture 59874"/>
            <wp:cNvGraphicFramePr/>
            <a:graphic xmlns:a="http://schemas.openxmlformats.org/drawingml/2006/main">
              <a:graphicData uri="http://schemas.openxmlformats.org/drawingml/2006/picture">
                <pic:pic xmlns:pic="http://schemas.openxmlformats.org/drawingml/2006/picture">
                  <pic:nvPicPr>
                    <pic:cNvPr id="59874" name="Picture 59874"/>
                    <pic:cNvPicPr/>
                  </pic:nvPicPr>
                  <pic:blipFill>
                    <a:blip r:embed="rId35"/>
                    <a:stretch>
                      <a:fillRect/>
                    </a:stretch>
                  </pic:blipFill>
                  <pic:spPr>
                    <a:xfrm>
                      <a:off x="0" y="0"/>
                      <a:ext cx="673608" cy="146304"/>
                    </a:xfrm>
                    <a:prstGeom prst="rect">
                      <a:avLst/>
                    </a:prstGeom>
                  </pic:spPr>
                </pic:pic>
              </a:graphicData>
            </a:graphic>
          </wp:inline>
        </w:drawing>
      </w:r>
      <w:r>
        <w:t xml:space="preserve"> Age of the respondent, sex, level of education, years of experience, employing sector, </w:t>
      </w:r>
    </w:p>
    <w:p w:rsidR="002116B0" w:rsidRDefault="00FF7F9F">
      <w:pPr>
        <w:spacing w:after="58" w:line="539" w:lineRule="auto"/>
        <w:ind w:left="-5" w:right="434"/>
      </w:pPr>
      <w:proofErr w:type="gramStart"/>
      <w:r>
        <w:t>perception</w:t>
      </w:r>
      <w:proofErr w:type="gramEnd"/>
      <w:r>
        <w:t xml:space="preserve"> of the trend in rainfall amount, sources of information, numbers of sources used, perception of risk of climate failure, reliability of information and drivers of recommendations.) The probability that the observed value of Y=0 is given below:  </w:t>
      </w:r>
    </w:p>
    <w:p w:rsidR="002116B0" w:rsidRDefault="00FF7F9F">
      <w:pPr>
        <w:spacing w:after="362" w:line="259" w:lineRule="auto"/>
        <w:ind w:left="-22" w:firstLine="0"/>
        <w:jc w:val="left"/>
      </w:pPr>
      <w:r>
        <w:rPr>
          <w:noProof/>
        </w:rPr>
        <w:drawing>
          <wp:inline distT="0" distB="0" distL="0" distR="0">
            <wp:extent cx="1813560" cy="359664"/>
            <wp:effectExtent l="0" t="0" r="0" b="0"/>
            <wp:docPr id="59875" name="Picture 59875"/>
            <wp:cNvGraphicFramePr/>
            <a:graphic xmlns:a="http://schemas.openxmlformats.org/drawingml/2006/main">
              <a:graphicData uri="http://schemas.openxmlformats.org/drawingml/2006/picture">
                <pic:pic xmlns:pic="http://schemas.openxmlformats.org/drawingml/2006/picture">
                  <pic:nvPicPr>
                    <pic:cNvPr id="59875" name="Picture 59875"/>
                    <pic:cNvPicPr/>
                  </pic:nvPicPr>
                  <pic:blipFill>
                    <a:blip r:embed="rId36"/>
                    <a:stretch>
                      <a:fillRect/>
                    </a:stretch>
                  </pic:blipFill>
                  <pic:spPr>
                    <a:xfrm>
                      <a:off x="0" y="0"/>
                      <a:ext cx="1813560" cy="359664"/>
                    </a:xfrm>
                    <a:prstGeom prst="rect">
                      <a:avLst/>
                    </a:prstGeom>
                  </pic:spPr>
                </pic:pic>
              </a:graphicData>
            </a:graphic>
          </wp:inline>
        </w:drawing>
      </w:r>
      <w:r>
        <w:t xml:space="preserve"> </w:t>
      </w:r>
    </w:p>
    <w:p w:rsidR="002116B0" w:rsidRDefault="00FF7F9F">
      <w:pPr>
        <w:spacing w:after="341"/>
        <w:ind w:left="-5" w:right="10"/>
      </w:pPr>
      <w:r>
        <w:t xml:space="preserve">The logistic regression model is thus given below: </w:t>
      </w:r>
    </w:p>
    <w:p w:rsidR="002116B0" w:rsidRDefault="00FF7F9F">
      <w:pPr>
        <w:spacing w:after="351" w:line="259" w:lineRule="auto"/>
        <w:ind w:left="-62" w:right="4105" w:firstLine="0"/>
        <w:jc w:val="center"/>
      </w:pPr>
      <w:r>
        <w:rPr>
          <w:noProof/>
        </w:rPr>
        <w:drawing>
          <wp:inline distT="0" distB="0" distL="0" distR="0">
            <wp:extent cx="3651504" cy="198120"/>
            <wp:effectExtent l="0" t="0" r="0" b="0"/>
            <wp:docPr id="59876" name="Picture 59876"/>
            <wp:cNvGraphicFramePr/>
            <a:graphic xmlns:a="http://schemas.openxmlformats.org/drawingml/2006/main">
              <a:graphicData uri="http://schemas.openxmlformats.org/drawingml/2006/picture">
                <pic:pic xmlns:pic="http://schemas.openxmlformats.org/drawingml/2006/picture">
                  <pic:nvPicPr>
                    <pic:cNvPr id="59876" name="Picture 59876"/>
                    <pic:cNvPicPr/>
                  </pic:nvPicPr>
                  <pic:blipFill>
                    <a:blip r:embed="rId37"/>
                    <a:stretch>
                      <a:fillRect/>
                    </a:stretch>
                  </pic:blipFill>
                  <pic:spPr>
                    <a:xfrm>
                      <a:off x="0" y="0"/>
                      <a:ext cx="3651504" cy="198120"/>
                    </a:xfrm>
                    <a:prstGeom prst="rect">
                      <a:avLst/>
                    </a:prstGeom>
                  </pic:spPr>
                </pic:pic>
              </a:graphicData>
            </a:graphic>
          </wp:inline>
        </w:drawing>
      </w:r>
      <w:r>
        <w:t xml:space="preserve"> </w:t>
      </w:r>
    </w:p>
    <w:p w:rsidR="002116B0" w:rsidRDefault="00FF7F9F">
      <w:pPr>
        <w:spacing w:after="394"/>
        <w:ind w:left="-5" w:right="10"/>
      </w:pPr>
      <w:r>
        <w:t xml:space="preserve">(Hill et al., 2008) </w:t>
      </w:r>
    </w:p>
    <w:p w:rsidR="002116B0" w:rsidRDefault="00FF7F9F">
      <w:pPr>
        <w:pStyle w:val="Heading5"/>
        <w:ind w:left="-5" w:right="0"/>
      </w:pPr>
      <w:r>
        <w:t xml:space="preserve">Cluster analysis </w:t>
      </w:r>
    </w:p>
    <w:p w:rsidR="002116B0" w:rsidRDefault="00FF7F9F">
      <w:pPr>
        <w:spacing w:after="187" w:line="477" w:lineRule="auto"/>
        <w:ind w:left="-5" w:right="436"/>
      </w:pPr>
      <w:r>
        <w:t xml:space="preserve">Cluster analysis was used to group extension officers’ crop recommendations into two groups in such a way the recommendations in the same cluster are more similar to each other than those in the other cluster. The two clusters obtained were formed part of </w:t>
      </w:r>
      <w:r>
        <w:t xml:space="preserve">the dependent variables in the </w:t>
      </w:r>
      <w:proofErr w:type="spellStart"/>
      <w:r>
        <w:t>logit</w:t>
      </w:r>
      <w:proofErr w:type="spellEnd"/>
      <w:r>
        <w:t xml:space="preserve"> regression </w:t>
      </w:r>
    </w:p>
    <w:p w:rsidR="002116B0" w:rsidRDefault="00FF7F9F">
      <w:pPr>
        <w:pStyle w:val="Heading3"/>
        <w:ind w:left="-5"/>
      </w:pPr>
      <w:bookmarkStart w:id="23" w:name="_Toc61300"/>
      <w:r>
        <w:t xml:space="preserve">3.5 Limitations of the study </w:t>
      </w:r>
      <w:bookmarkEnd w:id="23"/>
    </w:p>
    <w:p w:rsidR="002116B0" w:rsidRDefault="00FF7F9F">
      <w:pPr>
        <w:spacing w:after="187" w:line="477" w:lineRule="auto"/>
        <w:ind w:left="-5" w:right="10"/>
      </w:pPr>
      <w:r>
        <w:t>The study may have a sample selection bias since the sampling procedure employed was not be random but purposive, for only extension agents that have previously designed and imp</w:t>
      </w:r>
      <w:r>
        <w:t xml:space="preserve">lemented CC adaptation </w:t>
      </w:r>
      <w:proofErr w:type="spellStart"/>
      <w:r>
        <w:t>programmes</w:t>
      </w:r>
      <w:proofErr w:type="spellEnd"/>
      <w:r>
        <w:t xml:space="preserve"> were selected to participate in the survey thus may not reflect perceptions and adaptation recommendations of all the extension officers in the region.  </w:t>
      </w:r>
    </w:p>
    <w:p w:rsidR="002116B0" w:rsidRDefault="00FF7F9F">
      <w:pPr>
        <w:pStyle w:val="Heading3"/>
        <w:ind w:left="-5"/>
      </w:pPr>
      <w:bookmarkStart w:id="24" w:name="_Toc61301"/>
      <w:r>
        <w:t xml:space="preserve">3.6 Conclusion </w:t>
      </w:r>
      <w:bookmarkEnd w:id="24"/>
    </w:p>
    <w:p w:rsidR="002116B0" w:rsidRDefault="00FF7F9F">
      <w:pPr>
        <w:spacing w:line="476" w:lineRule="auto"/>
        <w:ind w:left="-5" w:right="10"/>
      </w:pPr>
      <w:r>
        <w:t>This chapter described the process used in conductin</w:t>
      </w:r>
      <w:r>
        <w:t xml:space="preserve">g the study but also justifies the choice of the different methods used. </w:t>
      </w:r>
    </w:p>
    <w:p w:rsidR="002116B0" w:rsidRDefault="00FF7F9F">
      <w:pPr>
        <w:spacing w:after="508" w:line="259" w:lineRule="auto"/>
        <w:ind w:left="0" w:firstLine="0"/>
        <w:jc w:val="left"/>
      </w:pPr>
      <w:r>
        <w:lastRenderedPageBreak/>
        <w:t xml:space="preserve"> </w:t>
      </w:r>
    </w:p>
    <w:p w:rsidR="002116B0" w:rsidRDefault="00FF7F9F">
      <w:pPr>
        <w:spacing w:after="0" w:line="259" w:lineRule="auto"/>
        <w:ind w:left="0" w:firstLine="0"/>
        <w:jc w:val="left"/>
      </w:pPr>
      <w:r>
        <w:t xml:space="preserve"> </w:t>
      </w:r>
      <w:r>
        <w:tab/>
      </w:r>
      <w:r>
        <w:rPr>
          <w:b/>
          <w:sz w:val="32"/>
        </w:rPr>
        <w:t xml:space="preserve"> </w:t>
      </w:r>
      <w:r>
        <w:br w:type="page"/>
      </w:r>
    </w:p>
    <w:p w:rsidR="002116B0" w:rsidRDefault="00FF7F9F">
      <w:pPr>
        <w:pStyle w:val="Heading1"/>
        <w:spacing w:after="246"/>
        <w:ind w:left="212" w:right="0"/>
      </w:pPr>
      <w:bookmarkStart w:id="25" w:name="_Toc61302"/>
      <w:r>
        <w:lastRenderedPageBreak/>
        <w:t xml:space="preserve">CHAPTER 4: EXTENSION OFFICERS’ PERCEPTIONS ON CLIMATE CHANGE IN RELATION TO CLIMATE DATA  </w:t>
      </w:r>
      <w:bookmarkEnd w:id="25"/>
    </w:p>
    <w:p w:rsidR="002116B0" w:rsidRDefault="00FF7F9F">
      <w:pPr>
        <w:pStyle w:val="Heading3"/>
        <w:ind w:left="-5"/>
      </w:pPr>
      <w:bookmarkStart w:id="26" w:name="_Toc61303"/>
      <w:r>
        <w:t xml:space="preserve">4.1 Introduction </w:t>
      </w:r>
      <w:bookmarkEnd w:id="26"/>
    </w:p>
    <w:p w:rsidR="002116B0" w:rsidRDefault="00FF7F9F">
      <w:pPr>
        <w:spacing w:after="175" w:line="487" w:lineRule="auto"/>
        <w:ind w:left="-5" w:right="430"/>
      </w:pPr>
      <w:r>
        <w:t xml:space="preserve">This chapter presents and describes the </w:t>
      </w:r>
      <w:r>
        <w:t xml:space="preserve">findings on extension officers’ perceptions on CC in relation to climate data. The second section presents a descriptive analysis of climate variables. The third section compares the first season to the second season based on the climate data and in terms </w:t>
      </w:r>
      <w:r>
        <w:t xml:space="preserve">of the extension officers’ perceptions of these two seasons. Section four discusses plot diagrams showing the evolution of temperatures and rainfall related variables. Results of auto regressive distributed lag model for climate variables are presented in </w:t>
      </w:r>
      <w:r>
        <w:t xml:space="preserve">section five and section six describes the extension officers’ perceptions on CC. </w:t>
      </w:r>
    </w:p>
    <w:p w:rsidR="002116B0" w:rsidRDefault="00FF7F9F">
      <w:pPr>
        <w:pStyle w:val="Heading3"/>
        <w:ind w:left="-5"/>
      </w:pPr>
      <w:bookmarkStart w:id="27" w:name="_Toc61304"/>
      <w:r>
        <w:t xml:space="preserve">4.2 Descriptive analysis of climate variables </w:t>
      </w:r>
      <w:bookmarkEnd w:id="27"/>
    </w:p>
    <w:p w:rsidR="002116B0" w:rsidRDefault="00FF7F9F">
      <w:pPr>
        <w:spacing w:after="174" w:line="476" w:lineRule="auto"/>
        <w:ind w:left="-5" w:right="431"/>
      </w:pPr>
      <w:r>
        <w:t>The start of a season identified as one of the rainfall related variable is defined as the first day after 15th February/ 15th</w:t>
      </w:r>
      <w:r>
        <w:t xml:space="preserve"> September with a rainfall total of 15mm total over 1, 2, 3 days with no dry spell longer that 10 days in the next 21 days whereas the end of the seasons is defined as first occurrence after 15th May/ 15th December when the water balance fall below 0.5mm (</w:t>
      </w:r>
      <w:r>
        <w:t xml:space="preserve">Stern et al., 2006, Stern and Cooper, 2011). </w:t>
      </w:r>
    </w:p>
    <w:p w:rsidR="002116B0" w:rsidRDefault="00FF7F9F">
      <w:pPr>
        <w:spacing w:after="32" w:line="487" w:lineRule="auto"/>
        <w:ind w:left="-5" w:right="435"/>
      </w:pPr>
      <w:r>
        <w:t>Results in Table 1 show the average start date of the first season (March to May) be 20</w:t>
      </w:r>
      <w:r>
        <w:rPr>
          <w:vertAlign w:val="superscript"/>
        </w:rPr>
        <w:t>th</w:t>
      </w:r>
      <w:r>
        <w:t xml:space="preserve"> March while the average end date of the season was found to 18</w:t>
      </w:r>
      <w:r>
        <w:rPr>
          <w:vertAlign w:val="superscript"/>
        </w:rPr>
        <w:t>th</w:t>
      </w:r>
      <w:r>
        <w:t xml:space="preserve"> May. The average season length and rainy days was estab</w:t>
      </w:r>
      <w:r>
        <w:t>lished as 59 and 60 days respectively. The first season had an average 270mm of rainfall. The second season (October to December) average start and end date were established as 31</w:t>
      </w:r>
      <w:r>
        <w:rPr>
          <w:vertAlign w:val="superscript"/>
        </w:rPr>
        <w:t>st</w:t>
      </w:r>
      <w:r>
        <w:t xml:space="preserve"> October and 23</w:t>
      </w:r>
      <w:r>
        <w:rPr>
          <w:vertAlign w:val="superscript"/>
        </w:rPr>
        <w:t>rd</w:t>
      </w:r>
      <w:r>
        <w:t xml:space="preserve"> December respectively with an average length of approxima</w:t>
      </w:r>
      <w:r>
        <w:t xml:space="preserve">tely 53 days. </w:t>
      </w:r>
    </w:p>
    <w:p w:rsidR="002116B0" w:rsidRDefault="00FF7F9F">
      <w:pPr>
        <w:ind w:left="-5" w:right="10"/>
      </w:pPr>
      <w:r>
        <w:t xml:space="preserve">Average number of rainy days is 54 days with a mean seasonal rainfall amount of 275mm. </w:t>
      </w:r>
    </w:p>
    <w:p w:rsidR="002116B0" w:rsidRDefault="00FF7F9F">
      <w:pPr>
        <w:spacing w:after="387"/>
        <w:ind w:left="-5" w:right="10"/>
      </w:pPr>
      <w:r>
        <w:t xml:space="preserve">Table 1: Descriptive analysis of climate variables  </w:t>
      </w:r>
    </w:p>
    <w:p w:rsidR="002116B0" w:rsidRDefault="00FF7F9F">
      <w:pPr>
        <w:spacing w:after="339" w:line="259" w:lineRule="auto"/>
        <w:ind w:left="-1" w:right="420" w:firstLine="0"/>
        <w:jc w:val="right"/>
      </w:pPr>
      <w:r>
        <w:rPr>
          <w:noProof/>
        </w:rPr>
        <w:lastRenderedPageBreak/>
        <w:drawing>
          <wp:inline distT="0" distB="0" distL="0" distR="0">
            <wp:extent cx="6000750" cy="6019800"/>
            <wp:effectExtent l="0" t="0" r="0" b="0"/>
            <wp:docPr id="4755" name="Picture 4755"/>
            <wp:cNvGraphicFramePr/>
            <a:graphic xmlns:a="http://schemas.openxmlformats.org/drawingml/2006/main">
              <a:graphicData uri="http://schemas.openxmlformats.org/drawingml/2006/picture">
                <pic:pic xmlns:pic="http://schemas.openxmlformats.org/drawingml/2006/picture">
                  <pic:nvPicPr>
                    <pic:cNvPr id="4755" name="Picture 4755"/>
                    <pic:cNvPicPr/>
                  </pic:nvPicPr>
                  <pic:blipFill>
                    <a:blip r:embed="rId38"/>
                    <a:stretch>
                      <a:fillRect/>
                    </a:stretch>
                  </pic:blipFill>
                  <pic:spPr>
                    <a:xfrm>
                      <a:off x="0" y="0"/>
                      <a:ext cx="6000750" cy="6019800"/>
                    </a:xfrm>
                    <a:prstGeom prst="rect">
                      <a:avLst/>
                    </a:prstGeom>
                  </pic:spPr>
                </pic:pic>
              </a:graphicData>
            </a:graphic>
          </wp:inline>
        </w:drawing>
      </w:r>
      <w:r>
        <w:t xml:space="preserve"> </w:t>
      </w:r>
    </w:p>
    <w:p w:rsidR="002116B0" w:rsidRDefault="00FF7F9F">
      <w:pPr>
        <w:spacing w:after="433"/>
        <w:ind w:left="-5" w:right="10"/>
      </w:pPr>
      <w:r>
        <w:t>Source:</w:t>
      </w:r>
      <w:r>
        <w:rPr>
          <w:b/>
          <w:sz w:val="18"/>
        </w:rPr>
        <w:t xml:space="preserve"> </w:t>
      </w:r>
      <w:proofErr w:type="spellStart"/>
      <w:r>
        <w:t>Katumani</w:t>
      </w:r>
      <w:proofErr w:type="spellEnd"/>
      <w:r>
        <w:t xml:space="preserve"> meteorological station climate data</w:t>
      </w:r>
      <w:r>
        <w:rPr>
          <w:b/>
          <w:sz w:val="18"/>
        </w:rPr>
        <w:t xml:space="preserve"> </w:t>
      </w:r>
    </w:p>
    <w:p w:rsidR="002116B0" w:rsidRDefault="00FF7F9F">
      <w:pPr>
        <w:pStyle w:val="Heading3"/>
        <w:ind w:left="-5"/>
      </w:pPr>
      <w:bookmarkStart w:id="28" w:name="_Toc61305"/>
      <w:r>
        <w:t xml:space="preserve">4.3 Comparison of first and second season </w:t>
      </w:r>
      <w:bookmarkEnd w:id="28"/>
    </w:p>
    <w:p w:rsidR="002116B0" w:rsidRDefault="00FF7F9F">
      <w:pPr>
        <w:spacing w:line="477" w:lineRule="auto"/>
        <w:ind w:left="-5" w:right="435"/>
      </w:pPr>
      <w:r>
        <w:t>All the years where chances of crop failure were observed because the season did not start effectively were excluded from the analysis hence only 40 years were used in the comparison of the two seasons.</w:t>
      </w:r>
      <w:r>
        <w:rPr>
          <w:b/>
        </w:rPr>
        <w:t xml:space="preserve"> </w:t>
      </w:r>
    </w:p>
    <w:p w:rsidR="002116B0" w:rsidRDefault="00FF7F9F">
      <w:pPr>
        <w:spacing w:after="387"/>
        <w:ind w:left="-5" w:right="10"/>
      </w:pPr>
      <w:r>
        <w:t xml:space="preserve">Table 2: Comparison of the first and second season </w:t>
      </w:r>
    </w:p>
    <w:p w:rsidR="002116B0" w:rsidRDefault="00FF7F9F">
      <w:pPr>
        <w:spacing w:after="338" w:line="259" w:lineRule="auto"/>
        <w:ind w:left="-1" w:right="749" w:firstLine="0"/>
        <w:jc w:val="right"/>
      </w:pPr>
      <w:r>
        <w:rPr>
          <w:noProof/>
        </w:rPr>
        <w:lastRenderedPageBreak/>
        <w:drawing>
          <wp:inline distT="0" distB="0" distL="0" distR="0">
            <wp:extent cx="5781675" cy="1143000"/>
            <wp:effectExtent l="0" t="0" r="0" b="0"/>
            <wp:docPr id="4853" name="Picture 4853"/>
            <wp:cNvGraphicFramePr/>
            <a:graphic xmlns:a="http://schemas.openxmlformats.org/drawingml/2006/main">
              <a:graphicData uri="http://schemas.openxmlformats.org/drawingml/2006/picture">
                <pic:pic xmlns:pic="http://schemas.openxmlformats.org/drawingml/2006/picture">
                  <pic:nvPicPr>
                    <pic:cNvPr id="4853" name="Picture 4853"/>
                    <pic:cNvPicPr/>
                  </pic:nvPicPr>
                  <pic:blipFill>
                    <a:blip r:embed="rId39"/>
                    <a:stretch>
                      <a:fillRect/>
                    </a:stretch>
                  </pic:blipFill>
                  <pic:spPr>
                    <a:xfrm>
                      <a:off x="0" y="0"/>
                      <a:ext cx="5781675" cy="1143000"/>
                    </a:xfrm>
                    <a:prstGeom prst="rect">
                      <a:avLst/>
                    </a:prstGeom>
                  </pic:spPr>
                </pic:pic>
              </a:graphicData>
            </a:graphic>
          </wp:inline>
        </w:drawing>
      </w:r>
      <w:r>
        <w:t xml:space="preserve"> </w:t>
      </w:r>
    </w:p>
    <w:p w:rsidR="002116B0" w:rsidRDefault="00FF7F9F">
      <w:pPr>
        <w:spacing w:after="390"/>
        <w:ind w:left="-5" w:right="10"/>
      </w:pPr>
      <w:r>
        <w:t xml:space="preserve">Source: </w:t>
      </w:r>
      <w:proofErr w:type="spellStart"/>
      <w:r>
        <w:t>Katumani</w:t>
      </w:r>
      <w:proofErr w:type="spellEnd"/>
      <w:r>
        <w:t xml:space="preserve"> meteorological station climate data </w:t>
      </w:r>
    </w:p>
    <w:p w:rsidR="002116B0" w:rsidRDefault="00FF7F9F">
      <w:pPr>
        <w:spacing w:line="476" w:lineRule="auto"/>
        <w:ind w:left="-5" w:right="439"/>
      </w:pPr>
      <w:r>
        <w:t>Results in Table 2 show that first season was significantly better than the second season in terms of the length and the number of rainy days but the second season had a higher mean rainfall total th</w:t>
      </w:r>
      <w:r>
        <w:t xml:space="preserve">ough not significantly different from that of the first season.  </w:t>
      </w:r>
    </w:p>
    <w:p w:rsidR="002116B0" w:rsidRDefault="00FF7F9F">
      <w:pPr>
        <w:spacing w:after="187" w:line="477" w:lineRule="auto"/>
        <w:ind w:left="-5" w:right="434"/>
      </w:pPr>
      <w:r>
        <w:t>The survey results show that 53 (50%) of the extension agent perceived the amount of rainfall in the first season was better than the amount of rainfall in the second season. 59 (55.6%) of t</w:t>
      </w:r>
      <w:r>
        <w:t xml:space="preserve">he extension officers believes that the first season is longer than the second season while 47 (44.4%) extension officers believes that the second season is longer than the first season. </w:t>
      </w:r>
    </w:p>
    <w:p w:rsidR="002116B0" w:rsidRDefault="00FF7F9F">
      <w:pPr>
        <w:pStyle w:val="Heading3"/>
        <w:ind w:left="-5"/>
      </w:pPr>
      <w:bookmarkStart w:id="29" w:name="_Toc61306"/>
      <w:r>
        <w:t xml:space="preserve">4.4 Evolution of climate variables </w:t>
      </w:r>
      <w:bookmarkEnd w:id="29"/>
    </w:p>
    <w:p w:rsidR="002116B0" w:rsidRDefault="00FF7F9F">
      <w:pPr>
        <w:spacing w:line="481" w:lineRule="auto"/>
        <w:ind w:left="-5" w:right="431"/>
      </w:pPr>
      <w:r>
        <w:t>Figure 3, 4 and 5 display the ev</w:t>
      </w:r>
      <w:r>
        <w:t>olution of rainfall related variables from 1961-2012 and that of temperature from 1978-2012. The values of rainfall related variables from the time series fluctuate rapidly from year to year in a seemingly unpredictable manner. There exist years when large</w:t>
      </w:r>
      <w:r>
        <w:t xml:space="preserve"> values are followed by more large values and years when small values are followed by further small values thus exhibiting time varying instability. The end date of the first and second seasons appear constant around 14</w:t>
      </w:r>
      <w:r>
        <w:rPr>
          <w:vertAlign w:val="superscript"/>
        </w:rPr>
        <w:t>th</w:t>
      </w:r>
      <w:r>
        <w:t xml:space="preserve"> May to 19</w:t>
      </w:r>
      <w:r>
        <w:rPr>
          <w:vertAlign w:val="superscript"/>
        </w:rPr>
        <w:t>th</w:t>
      </w:r>
      <w:r>
        <w:t xml:space="preserve"> May and 17</w:t>
      </w:r>
      <w:r>
        <w:rPr>
          <w:vertAlign w:val="superscript"/>
        </w:rPr>
        <w:t>th</w:t>
      </w:r>
      <w:r>
        <w:t xml:space="preserve"> December </w:t>
      </w:r>
      <w:r>
        <w:t>to 27</w:t>
      </w:r>
      <w:r>
        <w:rPr>
          <w:vertAlign w:val="superscript"/>
        </w:rPr>
        <w:t>th</w:t>
      </w:r>
      <w:r>
        <w:t xml:space="preserve"> December respectively with a few years where there are late end dates are observed.  Temperature variables on the other hand have rapid fluctuation with slight display of an upward trend, with the exception of highest minimum temperatures which see</w:t>
      </w:r>
      <w:r>
        <w:t xml:space="preserve">m constant around 16-18 degrees Celsius in most years. </w:t>
      </w:r>
    </w:p>
    <w:p w:rsidR="002116B0" w:rsidRDefault="002116B0">
      <w:pPr>
        <w:sectPr w:rsidR="002116B0">
          <w:headerReference w:type="even" r:id="rId40"/>
          <w:headerReference w:type="default" r:id="rId41"/>
          <w:footerReference w:type="even" r:id="rId42"/>
          <w:footerReference w:type="default" r:id="rId43"/>
          <w:headerReference w:type="first" r:id="rId44"/>
          <w:footerReference w:type="first" r:id="rId45"/>
          <w:pgSz w:w="11906" w:h="16838"/>
          <w:pgMar w:top="1440" w:right="274" w:bottom="1856" w:left="1702" w:header="720" w:footer="992" w:gutter="0"/>
          <w:pgNumType w:start="1"/>
          <w:cols w:space="720"/>
        </w:sectPr>
      </w:pPr>
    </w:p>
    <w:p w:rsidR="002116B0" w:rsidRDefault="00FF7F9F">
      <w:pPr>
        <w:spacing w:after="111"/>
        <w:ind w:left="-5" w:right="10"/>
      </w:pPr>
      <w:proofErr w:type="gramStart"/>
      <w:r>
        <w:lastRenderedPageBreak/>
        <w:t>Figure :</w:t>
      </w:r>
      <w:proofErr w:type="gramEnd"/>
      <w:r>
        <w:t xml:space="preserve"> Time series of temperatures variables </w:t>
      </w:r>
    </w:p>
    <w:p w:rsidR="002116B0" w:rsidRDefault="00FF7F9F">
      <w:pPr>
        <w:spacing w:after="336" w:line="259" w:lineRule="auto"/>
        <w:ind w:left="-1" w:right="516" w:firstLine="0"/>
        <w:jc w:val="right"/>
      </w:pPr>
      <w:r>
        <w:rPr>
          <w:noProof/>
        </w:rPr>
        <w:drawing>
          <wp:inline distT="0" distB="0" distL="0" distR="0">
            <wp:extent cx="8886825" cy="4543298"/>
            <wp:effectExtent l="0" t="0" r="0" b="0"/>
            <wp:docPr id="4879" name="Picture 4879"/>
            <wp:cNvGraphicFramePr/>
            <a:graphic xmlns:a="http://schemas.openxmlformats.org/drawingml/2006/main">
              <a:graphicData uri="http://schemas.openxmlformats.org/drawingml/2006/picture">
                <pic:pic xmlns:pic="http://schemas.openxmlformats.org/drawingml/2006/picture">
                  <pic:nvPicPr>
                    <pic:cNvPr id="4879" name="Picture 4879"/>
                    <pic:cNvPicPr/>
                  </pic:nvPicPr>
                  <pic:blipFill>
                    <a:blip r:embed="rId46"/>
                    <a:stretch>
                      <a:fillRect/>
                    </a:stretch>
                  </pic:blipFill>
                  <pic:spPr>
                    <a:xfrm>
                      <a:off x="0" y="0"/>
                      <a:ext cx="8886825" cy="4543298"/>
                    </a:xfrm>
                    <a:prstGeom prst="rect">
                      <a:avLst/>
                    </a:prstGeom>
                  </pic:spPr>
                </pic:pic>
              </a:graphicData>
            </a:graphic>
          </wp:inline>
        </w:drawing>
      </w:r>
      <w:r>
        <w:t xml:space="preserve"> </w:t>
      </w:r>
    </w:p>
    <w:p w:rsidR="002116B0" w:rsidRDefault="00FF7F9F">
      <w:pPr>
        <w:spacing w:after="90"/>
        <w:ind w:left="-5" w:right="10"/>
      </w:pPr>
      <w:r>
        <w:t xml:space="preserve">Source: </w:t>
      </w:r>
      <w:proofErr w:type="spellStart"/>
      <w:r>
        <w:t>Katumani</w:t>
      </w:r>
      <w:proofErr w:type="spellEnd"/>
      <w:r>
        <w:t xml:space="preserve"> meteorological station climate data </w:t>
      </w:r>
    </w:p>
    <w:p w:rsidR="002116B0" w:rsidRDefault="00FF7F9F">
      <w:pPr>
        <w:spacing w:after="262" w:line="249" w:lineRule="auto"/>
        <w:ind w:left="472" w:right="618"/>
        <w:jc w:val="center"/>
      </w:pPr>
      <w:r>
        <w:t xml:space="preserve">29 </w:t>
      </w:r>
    </w:p>
    <w:p w:rsidR="002116B0" w:rsidRDefault="00FF7F9F">
      <w:pPr>
        <w:spacing w:after="0" w:line="259" w:lineRule="auto"/>
        <w:ind w:left="0" w:firstLine="0"/>
        <w:jc w:val="left"/>
      </w:pPr>
      <w:r>
        <w:lastRenderedPageBreak/>
        <w:t xml:space="preserve"> </w:t>
      </w:r>
    </w:p>
    <w:p w:rsidR="002116B0" w:rsidRDefault="00FF7F9F">
      <w:pPr>
        <w:spacing w:after="111"/>
        <w:ind w:left="-5" w:right="10"/>
      </w:pPr>
      <w:proofErr w:type="gramStart"/>
      <w:r>
        <w:t>Figure :</w:t>
      </w:r>
      <w:proofErr w:type="gramEnd"/>
      <w:r>
        <w:t xml:space="preserve"> Time series of first season rainfall related variables </w:t>
      </w:r>
    </w:p>
    <w:p w:rsidR="002116B0" w:rsidRDefault="00FF7F9F">
      <w:pPr>
        <w:spacing w:after="338" w:line="259" w:lineRule="auto"/>
        <w:ind w:left="-1" w:right="149" w:firstLine="0"/>
        <w:jc w:val="right"/>
      </w:pPr>
      <w:r>
        <w:rPr>
          <w:noProof/>
        </w:rPr>
        <w:drawing>
          <wp:inline distT="0" distB="0" distL="0" distR="0">
            <wp:extent cx="9128760" cy="4533773"/>
            <wp:effectExtent l="0" t="0" r="0" b="0"/>
            <wp:docPr id="4897" name="Picture 4897"/>
            <wp:cNvGraphicFramePr/>
            <a:graphic xmlns:a="http://schemas.openxmlformats.org/drawingml/2006/main">
              <a:graphicData uri="http://schemas.openxmlformats.org/drawingml/2006/picture">
                <pic:pic xmlns:pic="http://schemas.openxmlformats.org/drawingml/2006/picture">
                  <pic:nvPicPr>
                    <pic:cNvPr id="4897" name="Picture 4897"/>
                    <pic:cNvPicPr/>
                  </pic:nvPicPr>
                  <pic:blipFill>
                    <a:blip r:embed="rId47"/>
                    <a:stretch>
                      <a:fillRect/>
                    </a:stretch>
                  </pic:blipFill>
                  <pic:spPr>
                    <a:xfrm>
                      <a:off x="0" y="0"/>
                      <a:ext cx="9128760" cy="4533773"/>
                    </a:xfrm>
                    <a:prstGeom prst="rect">
                      <a:avLst/>
                    </a:prstGeom>
                  </pic:spPr>
                </pic:pic>
              </a:graphicData>
            </a:graphic>
          </wp:inline>
        </w:drawing>
      </w:r>
      <w:r>
        <w:t xml:space="preserve"> </w:t>
      </w:r>
    </w:p>
    <w:p w:rsidR="002116B0" w:rsidRDefault="00FF7F9F">
      <w:pPr>
        <w:spacing w:after="104"/>
        <w:ind w:left="-5" w:right="10"/>
      </w:pPr>
      <w:r>
        <w:t xml:space="preserve">Source: </w:t>
      </w:r>
      <w:proofErr w:type="spellStart"/>
      <w:r>
        <w:t>Katumani</w:t>
      </w:r>
      <w:proofErr w:type="spellEnd"/>
      <w:r>
        <w:t xml:space="preserve"> meteorological station climate data </w:t>
      </w:r>
    </w:p>
    <w:p w:rsidR="002116B0" w:rsidRDefault="00FF7F9F">
      <w:pPr>
        <w:spacing w:after="262" w:line="249" w:lineRule="auto"/>
        <w:ind w:left="472" w:right="618"/>
        <w:jc w:val="center"/>
      </w:pPr>
      <w:r>
        <w:lastRenderedPageBreak/>
        <w:t>30</w:t>
      </w:r>
    </w:p>
    <w:p w:rsidR="002116B0" w:rsidRDefault="00FF7F9F">
      <w:pPr>
        <w:spacing w:after="386"/>
        <w:ind w:left="-5" w:right="10"/>
      </w:pPr>
      <w:proofErr w:type="gramStart"/>
      <w:r>
        <w:t>Figure :</w:t>
      </w:r>
      <w:proofErr w:type="gramEnd"/>
      <w:r>
        <w:t xml:space="preserve"> Time series of second season rainfall related variables </w:t>
      </w:r>
    </w:p>
    <w:p w:rsidR="002116B0" w:rsidRDefault="00FF7F9F">
      <w:pPr>
        <w:spacing w:after="336" w:line="259" w:lineRule="auto"/>
        <w:ind w:left="-1" w:firstLine="0"/>
        <w:jc w:val="right"/>
      </w:pPr>
      <w:r>
        <w:rPr>
          <w:noProof/>
        </w:rPr>
        <w:drawing>
          <wp:inline distT="0" distB="0" distL="0" distR="0">
            <wp:extent cx="9223375" cy="4295775"/>
            <wp:effectExtent l="0" t="0" r="0" b="0"/>
            <wp:docPr id="4914" name="Picture 4914"/>
            <wp:cNvGraphicFramePr/>
            <a:graphic xmlns:a="http://schemas.openxmlformats.org/drawingml/2006/main">
              <a:graphicData uri="http://schemas.openxmlformats.org/drawingml/2006/picture">
                <pic:pic xmlns:pic="http://schemas.openxmlformats.org/drawingml/2006/picture">
                  <pic:nvPicPr>
                    <pic:cNvPr id="4914" name="Picture 4914"/>
                    <pic:cNvPicPr/>
                  </pic:nvPicPr>
                  <pic:blipFill>
                    <a:blip r:embed="rId48"/>
                    <a:stretch>
                      <a:fillRect/>
                    </a:stretch>
                  </pic:blipFill>
                  <pic:spPr>
                    <a:xfrm>
                      <a:off x="0" y="0"/>
                      <a:ext cx="9223375" cy="4295775"/>
                    </a:xfrm>
                    <a:prstGeom prst="rect">
                      <a:avLst/>
                    </a:prstGeom>
                  </pic:spPr>
                </pic:pic>
              </a:graphicData>
            </a:graphic>
          </wp:inline>
        </w:drawing>
      </w:r>
      <w:r>
        <w:t xml:space="preserve"> </w:t>
      </w:r>
    </w:p>
    <w:p w:rsidR="002116B0" w:rsidRDefault="00FF7F9F">
      <w:pPr>
        <w:spacing w:after="205"/>
        <w:ind w:left="-5" w:right="10"/>
      </w:pPr>
      <w:r>
        <w:t xml:space="preserve">Source: </w:t>
      </w:r>
      <w:proofErr w:type="spellStart"/>
      <w:r>
        <w:t>Katumani</w:t>
      </w:r>
      <w:proofErr w:type="spellEnd"/>
      <w:r>
        <w:t xml:space="preserve"> meteorological station climate data </w:t>
      </w:r>
    </w:p>
    <w:p w:rsidR="002116B0" w:rsidRDefault="00FF7F9F">
      <w:pPr>
        <w:spacing w:after="262" w:line="249" w:lineRule="auto"/>
        <w:ind w:left="472" w:right="618"/>
        <w:jc w:val="center"/>
      </w:pPr>
      <w:r>
        <w:lastRenderedPageBreak/>
        <w:t>31</w:t>
      </w:r>
    </w:p>
    <w:p w:rsidR="002116B0" w:rsidRDefault="002116B0">
      <w:pPr>
        <w:sectPr w:rsidR="002116B0">
          <w:headerReference w:type="even" r:id="rId49"/>
          <w:headerReference w:type="default" r:id="rId50"/>
          <w:footerReference w:type="even" r:id="rId51"/>
          <w:footerReference w:type="default" r:id="rId52"/>
          <w:headerReference w:type="first" r:id="rId53"/>
          <w:footerReference w:type="first" r:id="rId54"/>
          <w:pgSz w:w="16838" w:h="11906" w:orient="landscape"/>
          <w:pgMar w:top="1704" w:right="550" w:bottom="992" w:left="1702" w:header="1704" w:footer="720" w:gutter="0"/>
          <w:pgNumType w:start="3"/>
          <w:cols w:space="720"/>
        </w:sectPr>
      </w:pPr>
    </w:p>
    <w:p w:rsidR="002116B0" w:rsidRDefault="00FF7F9F">
      <w:pPr>
        <w:spacing w:after="436" w:line="259" w:lineRule="auto"/>
        <w:ind w:left="0" w:firstLine="0"/>
        <w:jc w:val="left"/>
      </w:pPr>
      <w:r>
        <w:rPr>
          <w:b/>
          <w:sz w:val="28"/>
        </w:rPr>
        <w:lastRenderedPageBreak/>
        <w:t xml:space="preserve"> </w:t>
      </w:r>
    </w:p>
    <w:p w:rsidR="002116B0" w:rsidRDefault="00FF7F9F">
      <w:pPr>
        <w:pStyle w:val="Heading3"/>
        <w:spacing w:after="423"/>
        <w:ind w:left="-5"/>
      </w:pPr>
      <w:bookmarkStart w:id="30" w:name="_Toc61307"/>
      <w:r>
        <w:t xml:space="preserve">4.5 Results of auto regressive distributed lag model for climate variables </w:t>
      </w:r>
      <w:bookmarkEnd w:id="30"/>
    </w:p>
    <w:p w:rsidR="002116B0" w:rsidRDefault="00FF7F9F">
      <w:pPr>
        <w:spacing w:after="113"/>
        <w:ind w:left="-5" w:right="10"/>
      </w:pPr>
      <w:r>
        <w:t>Table 3</w:t>
      </w:r>
      <w:r>
        <w:t xml:space="preserve">: Augmented Dickey- Fuller test for </w:t>
      </w:r>
      <w:proofErr w:type="spellStart"/>
      <w:r>
        <w:t>stationarity</w:t>
      </w:r>
      <w:proofErr w:type="spellEnd"/>
      <w:r>
        <w:t xml:space="preserve"> and </w:t>
      </w:r>
      <w:proofErr w:type="spellStart"/>
      <w:r>
        <w:t>Jarque</w:t>
      </w:r>
      <w:proofErr w:type="spellEnd"/>
      <w:r>
        <w:t xml:space="preserve"> </w:t>
      </w:r>
      <w:proofErr w:type="spellStart"/>
      <w:r>
        <w:t>Bera’s</w:t>
      </w:r>
      <w:proofErr w:type="spellEnd"/>
      <w:r>
        <w:t xml:space="preserve"> test for normality of climate variables </w:t>
      </w:r>
    </w:p>
    <w:p w:rsidR="002116B0" w:rsidRDefault="00FF7F9F">
      <w:pPr>
        <w:spacing w:after="338" w:line="259" w:lineRule="auto"/>
        <w:ind w:left="-1" w:right="600" w:firstLine="0"/>
        <w:jc w:val="right"/>
      </w:pPr>
      <w:r>
        <w:rPr>
          <w:noProof/>
        </w:rPr>
        <w:drawing>
          <wp:inline distT="0" distB="0" distL="0" distR="0">
            <wp:extent cx="6048375" cy="4981575"/>
            <wp:effectExtent l="0" t="0" r="0" b="0"/>
            <wp:docPr id="4958" name="Picture 4958"/>
            <wp:cNvGraphicFramePr/>
            <a:graphic xmlns:a="http://schemas.openxmlformats.org/drawingml/2006/main">
              <a:graphicData uri="http://schemas.openxmlformats.org/drawingml/2006/picture">
                <pic:pic xmlns:pic="http://schemas.openxmlformats.org/drawingml/2006/picture">
                  <pic:nvPicPr>
                    <pic:cNvPr id="4958" name="Picture 4958"/>
                    <pic:cNvPicPr/>
                  </pic:nvPicPr>
                  <pic:blipFill>
                    <a:blip r:embed="rId55"/>
                    <a:stretch>
                      <a:fillRect/>
                    </a:stretch>
                  </pic:blipFill>
                  <pic:spPr>
                    <a:xfrm>
                      <a:off x="0" y="0"/>
                      <a:ext cx="6048375" cy="4981575"/>
                    </a:xfrm>
                    <a:prstGeom prst="rect">
                      <a:avLst/>
                    </a:prstGeom>
                  </pic:spPr>
                </pic:pic>
              </a:graphicData>
            </a:graphic>
          </wp:inline>
        </w:drawing>
      </w:r>
      <w:r>
        <w:t xml:space="preserve"> </w:t>
      </w:r>
    </w:p>
    <w:p w:rsidR="002116B0" w:rsidRDefault="00FF7F9F">
      <w:pPr>
        <w:spacing w:after="390"/>
        <w:ind w:left="-5" w:right="10"/>
      </w:pPr>
      <w:r>
        <w:t xml:space="preserve">Source: </w:t>
      </w:r>
      <w:proofErr w:type="spellStart"/>
      <w:r>
        <w:t>Katumani</w:t>
      </w:r>
      <w:proofErr w:type="spellEnd"/>
      <w:r>
        <w:t xml:space="preserve"> meteorological station climate data </w:t>
      </w:r>
    </w:p>
    <w:p w:rsidR="002116B0" w:rsidRDefault="00FF7F9F">
      <w:pPr>
        <w:spacing w:after="168" w:line="476" w:lineRule="auto"/>
        <w:ind w:left="-5" w:right="704"/>
      </w:pPr>
      <w:r>
        <w:t>Results in Table 3 show that all the second season rainfall related variables and temperatu</w:t>
      </w:r>
      <w:r>
        <w:t>re variables with exception of mean minimum and highest maximum temperature were non stationary without trend but stationary around a deterministic trend thus could be used in regression relationship when a trend variable is included. The first season vari</w:t>
      </w:r>
      <w:r>
        <w:t xml:space="preserve">ables were stationary with and without trend hence </w:t>
      </w:r>
      <w:r>
        <w:lastRenderedPageBreak/>
        <w:t>the null hypothesis that the series were non stationary were rejected at 1% level of significance for second season variables. Similarly the null hypotheses is rejected for highest maximum and mean minimum</w:t>
      </w:r>
      <w:r>
        <w:t xml:space="preserve"> temperatures at 10% and 5% level of significance respectively. </w:t>
      </w:r>
    </w:p>
    <w:p w:rsidR="002116B0" w:rsidRDefault="00FF7F9F">
      <w:pPr>
        <w:spacing w:line="477" w:lineRule="auto"/>
        <w:ind w:left="-5" w:right="702"/>
      </w:pPr>
      <w:r>
        <w:t xml:space="preserve">Results of </w:t>
      </w:r>
      <w:proofErr w:type="spellStart"/>
      <w:r>
        <w:t>Jarque</w:t>
      </w:r>
      <w:proofErr w:type="spellEnd"/>
      <w:r>
        <w:t xml:space="preserve"> </w:t>
      </w:r>
      <w:proofErr w:type="spellStart"/>
      <w:r>
        <w:t>Bera’s</w:t>
      </w:r>
      <w:proofErr w:type="spellEnd"/>
      <w:r>
        <w:t xml:space="preserve"> test for normality are also shown in Table 3. The null hypotheses of normally distributed errors were rejected for highest maximum, highest minimum and lowest minimum</w:t>
      </w:r>
      <w:r>
        <w:t xml:space="preserve"> temperatures at all the three levels of significance. Likewise, normality assumption was found unreasonable for the second season amount of rainfall, start and end of the second season. These variables which violated the normality assumptions were transfo</w:t>
      </w:r>
      <w:r>
        <w:t xml:space="preserve">rmed and modelled as </w:t>
      </w:r>
      <w:proofErr w:type="spellStart"/>
      <w:r>
        <w:t>loglog</w:t>
      </w:r>
      <w:proofErr w:type="spellEnd"/>
      <w:r>
        <w:t xml:space="preserve"> models in the regressions. </w:t>
      </w:r>
    </w:p>
    <w:p w:rsidR="002116B0" w:rsidRDefault="00FF7F9F">
      <w:pPr>
        <w:spacing w:after="110"/>
        <w:ind w:left="-5" w:right="10"/>
      </w:pPr>
      <w:r>
        <w:t xml:space="preserve">Table 4: Regression of temperature variables </w:t>
      </w:r>
    </w:p>
    <w:p w:rsidR="002116B0" w:rsidRDefault="00FF7F9F">
      <w:pPr>
        <w:spacing w:after="290" w:line="259" w:lineRule="auto"/>
        <w:ind w:left="-1" w:right="480" w:firstLine="0"/>
        <w:jc w:val="right"/>
      </w:pPr>
      <w:r>
        <w:rPr>
          <w:noProof/>
        </w:rPr>
        <w:drawing>
          <wp:inline distT="0" distB="0" distL="0" distR="0">
            <wp:extent cx="6133465" cy="3685794"/>
            <wp:effectExtent l="0" t="0" r="0" b="0"/>
            <wp:docPr id="5010" name="Picture 5010"/>
            <wp:cNvGraphicFramePr/>
            <a:graphic xmlns:a="http://schemas.openxmlformats.org/drawingml/2006/main">
              <a:graphicData uri="http://schemas.openxmlformats.org/drawingml/2006/picture">
                <pic:pic xmlns:pic="http://schemas.openxmlformats.org/drawingml/2006/picture">
                  <pic:nvPicPr>
                    <pic:cNvPr id="5010" name="Picture 5010"/>
                    <pic:cNvPicPr/>
                  </pic:nvPicPr>
                  <pic:blipFill>
                    <a:blip r:embed="rId56"/>
                    <a:stretch>
                      <a:fillRect/>
                    </a:stretch>
                  </pic:blipFill>
                  <pic:spPr>
                    <a:xfrm>
                      <a:off x="0" y="0"/>
                      <a:ext cx="6133465" cy="3685794"/>
                    </a:xfrm>
                    <a:prstGeom prst="rect">
                      <a:avLst/>
                    </a:prstGeom>
                  </pic:spPr>
                </pic:pic>
              </a:graphicData>
            </a:graphic>
          </wp:inline>
        </w:drawing>
      </w:r>
      <w:r>
        <w:t xml:space="preserve"> </w:t>
      </w:r>
    </w:p>
    <w:p w:rsidR="002116B0" w:rsidRDefault="00FF7F9F">
      <w:pPr>
        <w:spacing w:after="376"/>
        <w:ind w:left="-5" w:right="1665"/>
        <w:jc w:val="left"/>
      </w:pPr>
      <w:r>
        <w:rPr>
          <w:b/>
          <w:sz w:val="18"/>
        </w:rPr>
        <w:t xml:space="preserve">The asterisks [*, **, and ***] represent statistical significance at 1%, 5% and 10% levels respectively </w:t>
      </w:r>
    </w:p>
    <w:p w:rsidR="002116B0" w:rsidRDefault="00FF7F9F">
      <w:pPr>
        <w:ind w:left="-5" w:right="10"/>
      </w:pPr>
      <w:r>
        <w:t xml:space="preserve">Source: </w:t>
      </w:r>
      <w:proofErr w:type="spellStart"/>
      <w:r>
        <w:t>Katumani</w:t>
      </w:r>
      <w:proofErr w:type="spellEnd"/>
      <w:r>
        <w:t xml:space="preserve"> meteorological station climate data </w:t>
      </w:r>
    </w:p>
    <w:p w:rsidR="002116B0" w:rsidRDefault="00FF7F9F">
      <w:pPr>
        <w:spacing w:after="0" w:line="476" w:lineRule="auto"/>
        <w:ind w:left="-5" w:right="10"/>
      </w:pPr>
      <w:r>
        <w:lastRenderedPageBreak/>
        <w:t xml:space="preserve">Results in Table 4 show that one degree Celsius increase in the mean minimum temperature in the previous time period increase the temperature in the current time period by 0.46 degrees Celsius. </w:t>
      </w:r>
    </w:p>
    <w:p w:rsidR="002116B0" w:rsidRDefault="00FF7F9F">
      <w:pPr>
        <w:spacing w:after="0" w:line="476" w:lineRule="auto"/>
        <w:ind w:left="-5" w:right="10"/>
      </w:pPr>
      <w:r>
        <w:t xml:space="preserve">There is however no significant trend in mean minimum and highest maximum temperatures. Lagged temperature variables with the exception of mean minimum temperature were </w:t>
      </w:r>
    </w:p>
    <w:p w:rsidR="002116B0" w:rsidRDefault="00FF7F9F">
      <w:pPr>
        <w:spacing w:line="476" w:lineRule="auto"/>
        <w:ind w:left="-5" w:right="10"/>
      </w:pPr>
      <w:proofErr w:type="gramStart"/>
      <w:r>
        <w:t>insignificant</w:t>
      </w:r>
      <w:proofErr w:type="gramEnd"/>
      <w:r>
        <w:t xml:space="preserve"> therefore a likely indication of no autocorrelation between the annual t</w:t>
      </w:r>
      <w:r>
        <w:t xml:space="preserve">emperatures observation in the present time period and those of the previous time period.  </w:t>
      </w:r>
    </w:p>
    <w:p w:rsidR="002116B0" w:rsidRDefault="00FF7F9F">
      <w:pPr>
        <w:spacing w:line="476" w:lineRule="auto"/>
        <w:ind w:left="-5" w:right="704"/>
      </w:pPr>
      <w:r>
        <w:t>It is estimated that the mean maximum temperature increases by approximately 0.028 degrees Celsius per year while the lowest maximum temperature have increased by 0</w:t>
      </w:r>
      <w:r>
        <w:t>.055 degrees per year holding other factors constant.  Likewise, the lowest minimum and the highest minimum temperatures increases by 1% and 0.9% respectively in a yearly basis, thus a confirmation of the well-established consensus in the literature that t</w:t>
      </w:r>
      <w:r>
        <w:t xml:space="preserve">emperatures are increasing across sub Saharan Africa (Webber et al., 2014).   </w:t>
      </w:r>
    </w:p>
    <w:p w:rsidR="002116B0" w:rsidRDefault="00FF7F9F">
      <w:pPr>
        <w:spacing w:line="476" w:lineRule="auto"/>
        <w:ind w:left="-5" w:right="706"/>
      </w:pPr>
      <w:r>
        <w:t>The findings are consistent with those of previous studies across Africa which observed widespread warming over time (</w:t>
      </w:r>
      <w:proofErr w:type="spellStart"/>
      <w:r>
        <w:t>Ogutu</w:t>
      </w:r>
      <w:proofErr w:type="spellEnd"/>
      <w:r>
        <w:t xml:space="preserve"> et al., 2008, </w:t>
      </w:r>
      <w:proofErr w:type="spellStart"/>
      <w:r>
        <w:t>Osbahr</w:t>
      </w:r>
      <w:proofErr w:type="spellEnd"/>
      <w:r>
        <w:t xml:space="preserve"> et al., 2011, Lewis and Witham, </w:t>
      </w:r>
      <w:r>
        <w:t>2012, Hassan, 2010) but contradicts the findings of Bryan et al. (2013) which found no change and decreasing temperature trends for in data record for some weather stations in Kenya. A trend of increasing temperature has been seen since the 1960s in most p</w:t>
      </w:r>
      <w:r>
        <w:t xml:space="preserve">arts of Africa with some locational variances (Hassan, 2010). Rise in minimum and maximum temperatures may lead to severe harvest decline and reproductive failure in crops (Thornton and </w:t>
      </w:r>
      <w:proofErr w:type="spellStart"/>
      <w:r>
        <w:t>Herrero</w:t>
      </w:r>
      <w:proofErr w:type="spellEnd"/>
      <w:r>
        <w:t>, 2014). Projections indicate that tropical rain forest and sou</w:t>
      </w:r>
      <w:r>
        <w:t xml:space="preserve">thern regions are warming relatively faster in comparison to the rest of Africa.  </w:t>
      </w:r>
    </w:p>
    <w:p w:rsidR="002116B0" w:rsidRDefault="00FF7F9F">
      <w:pPr>
        <w:spacing w:after="111"/>
        <w:ind w:left="-5" w:right="10"/>
      </w:pPr>
      <w:r>
        <w:t xml:space="preserve">Table 5: Regression of change in rainfall related variables </w:t>
      </w:r>
    </w:p>
    <w:p w:rsidR="002116B0" w:rsidRDefault="00FF7F9F">
      <w:pPr>
        <w:spacing w:after="290" w:line="259" w:lineRule="auto"/>
        <w:ind w:left="-1" w:firstLine="0"/>
        <w:jc w:val="right"/>
      </w:pPr>
      <w:r>
        <w:rPr>
          <w:noProof/>
        </w:rPr>
        <w:lastRenderedPageBreak/>
        <w:drawing>
          <wp:inline distT="0" distB="0" distL="0" distR="0">
            <wp:extent cx="6429375" cy="6972300"/>
            <wp:effectExtent l="0" t="0" r="0" b="0"/>
            <wp:docPr id="5140" name="Picture 5140"/>
            <wp:cNvGraphicFramePr/>
            <a:graphic xmlns:a="http://schemas.openxmlformats.org/drawingml/2006/main">
              <a:graphicData uri="http://schemas.openxmlformats.org/drawingml/2006/picture">
                <pic:pic xmlns:pic="http://schemas.openxmlformats.org/drawingml/2006/picture">
                  <pic:nvPicPr>
                    <pic:cNvPr id="5140" name="Picture 5140"/>
                    <pic:cNvPicPr/>
                  </pic:nvPicPr>
                  <pic:blipFill>
                    <a:blip r:embed="rId57"/>
                    <a:stretch>
                      <a:fillRect/>
                    </a:stretch>
                  </pic:blipFill>
                  <pic:spPr>
                    <a:xfrm>
                      <a:off x="0" y="0"/>
                      <a:ext cx="6429375" cy="6972300"/>
                    </a:xfrm>
                    <a:prstGeom prst="rect">
                      <a:avLst/>
                    </a:prstGeom>
                  </pic:spPr>
                </pic:pic>
              </a:graphicData>
            </a:graphic>
          </wp:inline>
        </w:drawing>
      </w:r>
      <w:r>
        <w:t xml:space="preserve"> </w:t>
      </w:r>
    </w:p>
    <w:p w:rsidR="002116B0" w:rsidRDefault="00FF7F9F">
      <w:pPr>
        <w:spacing w:after="91" w:line="522" w:lineRule="auto"/>
        <w:ind w:left="-5" w:right="1665"/>
        <w:jc w:val="left"/>
      </w:pPr>
      <w:r>
        <w:rPr>
          <w:b/>
          <w:sz w:val="18"/>
        </w:rPr>
        <w:t xml:space="preserve">The asterisks [*, **, and ***] represent statistical significance at 1%, 5% and 10% levels respectively </w:t>
      </w:r>
      <w:r>
        <w:t>Sourc</w:t>
      </w:r>
      <w:r>
        <w:t xml:space="preserve">e: </w:t>
      </w:r>
      <w:proofErr w:type="spellStart"/>
      <w:r>
        <w:t>Katumani</w:t>
      </w:r>
      <w:proofErr w:type="spellEnd"/>
      <w:r>
        <w:t xml:space="preserve"> meteorological station climate data </w:t>
      </w:r>
    </w:p>
    <w:p w:rsidR="002116B0" w:rsidRDefault="00FF7F9F">
      <w:pPr>
        <w:spacing w:after="0" w:line="259" w:lineRule="auto"/>
        <w:ind w:left="0" w:firstLine="0"/>
        <w:jc w:val="left"/>
      </w:pPr>
      <w:r>
        <w:t xml:space="preserve"> </w:t>
      </w:r>
      <w:r>
        <w:tab/>
        <w:t xml:space="preserve"> </w:t>
      </w:r>
    </w:p>
    <w:p w:rsidR="002116B0" w:rsidRDefault="00FF7F9F">
      <w:pPr>
        <w:spacing w:line="477" w:lineRule="auto"/>
        <w:ind w:left="-5" w:right="707"/>
      </w:pPr>
      <w:r>
        <w:lastRenderedPageBreak/>
        <w:t>Table 5 summarizes the outcome of the regression of change in rainfall related variables. The F statistics for all the regressions except that of the start of second season were insignificant an indicati</w:t>
      </w:r>
      <w:r>
        <w:t>on that none of the explanatory variables explained the variation in the dependent variables.  Similarly, all the coefficients of the lagged dependent variable in all the regressions were insignificant an indication than the values of climatic variables in</w:t>
      </w:r>
      <w:r>
        <w:t xml:space="preserve"> the previous time periods have no effect in current and future periods as well as no possible autocorrelation in seasonal climate related variables. </w:t>
      </w:r>
    </w:p>
    <w:p w:rsidR="002116B0" w:rsidRDefault="00FF7F9F">
      <w:pPr>
        <w:spacing w:line="476" w:lineRule="auto"/>
        <w:ind w:left="-5" w:right="709"/>
      </w:pPr>
      <w:r>
        <w:t>Insignificant time trend in the start and end of both the first season, end of the second season,  amount</w:t>
      </w:r>
      <w:r>
        <w:t xml:space="preserve"> of rainfall, number of rainy days and length of the season for both the seasons  were established thus changes observed are assumed to be due to chance.  However the start of the second season has significantly shifted at 10% level of significant. It is e</w:t>
      </w:r>
      <w:r>
        <w:t xml:space="preserve">stimated that the start of second season shifts forward by 2.4% per year all other factors held constant.  </w:t>
      </w:r>
    </w:p>
    <w:p w:rsidR="002116B0" w:rsidRDefault="00FF7F9F">
      <w:pPr>
        <w:spacing w:line="476" w:lineRule="auto"/>
        <w:ind w:left="-5" w:right="707"/>
      </w:pPr>
      <w:r>
        <w:t xml:space="preserve">Existence of no significant change in different aspects of rainfall related variables is coherent with the finding in Southern Africa where no long </w:t>
      </w:r>
      <w:r>
        <w:t xml:space="preserve">term trend in mean annual rainfall was observed (Hassan, 2010, Hassan and </w:t>
      </w:r>
      <w:proofErr w:type="spellStart"/>
      <w:r>
        <w:t>Nhemachena</w:t>
      </w:r>
      <w:proofErr w:type="spellEnd"/>
      <w:r>
        <w:t xml:space="preserve">, 2008). </w:t>
      </w:r>
    </w:p>
    <w:p w:rsidR="002116B0" w:rsidRDefault="00FF7F9F">
      <w:pPr>
        <w:spacing w:after="0" w:line="482" w:lineRule="auto"/>
        <w:ind w:left="-5" w:right="432"/>
        <w:jc w:val="left"/>
      </w:pPr>
      <w:r>
        <w:t xml:space="preserve">Greater regional variability is represented in literature on rainfall trends (Hassan, 2010). </w:t>
      </w:r>
      <w:r>
        <w:t xml:space="preserve">A mixed trend of increased rain in the north and declining patterns in the southern parts of East Africa was noted (Hassan, 2010) and prediction by robust models of an increase in mean precipitation across </w:t>
      </w:r>
    </w:p>
    <w:p w:rsidR="002116B0" w:rsidRDefault="00FF7F9F">
      <w:pPr>
        <w:spacing w:after="0" w:line="477" w:lineRule="auto"/>
        <w:ind w:left="-5" w:right="705"/>
      </w:pPr>
      <w:r>
        <w:t>East Africa (Webber et al., 2014). In Kenya and U</w:t>
      </w:r>
      <w:r>
        <w:t xml:space="preserve">ganda decreasing precipitation was </w:t>
      </w:r>
      <w:proofErr w:type="gramStart"/>
      <w:r>
        <w:t>noted  (</w:t>
      </w:r>
      <w:proofErr w:type="gramEnd"/>
      <w:r>
        <w:t xml:space="preserve">Bryan et al., 2013, </w:t>
      </w:r>
      <w:proofErr w:type="spellStart"/>
      <w:r>
        <w:t>Osbahr</w:t>
      </w:r>
      <w:proofErr w:type="spellEnd"/>
      <w:r>
        <w:t xml:space="preserve"> et al., 2011). Similarly, in West Africa (Sahel), mean annual rainfall recorded a 20–40 per cent decline between 1960 and 1998 whereas rainfall decrease of about 2-4 per cent were detect</w:t>
      </w:r>
      <w:r>
        <w:t xml:space="preserve">ed in tropical rain forest regions but in Guinean Coast rainfall rose by about </w:t>
      </w:r>
    </w:p>
    <w:p w:rsidR="002116B0" w:rsidRDefault="00FF7F9F">
      <w:pPr>
        <w:ind w:left="-5" w:right="10"/>
      </w:pPr>
      <w:r>
        <w:t xml:space="preserve">10 per cent over a period 30 years (Hassan, 2010). </w:t>
      </w:r>
    </w:p>
    <w:p w:rsidR="002116B0" w:rsidRDefault="00FF7F9F">
      <w:pPr>
        <w:spacing w:after="226" w:line="476" w:lineRule="auto"/>
        <w:ind w:left="-5" w:right="709"/>
      </w:pPr>
      <w:r>
        <w:lastRenderedPageBreak/>
        <w:t>The insignificant trends on onset of season, end of season, season length and the numbers of rainy days in a season are inco</w:t>
      </w:r>
      <w:r>
        <w:t xml:space="preserve">nsistent with the observations noted in southern Africa where inter annual and seasonal variability as well as extreme weather has increased (Hassan, 2010). </w:t>
      </w:r>
    </w:p>
    <w:p w:rsidR="002116B0" w:rsidRDefault="00FF7F9F">
      <w:pPr>
        <w:pStyle w:val="Heading3"/>
        <w:spacing w:after="429"/>
        <w:ind w:left="-5"/>
      </w:pPr>
      <w:bookmarkStart w:id="31" w:name="_Toc61308"/>
      <w:r>
        <w:t>4.6 Extension officers’ perceptions on climate change</w:t>
      </w:r>
      <w:r>
        <w:rPr>
          <w:i/>
        </w:rPr>
        <w:t xml:space="preserve"> </w:t>
      </w:r>
      <w:bookmarkEnd w:id="31"/>
    </w:p>
    <w:p w:rsidR="002116B0" w:rsidRDefault="00FF7F9F">
      <w:pPr>
        <w:spacing w:after="388"/>
        <w:ind w:left="-5" w:right="10"/>
      </w:pPr>
      <w:r>
        <w:t xml:space="preserve">Table 6: Extension officers’ socioeconomic </w:t>
      </w:r>
      <w:r>
        <w:t xml:space="preserve">characteristics </w:t>
      </w:r>
    </w:p>
    <w:p w:rsidR="002116B0" w:rsidRDefault="00FF7F9F">
      <w:pPr>
        <w:spacing w:after="338" w:line="259" w:lineRule="auto"/>
        <w:ind w:left="-1" w:right="900" w:firstLine="0"/>
        <w:jc w:val="right"/>
      </w:pPr>
      <w:r>
        <w:rPr>
          <w:noProof/>
        </w:rPr>
        <w:drawing>
          <wp:inline distT="0" distB="0" distL="0" distR="0">
            <wp:extent cx="5857875" cy="2905125"/>
            <wp:effectExtent l="0" t="0" r="0" b="0"/>
            <wp:docPr id="5326" name="Picture 5326"/>
            <wp:cNvGraphicFramePr/>
            <a:graphic xmlns:a="http://schemas.openxmlformats.org/drawingml/2006/main">
              <a:graphicData uri="http://schemas.openxmlformats.org/drawingml/2006/picture">
                <pic:pic xmlns:pic="http://schemas.openxmlformats.org/drawingml/2006/picture">
                  <pic:nvPicPr>
                    <pic:cNvPr id="5326" name="Picture 5326"/>
                    <pic:cNvPicPr/>
                  </pic:nvPicPr>
                  <pic:blipFill>
                    <a:blip r:embed="rId58"/>
                    <a:stretch>
                      <a:fillRect/>
                    </a:stretch>
                  </pic:blipFill>
                  <pic:spPr>
                    <a:xfrm>
                      <a:off x="0" y="0"/>
                      <a:ext cx="5857875" cy="2905125"/>
                    </a:xfrm>
                    <a:prstGeom prst="rect">
                      <a:avLst/>
                    </a:prstGeom>
                  </pic:spPr>
                </pic:pic>
              </a:graphicData>
            </a:graphic>
          </wp:inline>
        </w:drawing>
      </w:r>
      <w:r>
        <w:t xml:space="preserve"> </w:t>
      </w:r>
    </w:p>
    <w:p w:rsidR="002116B0" w:rsidRDefault="00FF7F9F">
      <w:pPr>
        <w:spacing w:after="427"/>
        <w:ind w:left="-5" w:right="10"/>
      </w:pPr>
      <w:r>
        <w:t xml:space="preserve">Source: Field data </w:t>
      </w:r>
    </w:p>
    <w:p w:rsidR="002116B0" w:rsidRDefault="00FF7F9F">
      <w:pPr>
        <w:spacing w:line="477" w:lineRule="auto"/>
        <w:ind w:left="-5" w:right="702"/>
      </w:pPr>
      <w:r>
        <w:t xml:space="preserve">Table 6 presents a summary of extension officers’ socio economic characteristics. The survey included different age, sex, education and employing sector of extension officers. Majority of the respondents interviewed </w:t>
      </w:r>
      <w:r>
        <w:t>were men (53.8%). The mean age group of the extension officers 36.8 years. With respect to education, most of the respondents held a diploma level of education (50.9%). Likewise, 50.9% of the respondents interviewed were employed by the private sector depi</w:t>
      </w:r>
      <w:r>
        <w:t xml:space="preserve">cting an active participation by private sector in </w:t>
      </w:r>
      <w:proofErr w:type="spellStart"/>
      <w:r>
        <w:t>Machakos</w:t>
      </w:r>
      <w:proofErr w:type="spellEnd"/>
      <w:r>
        <w:t xml:space="preserve">.  </w:t>
      </w:r>
    </w:p>
    <w:p w:rsidR="002116B0" w:rsidRDefault="00FF7F9F">
      <w:pPr>
        <w:spacing w:after="0" w:line="476" w:lineRule="auto"/>
        <w:ind w:left="-5" w:right="10"/>
      </w:pPr>
      <w:r>
        <w:t>The analysis of climatic data showed that probability of crop failure in the first season and second season obtained by getting the proportion of years where there was no proper season are 8/52</w:t>
      </w:r>
      <w:r>
        <w:t xml:space="preserve"> (15%) and 4/52 (8%) </w:t>
      </w:r>
      <w:r>
        <w:lastRenderedPageBreak/>
        <w:t>respectively thus confirming the long term belief held by farmers and some of the extension officers that the second season (short rains)  gives better opportunity for food production than the first season (long rains) (</w:t>
      </w:r>
      <w:proofErr w:type="spellStart"/>
      <w:r>
        <w:t>Ndambiri</w:t>
      </w:r>
      <w:proofErr w:type="spellEnd"/>
      <w:r>
        <w:t xml:space="preserve"> et al.</w:t>
      </w:r>
      <w:r>
        <w:t>, 2013, Rao et al., 2011). The extension officers however perceived on average that six out of ten years there are chances of crop failure due to climate variability as shown on climate change</w:t>
      </w:r>
      <w:r>
        <w:rPr>
          <w:i/>
        </w:rPr>
        <w:t xml:space="preserve"> </w:t>
      </w:r>
    </w:p>
    <w:p w:rsidR="002116B0" w:rsidRDefault="00FF7F9F">
      <w:pPr>
        <w:spacing w:after="173" w:line="477" w:lineRule="auto"/>
        <w:ind w:left="-5" w:right="707"/>
      </w:pPr>
      <w:r>
        <w:t>Table 6 above. This is approximately 60% probability of crop f</w:t>
      </w:r>
      <w:r>
        <w:t xml:space="preserve">ailure a figure which is four times higher than that established by the climate data for first season which is the most unreliable season in the area thus depicting a high risk perception by the extension officers. </w:t>
      </w:r>
    </w:p>
    <w:p w:rsidR="002116B0" w:rsidRDefault="00FF7F9F">
      <w:pPr>
        <w:spacing w:after="386"/>
        <w:ind w:left="-5" w:right="10"/>
      </w:pPr>
      <w:r>
        <w:t>Figure 6</w:t>
      </w:r>
      <w:r>
        <w:t xml:space="preserve">: Extension officers’ perceptions on the start of the season </w:t>
      </w:r>
    </w:p>
    <w:p w:rsidR="002116B0" w:rsidRDefault="00FF7F9F">
      <w:pPr>
        <w:spacing w:after="338" w:line="259" w:lineRule="auto"/>
        <w:ind w:left="-1" w:right="1412" w:firstLine="0"/>
        <w:jc w:val="right"/>
      </w:pPr>
      <w:r>
        <w:rPr>
          <w:noProof/>
        </w:rPr>
        <w:drawing>
          <wp:inline distT="0" distB="0" distL="0" distR="0">
            <wp:extent cx="5543550" cy="3267075"/>
            <wp:effectExtent l="0" t="0" r="0" b="0"/>
            <wp:docPr id="5400" name="Picture 5400"/>
            <wp:cNvGraphicFramePr/>
            <a:graphic xmlns:a="http://schemas.openxmlformats.org/drawingml/2006/main">
              <a:graphicData uri="http://schemas.openxmlformats.org/drawingml/2006/picture">
                <pic:pic xmlns:pic="http://schemas.openxmlformats.org/drawingml/2006/picture">
                  <pic:nvPicPr>
                    <pic:cNvPr id="5400" name="Picture 5400"/>
                    <pic:cNvPicPr/>
                  </pic:nvPicPr>
                  <pic:blipFill>
                    <a:blip r:embed="rId59"/>
                    <a:stretch>
                      <a:fillRect/>
                    </a:stretch>
                  </pic:blipFill>
                  <pic:spPr>
                    <a:xfrm>
                      <a:off x="0" y="0"/>
                      <a:ext cx="5543550" cy="3267075"/>
                    </a:xfrm>
                    <a:prstGeom prst="rect">
                      <a:avLst/>
                    </a:prstGeom>
                  </pic:spPr>
                </pic:pic>
              </a:graphicData>
            </a:graphic>
          </wp:inline>
        </w:drawing>
      </w:r>
      <w:r>
        <w:t xml:space="preserve"> </w:t>
      </w:r>
    </w:p>
    <w:p w:rsidR="002116B0" w:rsidRDefault="00FF7F9F">
      <w:pPr>
        <w:spacing w:after="390"/>
        <w:ind w:left="-5" w:right="10"/>
      </w:pPr>
      <w:r>
        <w:t xml:space="preserve">Source: Field data </w:t>
      </w:r>
    </w:p>
    <w:p w:rsidR="002116B0" w:rsidRDefault="00FF7F9F">
      <w:pPr>
        <w:spacing w:line="476" w:lineRule="auto"/>
        <w:ind w:left="-5" w:right="702"/>
      </w:pPr>
      <w:r>
        <w:t>Figure 6 shows that 7 (6.6%) extension officers perceived an early start of the season, 6 (5.7%) perceived no change while 93 (87.7%) perceived a delay in the start of the</w:t>
      </w:r>
      <w:r>
        <w:t xml:space="preserve"> season. This is partially consistent with the findings in Table 5 established with climate data that showed significant forward shift in start of second season but incongruous for the start of first season where no trends were established. </w:t>
      </w:r>
    </w:p>
    <w:p w:rsidR="002116B0" w:rsidRDefault="00FF7F9F">
      <w:pPr>
        <w:spacing w:after="387"/>
        <w:ind w:left="-5" w:right="10"/>
      </w:pPr>
      <w:r>
        <w:lastRenderedPageBreak/>
        <w:t>Figure 7: Exte</w:t>
      </w:r>
      <w:r>
        <w:t xml:space="preserve">nsion officers' perceptions on climate variables </w:t>
      </w:r>
    </w:p>
    <w:p w:rsidR="002116B0" w:rsidRDefault="00FF7F9F">
      <w:pPr>
        <w:spacing w:after="338" w:line="259" w:lineRule="auto"/>
        <w:ind w:left="-1" w:right="1172" w:firstLine="0"/>
        <w:jc w:val="right"/>
      </w:pPr>
      <w:r>
        <w:rPr>
          <w:noProof/>
        </w:rPr>
        <w:drawing>
          <wp:inline distT="0" distB="0" distL="0" distR="0">
            <wp:extent cx="5695950" cy="4648200"/>
            <wp:effectExtent l="0" t="0" r="0" b="0"/>
            <wp:docPr id="5473" name="Picture 5473"/>
            <wp:cNvGraphicFramePr/>
            <a:graphic xmlns:a="http://schemas.openxmlformats.org/drawingml/2006/main">
              <a:graphicData uri="http://schemas.openxmlformats.org/drawingml/2006/picture">
                <pic:pic xmlns:pic="http://schemas.openxmlformats.org/drawingml/2006/picture">
                  <pic:nvPicPr>
                    <pic:cNvPr id="5473" name="Picture 5473"/>
                    <pic:cNvPicPr/>
                  </pic:nvPicPr>
                  <pic:blipFill>
                    <a:blip r:embed="rId60"/>
                    <a:stretch>
                      <a:fillRect/>
                    </a:stretch>
                  </pic:blipFill>
                  <pic:spPr>
                    <a:xfrm>
                      <a:off x="0" y="0"/>
                      <a:ext cx="5695950" cy="4648200"/>
                    </a:xfrm>
                    <a:prstGeom prst="rect">
                      <a:avLst/>
                    </a:prstGeom>
                  </pic:spPr>
                </pic:pic>
              </a:graphicData>
            </a:graphic>
          </wp:inline>
        </w:drawing>
      </w:r>
      <w:r>
        <w:t xml:space="preserve"> </w:t>
      </w:r>
    </w:p>
    <w:p w:rsidR="002116B0" w:rsidRDefault="00FF7F9F">
      <w:pPr>
        <w:spacing w:after="390"/>
        <w:ind w:left="-5" w:right="10"/>
      </w:pPr>
      <w:r>
        <w:t xml:space="preserve">Source: Field data </w:t>
      </w:r>
    </w:p>
    <w:p w:rsidR="002116B0" w:rsidRDefault="00FF7F9F">
      <w:pPr>
        <w:spacing w:line="476" w:lineRule="auto"/>
        <w:ind w:left="-5" w:right="706"/>
      </w:pPr>
      <w:r>
        <w:t>The perception by majority of the extension officers that temperature is increasing is coherent with climate data findings shown in Table 4. These findings are consistent with those o</w:t>
      </w:r>
      <w:r>
        <w:t xml:space="preserve">f previous studies in Uganda and Kenya where widespread warming over time have been established (Webber et al., 2014, Lewis and Witham, 2012, </w:t>
      </w:r>
      <w:proofErr w:type="spellStart"/>
      <w:r>
        <w:t>Osbahr</w:t>
      </w:r>
      <w:proofErr w:type="spellEnd"/>
      <w:r>
        <w:t xml:space="preserve"> et al., 2011, </w:t>
      </w:r>
      <w:proofErr w:type="spellStart"/>
      <w:r>
        <w:t>Ogutu</w:t>
      </w:r>
      <w:proofErr w:type="spellEnd"/>
      <w:r>
        <w:t xml:space="preserve"> et al., 2008). </w:t>
      </w:r>
    </w:p>
    <w:p w:rsidR="002116B0" w:rsidRDefault="00FF7F9F">
      <w:pPr>
        <w:spacing w:line="477" w:lineRule="auto"/>
        <w:ind w:left="-5" w:right="10"/>
      </w:pPr>
      <w:r>
        <w:t>Majority of the extension officers perceived the amount of rainfall, nu</w:t>
      </w:r>
      <w:r>
        <w:t>mber of rainy days and length of the season to have decreased as shown in Figure 7 thus depicting worsening climate variability. These are however disproved by the results obtained from analysis of rainfall data in Table 5 which showed no significant chang</w:t>
      </w:r>
      <w:r>
        <w:t xml:space="preserve">e in the amount of rainfall, season length and number of rainy days. The perception of </w:t>
      </w:r>
      <w:r>
        <w:lastRenderedPageBreak/>
        <w:t xml:space="preserve">worsening climate scenarios is consistent with the findings of </w:t>
      </w:r>
      <w:proofErr w:type="spellStart"/>
      <w:r>
        <w:t>Heltberg</w:t>
      </w:r>
      <w:proofErr w:type="spellEnd"/>
      <w:r>
        <w:t xml:space="preserve"> et al. (2012) who observed that authors of grant proposals perceived deteriorating climate situat</w:t>
      </w:r>
      <w:r>
        <w:t>ion. The discrepancies established between perception and climate data on rainfall related variables have also been establishes in previous studies in East Africa (</w:t>
      </w:r>
      <w:proofErr w:type="spellStart"/>
      <w:r>
        <w:t>Abongu</w:t>
      </w:r>
      <w:proofErr w:type="spellEnd"/>
      <w:r>
        <w:t xml:space="preserve">, 2013, </w:t>
      </w:r>
      <w:proofErr w:type="spellStart"/>
      <w:r>
        <w:t>Osbahr</w:t>
      </w:r>
      <w:proofErr w:type="spellEnd"/>
      <w:r>
        <w:t xml:space="preserve"> et al., 2011, Bryan et al., 2013) thus demonstrating the inadequate kno</w:t>
      </w:r>
      <w:r>
        <w:t xml:space="preserve">wledge by extension officers on climate science information. </w:t>
      </w:r>
    </w:p>
    <w:p w:rsidR="002116B0" w:rsidRDefault="00FF7F9F">
      <w:pPr>
        <w:spacing w:line="476" w:lineRule="auto"/>
        <w:ind w:left="-5" w:right="704"/>
      </w:pPr>
      <w:r>
        <w:t>The difference between the perceptions and rainfall data may be attributed to temperature rise, which increases evapotranspiration thus indirectly exacerbating existing water stress which affect</w:t>
      </w:r>
      <w:r>
        <w:t xml:space="preserve"> crop production and consequently lead to crop failures (Meza et al., 2008). Lewis and Witham (2012) argue that temperature increase not only makes crops susceptible to heat stress and water loss by evaporation but also decrease the areas suitable for arab</w:t>
      </w:r>
      <w:r>
        <w:t xml:space="preserve">le farming. The temperature rise may translate into price and supply volatility in the global markets of agricultural commodities. </w:t>
      </w:r>
    </w:p>
    <w:p w:rsidR="002116B0" w:rsidRDefault="00FF7F9F">
      <w:pPr>
        <w:spacing w:line="476" w:lineRule="auto"/>
        <w:ind w:left="-5" w:right="702"/>
      </w:pPr>
      <w:r>
        <w:t>Additionally, the findings from previous studies across Africa has revealed increasing frequency of droughts and floods thus</w:t>
      </w:r>
      <w:r>
        <w:t xml:space="preserve"> consistent with the perception by majority of the extension officers intensification of droughts but contrast the perception by 58.5% of the respondents that frequency of floods in declining (Hassan, 2010). </w:t>
      </w:r>
    </w:p>
    <w:p w:rsidR="002116B0" w:rsidRDefault="00FF7F9F">
      <w:pPr>
        <w:pStyle w:val="Heading5"/>
        <w:ind w:left="-5" w:right="0"/>
      </w:pPr>
      <w:r>
        <w:t xml:space="preserve">Sources of climate information </w:t>
      </w:r>
    </w:p>
    <w:p w:rsidR="002116B0" w:rsidRDefault="00FF7F9F">
      <w:pPr>
        <w:spacing w:after="0" w:line="476" w:lineRule="auto"/>
        <w:ind w:left="-5" w:right="703"/>
      </w:pPr>
      <w:r>
        <w:t>The extension officers used multiple sources of information. Majority of the respondents 63 (59.4%) received climate/weather information from radio and or television.  52 respondents received (49.1%) information from the Meteorological department, thus con</w:t>
      </w:r>
      <w:r>
        <w:t xml:space="preserve">tradicting the finding of </w:t>
      </w:r>
      <w:proofErr w:type="spellStart"/>
      <w:r>
        <w:t>Heltberg</w:t>
      </w:r>
      <w:proofErr w:type="spellEnd"/>
      <w:r>
        <w:t xml:space="preserve"> et al. (2012) which revealed a rare reliance on formal source of information. 13 </w:t>
      </w:r>
    </w:p>
    <w:p w:rsidR="002116B0" w:rsidRDefault="00FF7F9F">
      <w:pPr>
        <w:spacing w:line="476" w:lineRule="auto"/>
        <w:ind w:left="-5" w:right="10"/>
      </w:pPr>
      <w:r>
        <w:t xml:space="preserve">(12.3%) respondents received weather/ climate information from the internet, 12 (11.3%) respondents received information from the Ministry </w:t>
      </w:r>
      <w:r>
        <w:t xml:space="preserve">of Agriculture, 7 (6.6%) received information from print media, 4 (3.8%) respondents received information from their colleagues. 3 (2.8%) respondents receive climate/weather information from drought monitoring </w:t>
      </w:r>
      <w:proofErr w:type="spellStart"/>
      <w:r>
        <w:t>centre</w:t>
      </w:r>
      <w:proofErr w:type="spellEnd"/>
      <w:r>
        <w:t xml:space="preserve"> and 3 (2.8) respondents relied on infor</w:t>
      </w:r>
      <w:r>
        <w:t xml:space="preserve">mation </w:t>
      </w:r>
      <w:r>
        <w:lastRenderedPageBreak/>
        <w:t xml:space="preserve">from traditional weather forecast. 4 (3.8%) respondents never used weather forecast information, 35 (33.1%) respondents rarely use weather forecast and 66 (63.1%) often used the weather forecast to influence farm management decisions. </w:t>
      </w:r>
    </w:p>
    <w:p w:rsidR="002116B0" w:rsidRDefault="00FF7F9F">
      <w:pPr>
        <w:spacing w:after="385"/>
        <w:ind w:left="-5"/>
        <w:jc w:val="left"/>
      </w:pPr>
      <w:r>
        <w:rPr>
          <w:b/>
        </w:rPr>
        <w:t>Characteristi</w:t>
      </w:r>
      <w:r>
        <w:rPr>
          <w:b/>
        </w:rPr>
        <w:t xml:space="preserve">cs of climate information received:  </w:t>
      </w:r>
    </w:p>
    <w:p w:rsidR="002116B0" w:rsidRDefault="00FF7F9F">
      <w:pPr>
        <w:spacing w:line="476" w:lineRule="auto"/>
        <w:ind w:left="-5" w:right="706"/>
      </w:pPr>
      <w:r>
        <w:t>98.1% (104) of the respondents had received climate information in the last season. 45 extension officers received climate information on a monthly basis, 28 received climate information on a weekly basis and 31 received climate information on a daily basi</w:t>
      </w:r>
      <w:r>
        <w:t>s. However only 20 (19.2%) respondents believes that the weather forecast and climate information they received was accurate, 55 (52.9) believes that the information is somehow inaccurate. 11 respondents were unable to tell the level of accuracy of the wea</w:t>
      </w:r>
      <w:r>
        <w:t xml:space="preserve">ther forecast received. 18 (17.3%) respondents perceived the weather forecast information to be inaccurate. Lack of trust weather/ climate information was also established amongst farmers in </w:t>
      </w:r>
      <w:proofErr w:type="spellStart"/>
      <w:r>
        <w:t>Machakos</w:t>
      </w:r>
      <w:proofErr w:type="spellEnd"/>
      <w:r>
        <w:t xml:space="preserve"> (</w:t>
      </w:r>
      <w:proofErr w:type="spellStart"/>
      <w:r>
        <w:t>Ngugi</w:t>
      </w:r>
      <w:proofErr w:type="spellEnd"/>
      <w:r>
        <w:t>, 2002).</w:t>
      </w:r>
      <w:r>
        <w:rPr>
          <w:b/>
        </w:rPr>
        <w:t xml:space="preserve"> </w:t>
      </w:r>
    </w:p>
    <w:p w:rsidR="002116B0" w:rsidRDefault="00FF7F9F">
      <w:pPr>
        <w:spacing w:line="482" w:lineRule="auto"/>
        <w:ind w:left="-5" w:right="705"/>
      </w:pPr>
      <w:r>
        <w:t xml:space="preserve">The perception of inaccuracy on weather </w:t>
      </w:r>
      <w:r>
        <w:t xml:space="preserve">forecast information and how the information is communicated has been blamed for failure of forecast information to </w:t>
      </w:r>
      <w:proofErr w:type="spellStart"/>
      <w:r>
        <w:t>realise</w:t>
      </w:r>
      <w:proofErr w:type="spellEnd"/>
      <w:r>
        <w:t xml:space="preserve"> its potentials in the agricultural sector (Crane et al., 2011, Webber et al., 2014). Likewise 75 (70.7%) respondent perceived the we</w:t>
      </w:r>
      <w:r>
        <w:t xml:space="preserve">ather information they received in the last season to be unreliable and 31 (29.3%) perceived the information to be reliable. Despite the perception of inaccuracy of weather forecast information, 58 (55.7%) of respondents asserted that the weather forecast </w:t>
      </w:r>
      <w:r>
        <w:t xml:space="preserve">information was important in influencing farmers’ management decisions and 46 (44.3%) respondents thought that the information was unimportant in influencing farmers’ decisions. </w:t>
      </w:r>
    </w:p>
    <w:p w:rsidR="002116B0" w:rsidRDefault="00FF7F9F">
      <w:pPr>
        <w:pStyle w:val="Heading3"/>
        <w:ind w:left="-5"/>
      </w:pPr>
      <w:bookmarkStart w:id="32" w:name="_Toc61309"/>
      <w:r>
        <w:t xml:space="preserve">4.7 Conclusion </w:t>
      </w:r>
      <w:bookmarkEnd w:id="32"/>
    </w:p>
    <w:p w:rsidR="002116B0" w:rsidRDefault="00FF7F9F">
      <w:pPr>
        <w:spacing w:line="477" w:lineRule="auto"/>
        <w:ind w:left="-5" w:right="706"/>
      </w:pPr>
      <w:r>
        <w:t>This chapter presented and discussed the perceptions of exten</w:t>
      </w:r>
      <w:r>
        <w:t xml:space="preserve">sion officers on CC in relation to climate data. The extension officers perceive negative changes in both temperature and rainfall </w:t>
      </w:r>
      <w:r>
        <w:lastRenderedPageBreak/>
        <w:t>related variables. The perceptions on temperature corresponded with climate data hence in agreement about rising temperatures</w:t>
      </w:r>
      <w:r>
        <w:t xml:space="preserve">. The climate data showed a forward shift in the start date of the second season which agrees with the perception that the seasons start date shifted frontwards implying a delay in season start date. Perceptions on rainfall related variables differed with </w:t>
      </w:r>
      <w:r>
        <w:t xml:space="preserve">the findings from rainfall data which showed no significant change in these variables. </w:t>
      </w:r>
      <w:r>
        <w:br w:type="page"/>
      </w:r>
    </w:p>
    <w:p w:rsidR="002116B0" w:rsidRDefault="00FF7F9F">
      <w:pPr>
        <w:pStyle w:val="Heading1"/>
        <w:spacing w:after="246"/>
        <w:ind w:left="578" w:right="1272"/>
        <w:jc w:val="center"/>
      </w:pPr>
      <w:bookmarkStart w:id="33" w:name="_Toc61310"/>
      <w:r>
        <w:lastRenderedPageBreak/>
        <w:t xml:space="preserve">CHAPTER 5: EXTENSION OFFICERS’ CLIMATE CHANGE ADAPTATION RECOMMENDATIONS </w:t>
      </w:r>
      <w:bookmarkEnd w:id="33"/>
    </w:p>
    <w:p w:rsidR="002116B0" w:rsidRDefault="00FF7F9F">
      <w:pPr>
        <w:pStyle w:val="Heading3"/>
        <w:ind w:left="-5"/>
      </w:pPr>
      <w:bookmarkStart w:id="34" w:name="_Toc61311"/>
      <w:r>
        <w:t xml:space="preserve">5.1 Introduction </w:t>
      </w:r>
      <w:bookmarkEnd w:id="34"/>
    </w:p>
    <w:p w:rsidR="002116B0" w:rsidRDefault="00FF7F9F">
      <w:pPr>
        <w:spacing w:after="187" w:line="477" w:lineRule="auto"/>
        <w:ind w:left="-5" w:right="705"/>
      </w:pPr>
      <w:r>
        <w:t>This chapter analyses the CC adaptation recommendations made by the extensi</w:t>
      </w:r>
      <w:r>
        <w:t>on officers to farmers and identifies factors that influenced the recommendations options. The second section outlines the management practices recommended whereas section three presents key divers of recommendations. Section four analyses and discusses th</w:t>
      </w:r>
      <w:r>
        <w:t xml:space="preserve">e factors that determined the recommendations of the management practices. The fifth section presents crop combination recommended by extension officers and the sixth section describes the factors that influenced crop recommendations. </w:t>
      </w:r>
    </w:p>
    <w:p w:rsidR="002116B0" w:rsidRDefault="00FF7F9F">
      <w:pPr>
        <w:pStyle w:val="Heading3"/>
        <w:ind w:left="-5"/>
      </w:pPr>
      <w:bookmarkStart w:id="35" w:name="_Toc61312"/>
      <w:r>
        <w:t>5.2 Management pract</w:t>
      </w:r>
      <w:r>
        <w:t xml:space="preserve">ices recommended by extension officers </w:t>
      </w:r>
      <w:bookmarkEnd w:id="35"/>
    </w:p>
    <w:p w:rsidR="002116B0" w:rsidRDefault="00FF7F9F">
      <w:pPr>
        <w:spacing w:line="476" w:lineRule="auto"/>
        <w:ind w:left="-5" w:right="705"/>
      </w:pPr>
      <w:r>
        <w:t>Figure 8 presents management practices recommended by extension officers to farmers to enable them adapt to CC. The management practices have also been identified by researchers in previous studies on CC adaptation (</w:t>
      </w:r>
      <w:proofErr w:type="spellStart"/>
      <w:r>
        <w:t>Abongu</w:t>
      </w:r>
      <w:proofErr w:type="spellEnd"/>
      <w:r>
        <w:t xml:space="preserve">, 2013, Meza et al., 2008) to be used commonly by farmers in other parts of Africa.  </w:t>
      </w:r>
    </w:p>
    <w:p w:rsidR="002116B0" w:rsidRDefault="00FF7F9F">
      <w:pPr>
        <w:spacing w:line="477" w:lineRule="auto"/>
        <w:ind w:left="-5" w:right="704"/>
      </w:pPr>
      <w:r>
        <w:t>The most common recommendation made to wealthy farmers is use of fertilizer and manure recommended by 57.5% of the respondents. None of the respondent recommended m</w:t>
      </w:r>
      <w:r>
        <w:t>ixed farming to wealthy farmers; however it is the most popular recommendation to resource poor farmers. Small scale irrigation was the least common recommendation to resource poor farmers and wealthy farmers recommended by 21.3% and 22.3% of the responden</w:t>
      </w:r>
      <w:r>
        <w:t xml:space="preserve">ts respectively that inconsistent with the findings of Hassan and </w:t>
      </w:r>
      <w:proofErr w:type="spellStart"/>
      <w:r>
        <w:t>Nhemachena</w:t>
      </w:r>
      <w:proofErr w:type="spellEnd"/>
      <w:r>
        <w:t xml:space="preserve"> (2008) which showed increase in use of irrigation in Southern Africa. This may be attributed to cost associated by adoption of irrigation which is unfeasible to most resource poor</w:t>
      </w:r>
      <w:r>
        <w:t xml:space="preserve"> farmers. These CC adaptation recommendations may motivated by different socio economic factors (Bryan et al., 2013) </w:t>
      </w:r>
    </w:p>
    <w:p w:rsidR="002116B0" w:rsidRDefault="00FF7F9F">
      <w:pPr>
        <w:spacing w:after="387"/>
        <w:ind w:left="-5" w:right="10"/>
      </w:pPr>
      <w:r>
        <w:lastRenderedPageBreak/>
        <w:t xml:space="preserve">Figure 8: Extension officers' CC adaptation recommendations </w:t>
      </w:r>
    </w:p>
    <w:p w:rsidR="002116B0" w:rsidRDefault="00FF7F9F">
      <w:pPr>
        <w:spacing w:after="339" w:line="259" w:lineRule="auto"/>
        <w:ind w:left="-1" w:right="1172" w:firstLine="0"/>
        <w:jc w:val="right"/>
      </w:pPr>
      <w:r>
        <w:rPr>
          <w:noProof/>
        </w:rPr>
        <w:drawing>
          <wp:inline distT="0" distB="0" distL="0" distR="0">
            <wp:extent cx="5688331" cy="4991100"/>
            <wp:effectExtent l="0" t="0" r="0" b="0"/>
            <wp:docPr id="5880" name="Picture 5880"/>
            <wp:cNvGraphicFramePr/>
            <a:graphic xmlns:a="http://schemas.openxmlformats.org/drawingml/2006/main">
              <a:graphicData uri="http://schemas.openxmlformats.org/drawingml/2006/picture">
                <pic:pic xmlns:pic="http://schemas.openxmlformats.org/drawingml/2006/picture">
                  <pic:nvPicPr>
                    <pic:cNvPr id="5880" name="Picture 5880"/>
                    <pic:cNvPicPr/>
                  </pic:nvPicPr>
                  <pic:blipFill>
                    <a:blip r:embed="rId61"/>
                    <a:stretch>
                      <a:fillRect/>
                    </a:stretch>
                  </pic:blipFill>
                  <pic:spPr>
                    <a:xfrm>
                      <a:off x="0" y="0"/>
                      <a:ext cx="5688331" cy="4991100"/>
                    </a:xfrm>
                    <a:prstGeom prst="rect">
                      <a:avLst/>
                    </a:prstGeom>
                  </pic:spPr>
                </pic:pic>
              </a:graphicData>
            </a:graphic>
          </wp:inline>
        </w:drawing>
      </w:r>
      <w:r>
        <w:t xml:space="preserve"> </w:t>
      </w:r>
    </w:p>
    <w:p w:rsidR="002116B0" w:rsidRDefault="00FF7F9F">
      <w:pPr>
        <w:spacing w:after="433"/>
        <w:ind w:left="-5" w:right="10"/>
      </w:pPr>
      <w:r>
        <w:t xml:space="preserve">Source: Field data </w:t>
      </w:r>
    </w:p>
    <w:p w:rsidR="002116B0" w:rsidRDefault="00FF7F9F">
      <w:pPr>
        <w:pStyle w:val="Heading3"/>
        <w:ind w:left="-5"/>
      </w:pPr>
      <w:bookmarkStart w:id="36" w:name="_Toc61313"/>
      <w:r>
        <w:t xml:space="preserve">5.3 </w:t>
      </w:r>
      <w:r>
        <w:t xml:space="preserve">Results of factor analysis of drivers of climate adaptation recommendations </w:t>
      </w:r>
      <w:bookmarkEnd w:id="36"/>
    </w:p>
    <w:p w:rsidR="002116B0" w:rsidRDefault="00FF7F9F">
      <w:pPr>
        <w:spacing w:line="476" w:lineRule="auto"/>
        <w:ind w:left="-5" w:right="706"/>
      </w:pPr>
      <w:r>
        <w:t>The drivers of recommendations refer two latent variables computed from factor analysis namely principal component analysis of six statements shown on Table 7 below. The quality o</w:t>
      </w:r>
      <w:r>
        <w:t>f the sampling was evaluated using Kaiser-Meyer-</w:t>
      </w:r>
      <w:proofErr w:type="spellStart"/>
      <w:r>
        <w:t>Olkin</w:t>
      </w:r>
      <w:proofErr w:type="spellEnd"/>
      <w:r>
        <w:t xml:space="preserve"> (KMO) measure of sampling adequacy and Bartlett's test. The KMO was 0.706 and the Bartlett’s test was significant at P&lt;0.001 thus supporting the factorability of the correlation matrix. The determinant </w:t>
      </w:r>
      <w:r>
        <w:t>of the R matrix was 0.373 implying that multi-</w:t>
      </w:r>
      <w:proofErr w:type="spellStart"/>
      <w:r>
        <w:t>colinearity</w:t>
      </w:r>
      <w:proofErr w:type="spellEnd"/>
      <w:r>
        <w:t xml:space="preserve"> was not a problem in the factor analysis. The factors had significant correlations.  </w:t>
      </w:r>
    </w:p>
    <w:p w:rsidR="002116B0" w:rsidRDefault="00FF7F9F">
      <w:pPr>
        <w:spacing w:after="19" w:line="259" w:lineRule="auto"/>
        <w:ind w:left="-1" w:firstLine="0"/>
        <w:jc w:val="left"/>
      </w:pPr>
      <w:r>
        <w:rPr>
          <w:noProof/>
        </w:rPr>
        <w:lastRenderedPageBreak/>
        <w:drawing>
          <wp:inline distT="0" distB="0" distL="0" distR="0">
            <wp:extent cx="5781675" cy="3686175"/>
            <wp:effectExtent l="0" t="0" r="0" b="0"/>
            <wp:docPr id="5925" name="Picture 5925"/>
            <wp:cNvGraphicFramePr/>
            <a:graphic xmlns:a="http://schemas.openxmlformats.org/drawingml/2006/main">
              <a:graphicData uri="http://schemas.openxmlformats.org/drawingml/2006/picture">
                <pic:pic xmlns:pic="http://schemas.openxmlformats.org/drawingml/2006/picture">
                  <pic:nvPicPr>
                    <pic:cNvPr id="5925" name="Picture 5925"/>
                    <pic:cNvPicPr/>
                  </pic:nvPicPr>
                  <pic:blipFill>
                    <a:blip r:embed="rId62"/>
                    <a:stretch>
                      <a:fillRect/>
                    </a:stretch>
                  </pic:blipFill>
                  <pic:spPr>
                    <a:xfrm>
                      <a:off x="0" y="0"/>
                      <a:ext cx="5781675" cy="3686175"/>
                    </a:xfrm>
                    <a:prstGeom prst="rect">
                      <a:avLst/>
                    </a:prstGeom>
                  </pic:spPr>
                </pic:pic>
              </a:graphicData>
            </a:graphic>
          </wp:inline>
        </w:drawing>
      </w:r>
    </w:p>
    <w:p w:rsidR="002116B0" w:rsidRDefault="00FF7F9F">
      <w:pPr>
        <w:spacing w:after="114"/>
        <w:ind w:left="-5" w:right="10"/>
      </w:pPr>
      <w:r>
        <w:t xml:space="preserve">Table 7: Component loadings </w:t>
      </w:r>
    </w:p>
    <w:p w:rsidR="002116B0" w:rsidRDefault="00FF7F9F">
      <w:pPr>
        <w:spacing w:after="390"/>
        <w:ind w:left="-5" w:right="10"/>
      </w:pPr>
      <w:r>
        <w:t xml:space="preserve">Source: Field data </w:t>
      </w:r>
    </w:p>
    <w:p w:rsidR="002116B0" w:rsidRDefault="00FF7F9F">
      <w:pPr>
        <w:spacing w:line="470" w:lineRule="auto"/>
        <w:ind w:left="-5" w:right="704"/>
      </w:pPr>
      <w:r>
        <w:t>Two components were extracted from the statements and had eig</w:t>
      </w:r>
      <w:r>
        <w:t>envalues higher than 1, explaining 58.81% of the variance together. The first component accounted for 33.18% while the second component accounted for 25.62% of the variance. These components were named as local drivers of recommendations and global drivers</w:t>
      </w:r>
      <w:r>
        <w:t xml:space="preserve"> of recommendations respectively and used as explanatory variables influencing extension officers’ CC adaptation recommendations.</w:t>
      </w:r>
      <w:r>
        <w:rPr>
          <w:b/>
          <w:sz w:val="28"/>
        </w:rPr>
        <w:t xml:space="preserve"> </w:t>
      </w:r>
    </w:p>
    <w:p w:rsidR="002116B0" w:rsidRDefault="00FF7F9F">
      <w:pPr>
        <w:pStyle w:val="Heading3"/>
        <w:spacing w:after="103" w:line="475" w:lineRule="auto"/>
        <w:ind w:left="-5"/>
      </w:pPr>
      <w:bookmarkStart w:id="37" w:name="_Toc61314"/>
      <w:r>
        <w:t xml:space="preserve">5.4 Results of </w:t>
      </w:r>
      <w:proofErr w:type="spellStart"/>
      <w:r>
        <w:t>logit</w:t>
      </w:r>
      <w:proofErr w:type="spellEnd"/>
      <w:r>
        <w:t xml:space="preserve"> model of extension officers’ climate change adaptation recommendations to farmers </w:t>
      </w:r>
      <w:bookmarkEnd w:id="37"/>
    </w:p>
    <w:p w:rsidR="002116B0" w:rsidRDefault="00FF7F9F">
      <w:pPr>
        <w:spacing w:after="0" w:line="478" w:lineRule="auto"/>
        <w:ind w:left="-5" w:right="704"/>
      </w:pPr>
      <w:r>
        <w:t xml:space="preserve">The probabilities of </w:t>
      </w:r>
      <w:r>
        <w:t xml:space="preserve">making climate adaptation recommendations to both wealthy farmers and rich farmers as </w:t>
      </w:r>
      <w:proofErr w:type="spellStart"/>
      <w:r>
        <w:t>summarised</w:t>
      </w:r>
      <w:proofErr w:type="spellEnd"/>
      <w:r>
        <w:t xml:space="preserve"> in Table 8, 9, 10 and 11 below. The likelihood ratio test statistic values for the probability of recommending to both poor and wealthy farmers management prac</w:t>
      </w:r>
      <w:r>
        <w:t xml:space="preserve">tices such as intercropping, agroforestry, long maturing crops, manure and fertilizer and early maturing crops </w:t>
      </w:r>
      <w:r>
        <w:lastRenderedPageBreak/>
        <w:t>were all larger than the 0.95 percentile from the X</w:t>
      </w:r>
      <w:r>
        <w:rPr>
          <w:vertAlign w:val="subscript"/>
        </w:rPr>
        <w:t>(13)</w:t>
      </w:r>
      <w:r>
        <w:t xml:space="preserve"> distribution, 22.362 hence significant. The null hypothesis that none of the explanatory </w:t>
      </w:r>
      <w:r>
        <w:t>variables help explain the choice of the above recommendations is rejected.  The likelihood ratio test statistic values for probability of recommending crop diversification to wealthy farmers, irrigation to poor farmers, drought tolerant crops and early pl</w:t>
      </w:r>
      <w:r>
        <w:t xml:space="preserve">anting to all the farmers were insignificant at 5% level of significance thus excluded from the discussion. </w:t>
      </w:r>
    </w:p>
    <w:p w:rsidR="002116B0" w:rsidRDefault="002116B0">
      <w:pPr>
        <w:sectPr w:rsidR="002116B0">
          <w:headerReference w:type="even" r:id="rId63"/>
          <w:headerReference w:type="default" r:id="rId64"/>
          <w:footerReference w:type="even" r:id="rId65"/>
          <w:footerReference w:type="default" r:id="rId66"/>
          <w:headerReference w:type="first" r:id="rId67"/>
          <w:footerReference w:type="first" r:id="rId68"/>
          <w:pgSz w:w="11906" w:h="16838"/>
          <w:pgMar w:top="1443" w:right="2" w:bottom="1844" w:left="1702" w:header="720" w:footer="992" w:gutter="0"/>
          <w:pgNumType w:start="32"/>
          <w:cols w:space="720"/>
        </w:sectPr>
      </w:pPr>
    </w:p>
    <w:p w:rsidR="002116B0" w:rsidRDefault="00FF7F9F">
      <w:pPr>
        <w:spacing w:line="476" w:lineRule="auto"/>
        <w:ind w:left="-5" w:right="10"/>
      </w:pPr>
      <w:r>
        <w:lastRenderedPageBreak/>
        <w:t xml:space="preserve">Table 8: </w:t>
      </w:r>
      <w:r>
        <w:t xml:space="preserve">Results of </w:t>
      </w:r>
      <w:proofErr w:type="spellStart"/>
      <w:r>
        <w:t>logit</w:t>
      </w:r>
      <w:proofErr w:type="spellEnd"/>
      <w:r>
        <w:t xml:space="preserve"> model of extension officers’ climate change adaptation recommendations to wealthy farmers (Intercropping, agroforestry, long maturing crops, manure and drought tolerant crops) </w:t>
      </w:r>
    </w:p>
    <w:p w:rsidR="002116B0" w:rsidRDefault="00FF7F9F">
      <w:pPr>
        <w:spacing w:after="288" w:line="259" w:lineRule="auto"/>
        <w:ind w:left="-1" w:firstLine="0"/>
        <w:jc w:val="right"/>
      </w:pPr>
      <w:r>
        <w:rPr>
          <w:noProof/>
        </w:rPr>
        <w:drawing>
          <wp:inline distT="0" distB="0" distL="0" distR="0">
            <wp:extent cx="9201150" cy="3438525"/>
            <wp:effectExtent l="0" t="0" r="0" b="0"/>
            <wp:docPr id="6017" name="Picture 6017"/>
            <wp:cNvGraphicFramePr/>
            <a:graphic xmlns:a="http://schemas.openxmlformats.org/drawingml/2006/main">
              <a:graphicData uri="http://schemas.openxmlformats.org/drawingml/2006/picture">
                <pic:pic xmlns:pic="http://schemas.openxmlformats.org/drawingml/2006/picture">
                  <pic:nvPicPr>
                    <pic:cNvPr id="6017" name="Picture 6017"/>
                    <pic:cNvPicPr/>
                  </pic:nvPicPr>
                  <pic:blipFill>
                    <a:blip r:embed="rId69"/>
                    <a:stretch>
                      <a:fillRect/>
                    </a:stretch>
                  </pic:blipFill>
                  <pic:spPr>
                    <a:xfrm>
                      <a:off x="0" y="0"/>
                      <a:ext cx="9201150" cy="3438525"/>
                    </a:xfrm>
                    <a:prstGeom prst="rect">
                      <a:avLst/>
                    </a:prstGeom>
                  </pic:spPr>
                </pic:pic>
              </a:graphicData>
            </a:graphic>
          </wp:inline>
        </w:drawing>
      </w:r>
      <w:r>
        <w:t xml:space="preserve"> </w:t>
      </w:r>
    </w:p>
    <w:p w:rsidR="002116B0" w:rsidRDefault="00FF7F9F">
      <w:pPr>
        <w:spacing w:after="376"/>
        <w:ind w:left="-5" w:right="1665"/>
        <w:jc w:val="left"/>
      </w:pPr>
      <w:r>
        <w:rPr>
          <w:b/>
          <w:sz w:val="18"/>
        </w:rPr>
        <w:t>The asterisks [*, **, and ***] represent statistical signif</w:t>
      </w:r>
      <w:r>
        <w:rPr>
          <w:b/>
          <w:sz w:val="18"/>
        </w:rPr>
        <w:t xml:space="preserve">icance at 1%, 5% and 10% levels respectively </w:t>
      </w:r>
    </w:p>
    <w:p w:rsidR="002116B0" w:rsidRDefault="00FF7F9F">
      <w:pPr>
        <w:spacing w:after="690"/>
        <w:ind w:left="-5" w:right="10"/>
      </w:pPr>
      <w:r>
        <w:t>Source: Field data</w:t>
      </w:r>
    </w:p>
    <w:p w:rsidR="002116B0" w:rsidRDefault="00FF7F9F">
      <w:pPr>
        <w:spacing w:after="262" w:line="249" w:lineRule="auto"/>
        <w:ind w:left="472" w:right="582"/>
        <w:jc w:val="center"/>
      </w:pPr>
      <w:r>
        <w:t>47</w:t>
      </w:r>
    </w:p>
    <w:p w:rsidR="002116B0" w:rsidRDefault="00FF7F9F">
      <w:pPr>
        <w:spacing w:line="476" w:lineRule="auto"/>
        <w:ind w:left="-5" w:right="10"/>
      </w:pPr>
      <w:r>
        <w:lastRenderedPageBreak/>
        <w:t xml:space="preserve">Table 9: Results of </w:t>
      </w:r>
      <w:proofErr w:type="spellStart"/>
      <w:r>
        <w:t>logit</w:t>
      </w:r>
      <w:proofErr w:type="spellEnd"/>
      <w:r>
        <w:t xml:space="preserve"> model of extension officers’ climate change </w:t>
      </w:r>
      <w:r>
        <w:t xml:space="preserve">adaptation recommendations to wealthy farmers (crop diversifications, irrigation, early planting, early maturing crops) </w:t>
      </w:r>
    </w:p>
    <w:p w:rsidR="002116B0" w:rsidRDefault="00FF7F9F">
      <w:pPr>
        <w:spacing w:after="288" w:line="259" w:lineRule="auto"/>
        <w:ind w:left="-1" w:right="149" w:firstLine="0"/>
        <w:jc w:val="right"/>
      </w:pPr>
      <w:r>
        <w:rPr>
          <w:noProof/>
        </w:rPr>
        <w:drawing>
          <wp:inline distT="0" distB="0" distL="0" distR="0">
            <wp:extent cx="9096375" cy="3409950"/>
            <wp:effectExtent l="0" t="0" r="0" b="0"/>
            <wp:docPr id="6043" name="Picture 6043"/>
            <wp:cNvGraphicFramePr/>
            <a:graphic xmlns:a="http://schemas.openxmlformats.org/drawingml/2006/main">
              <a:graphicData uri="http://schemas.openxmlformats.org/drawingml/2006/picture">
                <pic:pic xmlns:pic="http://schemas.openxmlformats.org/drawingml/2006/picture">
                  <pic:nvPicPr>
                    <pic:cNvPr id="6043" name="Picture 6043"/>
                    <pic:cNvPicPr/>
                  </pic:nvPicPr>
                  <pic:blipFill>
                    <a:blip r:embed="rId70"/>
                    <a:stretch>
                      <a:fillRect/>
                    </a:stretch>
                  </pic:blipFill>
                  <pic:spPr>
                    <a:xfrm>
                      <a:off x="0" y="0"/>
                      <a:ext cx="9096375" cy="3409950"/>
                    </a:xfrm>
                    <a:prstGeom prst="rect">
                      <a:avLst/>
                    </a:prstGeom>
                  </pic:spPr>
                </pic:pic>
              </a:graphicData>
            </a:graphic>
          </wp:inline>
        </w:drawing>
      </w:r>
      <w:r>
        <w:t xml:space="preserve"> </w:t>
      </w:r>
    </w:p>
    <w:p w:rsidR="002116B0" w:rsidRDefault="00FF7F9F">
      <w:pPr>
        <w:spacing w:after="376"/>
        <w:ind w:left="-5" w:right="1665"/>
        <w:jc w:val="left"/>
      </w:pPr>
      <w:r>
        <w:rPr>
          <w:b/>
          <w:sz w:val="18"/>
        </w:rPr>
        <w:t xml:space="preserve">The asterisks [*, **, and ***] represent statistical significance at 1%, 5% and 10% levels respectively </w:t>
      </w:r>
    </w:p>
    <w:p w:rsidR="002116B0" w:rsidRDefault="00FF7F9F">
      <w:pPr>
        <w:spacing w:after="750"/>
        <w:ind w:left="-5" w:right="10"/>
      </w:pPr>
      <w:r>
        <w:t>Source: Field data</w:t>
      </w:r>
    </w:p>
    <w:p w:rsidR="002116B0" w:rsidRDefault="00FF7F9F">
      <w:pPr>
        <w:spacing w:after="262" w:line="249" w:lineRule="auto"/>
        <w:ind w:left="472" w:right="582"/>
        <w:jc w:val="center"/>
      </w:pPr>
      <w:r>
        <w:t>48</w:t>
      </w:r>
    </w:p>
    <w:p w:rsidR="002116B0" w:rsidRDefault="00FF7F9F">
      <w:pPr>
        <w:spacing w:after="395" w:line="259" w:lineRule="auto"/>
        <w:ind w:left="0" w:firstLine="0"/>
        <w:jc w:val="left"/>
      </w:pPr>
      <w:r>
        <w:rPr>
          <w:b/>
          <w:sz w:val="18"/>
        </w:rPr>
        <w:lastRenderedPageBreak/>
        <w:t xml:space="preserve"> </w:t>
      </w:r>
    </w:p>
    <w:p w:rsidR="002116B0" w:rsidRDefault="00FF7F9F">
      <w:pPr>
        <w:spacing w:line="476" w:lineRule="auto"/>
        <w:ind w:left="-5" w:right="10"/>
      </w:pPr>
      <w:r>
        <w:t>Tab</w:t>
      </w:r>
      <w:r>
        <w:t xml:space="preserve">le 10: Results of </w:t>
      </w:r>
      <w:proofErr w:type="spellStart"/>
      <w:r>
        <w:t>logit</w:t>
      </w:r>
      <w:proofErr w:type="spellEnd"/>
      <w:r>
        <w:t xml:space="preserve"> model of extension officers’ climate change adaptation recommendations to resource poor farmers (Intercropping, agroforestry, long maturing crops, manure and drought tolerant crops) </w:t>
      </w:r>
    </w:p>
    <w:p w:rsidR="002116B0" w:rsidRDefault="00FF7F9F">
      <w:pPr>
        <w:spacing w:after="291" w:line="259" w:lineRule="auto"/>
        <w:ind w:left="-1" w:right="389" w:firstLine="0"/>
        <w:jc w:val="right"/>
      </w:pPr>
      <w:r>
        <w:rPr>
          <w:noProof/>
        </w:rPr>
        <w:drawing>
          <wp:inline distT="0" distB="0" distL="0" distR="0">
            <wp:extent cx="8953500" cy="2981325"/>
            <wp:effectExtent l="0" t="0" r="0" b="0"/>
            <wp:docPr id="6069" name="Picture 6069"/>
            <wp:cNvGraphicFramePr/>
            <a:graphic xmlns:a="http://schemas.openxmlformats.org/drawingml/2006/main">
              <a:graphicData uri="http://schemas.openxmlformats.org/drawingml/2006/picture">
                <pic:pic xmlns:pic="http://schemas.openxmlformats.org/drawingml/2006/picture">
                  <pic:nvPicPr>
                    <pic:cNvPr id="6069" name="Picture 6069"/>
                    <pic:cNvPicPr/>
                  </pic:nvPicPr>
                  <pic:blipFill>
                    <a:blip r:embed="rId71"/>
                    <a:stretch>
                      <a:fillRect/>
                    </a:stretch>
                  </pic:blipFill>
                  <pic:spPr>
                    <a:xfrm>
                      <a:off x="0" y="0"/>
                      <a:ext cx="8953500" cy="2981325"/>
                    </a:xfrm>
                    <a:prstGeom prst="rect">
                      <a:avLst/>
                    </a:prstGeom>
                  </pic:spPr>
                </pic:pic>
              </a:graphicData>
            </a:graphic>
          </wp:inline>
        </w:drawing>
      </w:r>
      <w:r>
        <w:t xml:space="preserve"> </w:t>
      </w:r>
    </w:p>
    <w:p w:rsidR="002116B0" w:rsidRDefault="00FF7F9F">
      <w:pPr>
        <w:spacing w:after="376"/>
        <w:ind w:left="-5" w:right="1665"/>
        <w:jc w:val="left"/>
      </w:pPr>
      <w:r>
        <w:rPr>
          <w:b/>
          <w:sz w:val="18"/>
        </w:rPr>
        <w:t>The asterisks [*, **, and ***] represent stati</w:t>
      </w:r>
      <w:r>
        <w:rPr>
          <w:b/>
          <w:sz w:val="18"/>
        </w:rPr>
        <w:t xml:space="preserve">stical significance at 1%, 5% and 10% levels respectively </w:t>
      </w:r>
    </w:p>
    <w:p w:rsidR="002116B0" w:rsidRDefault="00FF7F9F">
      <w:pPr>
        <w:tabs>
          <w:tab w:val="center" w:pos="4628"/>
        </w:tabs>
        <w:spacing w:after="860"/>
        <w:ind w:left="-15" w:firstLine="0"/>
        <w:jc w:val="left"/>
      </w:pPr>
      <w:r>
        <w:t>Source: Field data</w:t>
      </w:r>
      <w:r>
        <w:rPr>
          <w:b/>
        </w:rPr>
        <w:t xml:space="preserve"> </w:t>
      </w:r>
      <w:r>
        <w:rPr>
          <w:b/>
        </w:rPr>
        <w:tab/>
      </w:r>
      <w:r>
        <w:rPr>
          <w:b/>
          <w:sz w:val="18"/>
        </w:rPr>
        <w:t xml:space="preserve"> </w:t>
      </w:r>
    </w:p>
    <w:p w:rsidR="002116B0" w:rsidRDefault="00FF7F9F">
      <w:pPr>
        <w:spacing w:after="262" w:line="249" w:lineRule="auto"/>
        <w:ind w:left="472" w:right="582"/>
        <w:jc w:val="center"/>
      </w:pPr>
      <w:r>
        <w:lastRenderedPageBreak/>
        <w:t>49</w:t>
      </w:r>
    </w:p>
    <w:p w:rsidR="002116B0" w:rsidRDefault="00FF7F9F">
      <w:pPr>
        <w:spacing w:line="476" w:lineRule="auto"/>
        <w:ind w:left="-5" w:right="10"/>
      </w:pPr>
      <w:r>
        <w:t xml:space="preserve">Table 11: Results of </w:t>
      </w:r>
      <w:proofErr w:type="spellStart"/>
      <w:r>
        <w:t>logit</w:t>
      </w:r>
      <w:proofErr w:type="spellEnd"/>
      <w:r>
        <w:t xml:space="preserve"> model of extension officers’ climate change adaptation recommendations to resource poor farmers (crop diversifications, mixed farming, irrigation</w:t>
      </w:r>
      <w:r>
        <w:t xml:space="preserve">, early planting, early maturing crops) </w:t>
      </w:r>
    </w:p>
    <w:p w:rsidR="002116B0" w:rsidRDefault="00FF7F9F">
      <w:pPr>
        <w:spacing w:after="341" w:line="259" w:lineRule="auto"/>
        <w:ind w:left="-1" w:right="480" w:firstLine="0"/>
        <w:jc w:val="right"/>
      </w:pPr>
      <w:r>
        <w:rPr>
          <w:noProof/>
        </w:rPr>
        <w:drawing>
          <wp:inline distT="0" distB="0" distL="0" distR="0">
            <wp:extent cx="8886825" cy="3562350"/>
            <wp:effectExtent l="0" t="0" r="0" b="0"/>
            <wp:docPr id="6093" name="Picture 6093"/>
            <wp:cNvGraphicFramePr/>
            <a:graphic xmlns:a="http://schemas.openxmlformats.org/drawingml/2006/main">
              <a:graphicData uri="http://schemas.openxmlformats.org/drawingml/2006/picture">
                <pic:pic xmlns:pic="http://schemas.openxmlformats.org/drawingml/2006/picture">
                  <pic:nvPicPr>
                    <pic:cNvPr id="6093" name="Picture 6093"/>
                    <pic:cNvPicPr/>
                  </pic:nvPicPr>
                  <pic:blipFill>
                    <a:blip r:embed="rId72"/>
                    <a:stretch>
                      <a:fillRect/>
                    </a:stretch>
                  </pic:blipFill>
                  <pic:spPr>
                    <a:xfrm>
                      <a:off x="0" y="0"/>
                      <a:ext cx="8886825" cy="3562350"/>
                    </a:xfrm>
                    <a:prstGeom prst="rect">
                      <a:avLst/>
                    </a:prstGeom>
                  </pic:spPr>
                </pic:pic>
              </a:graphicData>
            </a:graphic>
          </wp:inline>
        </w:drawing>
      </w:r>
      <w:r>
        <w:t xml:space="preserve"> </w:t>
      </w:r>
    </w:p>
    <w:p w:rsidR="002116B0" w:rsidRDefault="00FF7F9F">
      <w:pPr>
        <w:spacing w:after="315"/>
        <w:ind w:left="-5" w:right="1665"/>
        <w:jc w:val="left"/>
      </w:pPr>
      <w:r>
        <w:rPr>
          <w:b/>
          <w:sz w:val="18"/>
        </w:rPr>
        <w:t>The asterisks [*, **, and ***] represent statistical significance at 1%, 5% and 10% levels respectively</w:t>
      </w:r>
      <w:r>
        <w:t xml:space="preserve"> </w:t>
      </w:r>
    </w:p>
    <w:p w:rsidR="002116B0" w:rsidRDefault="00FF7F9F">
      <w:pPr>
        <w:spacing w:after="510"/>
        <w:ind w:left="-5" w:right="10"/>
      </w:pPr>
      <w:r>
        <w:t>Source: Field data</w:t>
      </w:r>
    </w:p>
    <w:p w:rsidR="002116B0" w:rsidRDefault="00FF7F9F">
      <w:pPr>
        <w:spacing w:after="262" w:line="249" w:lineRule="auto"/>
        <w:ind w:left="472" w:right="582"/>
        <w:jc w:val="center"/>
      </w:pPr>
      <w:r>
        <w:lastRenderedPageBreak/>
        <w:t>50</w:t>
      </w:r>
    </w:p>
    <w:p w:rsidR="002116B0" w:rsidRDefault="002116B0">
      <w:pPr>
        <w:sectPr w:rsidR="002116B0">
          <w:headerReference w:type="even" r:id="rId73"/>
          <w:headerReference w:type="default" r:id="rId74"/>
          <w:footerReference w:type="even" r:id="rId75"/>
          <w:footerReference w:type="default" r:id="rId76"/>
          <w:headerReference w:type="first" r:id="rId77"/>
          <w:footerReference w:type="first" r:id="rId78"/>
          <w:pgSz w:w="16838" w:h="11906" w:orient="landscape"/>
          <w:pgMar w:top="1448" w:right="586" w:bottom="1545" w:left="1702" w:header="720" w:footer="720" w:gutter="0"/>
          <w:cols w:space="720"/>
        </w:sectPr>
      </w:pPr>
    </w:p>
    <w:p w:rsidR="002116B0" w:rsidRDefault="00FF7F9F">
      <w:pPr>
        <w:spacing w:after="437" w:line="259" w:lineRule="auto"/>
        <w:ind w:left="0" w:firstLine="0"/>
        <w:jc w:val="left"/>
      </w:pPr>
      <w:r>
        <w:lastRenderedPageBreak/>
        <w:t xml:space="preserve"> </w:t>
      </w:r>
    </w:p>
    <w:p w:rsidR="002116B0" w:rsidRDefault="00FF7F9F">
      <w:pPr>
        <w:pStyle w:val="Heading5"/>
        <w:ind w:left="-5" w:right="0"/>
      </w:pPr>
      <w:r>
        <w:t xml:space="preserve">Intercropping </w:t>
      </w:r>
    </w:p>
    <w:p w:rsidR="002116B0" w:rsidRDefault="00FF7F9F">
      <w:pPr>
        <w:spacing w:line="476" w:lineRule="auto"/>
        <w:ind w:left="-5" w:right="10"/>
      </w:pPr>
      <w:r>
        <w:t>Age and years of experience increases the probability of recommending intercropping to both wealthy and poor farmers as reflected in Table 8 and Table 10, this is because the experienced extension officers have already mastered the benefits of intercroppin</w:t>
      </w:r>
      <w:r>
        <w:t>g. Intercropping significantly promotes crop productivity in phosphorus-deficient soils (Yan et al., 2014) and generally well adapted to conditions of small holder farming (Steiner, 1982). Meza et al. (2008) argues that water sufficiency open in warmer cli</w:t>
      </w:r>
      <w:r>
        <w:t xml:space="preserve">matic scenarios unlocks the option of intercropping and double cropping which then allows farmers to have two crops within the same calendar year.  Thornton and </w:t>
      </w:r>
      <w:proofErr w:type="spellStart"/>
      <w:r>
        <w:t>Herrero</w:t>
      </w:r>
      <w:proofErr w:type="spellEnd"/>
      <w:r>
        <w:t xml:space="preserve"> (2014) argue that intercropping phonologically different crop varieties in the past hav</w:t>
      </w:r>
      <w:r>
        <w:t xml:space="preserve">e helped to spread the risk of crop failure. </w:t>
      </w:r>
    </w:p>
    <w:p w:rsidR="002116B0" w:rsidRDefault="00FF7F9F">
      <w:pPr>
        <w:spacing w:line="476" w:lineRule="auto"/>
        <w:ind w:left="-5" w:right="10"/>
      </w:pPr>
      <w:r>
        <w:t>Sex determined the probability of recommending intercropping as an adaptation strategy to wealthy farmers. Male extension officers in comparison female extension officers are less likely to recommend intercropping to wealthy farmers but is not a significan</w:t>
      </w:r>
      <w:r>
        <w:t xml:space="preserve">t factor influencing the likelihood of recommending the strategy to poor farmers as shown on Table 8 and Table 10.  Wealthy farmers, preference for </w:t>
      </w:r>
      <w:proofErr w:type="spellStart"/>
      <w:r>
        <w:t>specialised</w:t>
      </w:r>
      <w:proofErr w:type="spellEnd"/>
      <w:r>
        <w:t xml:space="preserve"> production in attempts to lower their managements cost fits with that of risk loving male extens</w:t>
      </w:r>
      <w:r>
        <w:t xml:space="preserve">ion workers who recommend crop specialization to help increase income in the events of good weather rather than risk reductions in situations of poor weather (Love et al., 2014). </w:t>
      </w:r>
    </w:p>
    <w:p w:rsidR="002116B0" w:rsidRDefault="00FF7F9F">
      <w:pPr>
        <w:spacing w:line="476" w:lineRule="auto"/>
        <w:ind w:left="-5" w:right="10"/>
      </w:pPr>
      <w:r>
        <w:t>Global drivers of recommendations increases the likelihood of recommending i</w:t>
      </w:r>
      <w:r>
        <w:t>ntercropping to poor farmers and not to wealthy farmers as shown in Table 8 and Table 10 above. This is mainly because of the existence of non-governmental organizations with pro poor mandate that rely on external funding hence more likely to rely on the p</w:t>
      </w:r>
      <w:r>
        <w:t xml:space="preserve">olicies of their donors. The external donors may be basing their policies on the science that intercrop increases yields in the tropics as it enables optimal </w:t>
      </w:r>
      <w:r>
        <w:lastRenderedPageBreak/>
        <w:t>utilization of land resources and soil nutrients, and also offer great resistance to weeds, pest a</w:t>
      </w:r>
      <w:r>
        <w:t xml:space="preserve">nd diseases (Yan et al., 2014) that are likely to increase in warmers climatic scenarios (Meza et al., 2008).  </w:t>
      </w:r>
    </w:p>
    <w:p w:rsidR="002116B0" w:rsidRDefault="00FF7F9F">
      <w:pPr>
        <w:pStyle w:val="Heading5"/>
        <w:ind w:left="-5" w:right="0"/>
      </w:pPr>
      <w:r>
        <w:t xml:space="preserve">Agroforestry </w:t>
      </w:r>
    </w:p>
    <w:p w:rsidR="002116B0" w:rsidRDefault="00FF7F9F">
      <w:pPr>
        <w:spacing w:line="477" w:lineRule="auto"/>
        <w:ind w:left="-5" w:right="10"/>
      </w:pPr>
      <w:r>
        <w:t>Age of an extension officer and the number of sources of information accessed increases the probability of recommending agroforest</w:t>
      </w:r>
      <w:r>
        <w:t>ry to both wealthy and resources poor farmers. Experience also has positive influence on recommendation of agroforestry to poor farmers. Age and more sources an individual access is likely to give insights that trees on farms not only provide livelihood be</w:t>
      </w:r>
      <w:r>
        <w:t>nefits but also contribute to CC adaptation and thus increasing the probability of recommending agroforestry (</w:t>
      </w:r>
      <w:proofErr w:type="spellStart"/>
      <w:r>
        <w:t>Mbow</w:t>
      </w:r>
      <w:proofErr w:type="spellEnd"/>
      <w:r>
        <w:t xml:space="preserve"> et al., 2014b, </w:t>
      </w:r>
      <w:proofErr w:type="spellStart"/>
      <w:r>
        <w:t>Mbow</w:t>
      </w:r>
      <w:proofErr w:type="spellEnd"/>
      <w:r>
        <w:t xml:space="preserve"> et al., 2014a). </w:t>
      </w:r>
    </w:p>
    <w:p w:rsidR="002116B0" w:rsidRDefault="00FF7F9F">
      <w:pPr>
        <w:spacing w:line="476" w:lineRule="auto"/>
        <w:ind w:left="-5" w:right="10"/>
      </w:pPr>
      <w:r>
        <w:t>Global drivers of recommendations increase the likelihood of recommending agroforestry to wealthy farmer</w:t>
      </w:r>
      <w:r>
        <w:t>s. This is based on the assumption that wealthy farmers have large land holding hence may be able to spare some of their land for agroforestry establishment and wait for higher returns in the long run without compromising their food security situations (</w:t>
      </w:r>
      <w:proofErr w:type="spellStart"/>
      <w:r>
        <w:t>Mb</w:t>
      </w:r>
      <w:r>
        <w:t>ow</w:t>
      </w:r>
      <w:proofErr w:type="spellEnd"/>
      <w:r>
        <w:t xml:space="preserve"> et al., 2014b). There have also been global attempts committed to ensuring that agroforestry gets consideration in the framework of Reduced Emission from Deforestation and forest degradation (REDD+) modalities (</w:t>
      </w:r>
      <w:proofErr w:type="spellStart"/>
      <w:r>
        <w:t>Mbow</w:t>
      </w:r>
      <w:proofErr w:type="spellEnd"/>
      <w:r>
        <w:t xml:space="preserve"> et al., 2014b, </w:t>
      </w:r>
      <w:proofErr w:type="spellStart"/>
      <w:r>
        <w:t>Mbow</w:t>
      </w:r>
      <w:proofErr w:type="spellEnd"/>
      <w:r>
        <w:t xml:space="preserve"> et al., 2014a). T</w:t>
      </w:r>
      <w:r>
        <w:t xml:space="preserve">hornton et al. (2010) however argues that agroforestry as a climate adaptation strategy may be a costly to small scale farmer who make trade-offs between adaptation and immediate food security needs. </w:t>
      </w:r>
    </w:p>
    <w:p w:rsidR="002116B0" w:rsidRDefault="00FF7F9F">
      <w:pPr>
        <w:spacing w:line="476" w:lineRule="auto"/>
        <w:ind w:left="-5" w:right="10"/>
      </w:pPr>
      <w:r>
        <w:t xml:space="preserve">Extension officers’ perception of risk of crop failure </w:t>
      </w:r>
      <w:r>
        <w:t>lowers the probability of recommending agroforestry to resource poor farmers. The agroforestry trees are not exempted for failure in the semi-arid areas where climate in highly variable (</w:t>
      </w:r>
      <w:proofErr w:type="spellStart"/>
      <w:r>
        <w:t>Claessens</w:t>
      </w:r>
      <w:proofErr w:type="spellEnd"/>
      <w:r>
        <w:t xml:space="preserve"> et al., 2012) thus extension officers may be reluctant to p</w:t>
      </w:r>
      <w:r>
        <w:t xml:space="preserve">ersuade poor farmers to invest in long term attempt of cultivating trees that may fail </w:t>
      </w:r>
      <w:r>
        <w:lastRenderedPageBreak/>
        <w:t>in the event of poor weather or benefit the next generation other than the farmers themselves (</w:t>
      </w:r>
      <w:proofErr w:type="spellStart"/>
      <w:r>
        <w:t>Mbow</w:t>
      </w:r>
      <w:proofErr w:type="spellEnd"/>
      <w:r>
        <w:t xml:space="preserve"> et al., 2014b, </w:t>
      </w:r>
      <w:proofErr w:type="spellStart"/>
      <w:r>
        <w:t>Mbow</w:t>
      </w:r>
      <w:proofErr w:type="spellEnd"/>
      <w:r>
        <w:t xml:space="preserve"> et al., 2014a, De Pinto et al., 2013).  </w:t>
      </w:r>
    </w:p>
    <w:p w:rsidR="002116B0" w:rsidRDefault="00FF7F9F">
      <w:pPr>
        <w:spacing w:line="477" w:lineRule="auto"/>
        <w:ind w:left="-5" w:right="10"/>
      </w:pPr>
      <w:r>
        <w:t xml:space="preserve">Results </w:t>
      </w:r>
      <w:r>
        <w:t>in Table 8 and Table 10 show that reliance on mass media and institutional sources of information increases the probability of recommending agroforestry practices to wealthy and resource poor farmers in comparison to traditional weather forecast sources of</w:t>
      </w:r>
      <w:r>
        <w:t xml:space="preserve"> information respectively. This is because these sources emphasize ecosystem services and food security which they closely relate to agroforestry (</w:t>
      </w:r>
      <w:proofErr w:type="spellStart"/>
      <w:r>
        <w:t>Mbow</w:t>
      </w:r>
      <w:proofErr w:type="spellEnd"/>
      <w:r>
        <w:t xml:space="preserve"> et al., 2014b, </w:t>
      </w:r>
      <w:proofErr w:type="spellStart"/>
      <w:r>
        <w:t>Mbow</w:t>
      </w:r>
      <w:proofErr w:type="spellEnd"/>
      <w:r>
        <w:t xml:space="preserve"> et al., 2014a). </w:t>
      </w:r>
    </w:p>
    <w:p w:rsidR="002116B0" w:rsidRDefault="00FF7F9F">
      <w:pPr>
        <w:pStyle w:val="Heading5"/>
        <w:ind w:left="-5" w:right="0"/>
      </w:pPr>
      <w:r>
        <w:t xml:space="preserve">Long maturing high yielding crop varieties </w:t>
      </w:r>
    </w:p>
    <w:p w:rsidR="002116B0" w:rsidRDefault="00FF7F9F">
      <w:pPr>
        <w:spacing w:line="476" w:lineRule="auto"/>
        <w:ind w:left="-5" w:right="10"/>
      </w:pPr>
      <w:r>
        <w:t>The findings in Table 8</w:t>
      </w:r>
      <w:r>
        <w:t xml:space="preserve"> and Table 10 show that the probability of recommending late maturing varieties in influenced by age of the respondent, number of sources used and local drivers of recommendations. </w:t>
      </w:r>
    </w:p>
    <w:p w:rsidR="002116B0" w:rsidRDefault="00FF7F9F">
      <w:pPr>
        <w:spacing w:line="476" w:lineRule="auto"/>
        <w:ind w:left="-5" w:right="10"/>
      </w:pPr>
      <w:r>
        <w:t>The number of source of information used by the extension officers increas</w:t>
      </w:r>
      <w:r>
        <w:t>es the likelihood of recommending late maturing crops to both wealthy and resource poor farmers. The more sources an extension officer have access to increases his/her probability of recommending late maturing varieties. Several sources of agro metrologica</w:t>
      </w:r>
      <w:r>
        <w:t>l information advocate the idea that longer maturing high yielding varieties are likely to behave like early maturing varieties in warmer climatic conditions (Meza et al., 2008). Several studies recommend the use of long maturing high yielding varieties to</w:t>
      </w:r>
      <w:r>
        <w:t xml:space="preserve"> compensate the effect of accelerated phenology due to warmer temperatures (</w:t>
      </w:r>
      <w:proofErr w:type="spellStart"/>
      <w:r>
        <w:t>Tingem</w:t>
      </w:r>
      <w:proofErr w:type="spellEnd"/>
      <w:r>
        <w:t xml:space="preserve"> and </w:t>
      </w:r>
      <w:proofErr w:type="spellStart"/>
      <w:r>
        <w:t>Rivington</w:t>
      </w:r>
      <w:proofErr w:type="spellEnd"/>
      <w:r>
        <w:t xml:space="preserve">, 2009, Meza et al., 2008). </w:t>
      </w:r>
      <w:proofErr w:type="spellStart"/>
      <w:r>
        <w:t>Tingem</w:t>
      </w:r>
      <w:proofErr w:type="spellEnd"/>
      <w:r>
        <w:t xml:space="preserve"> and </w:t>
      </w:r>
      <w:proofErr w:type="spellStart"/>
      <w:r>
        <w:t>Rivington</w:t>
      </w:r>
      <w:proofErr w:type="spellEnd"/>
      <w:r>
        <w:t xml:space="preserve"> (2009) found that late maturing high yielding varieties compared to currently used varieties had accelerated de</w:t>
      </w:r>
      <w:r>
        <w:t xml:space="preserve">velopment due to high temperature in Cameroon. This is because the late maturing crop varieties have the ability to maximize the interception of solar radiation (Meza et al., 2008).  </w:t>
      </w:r>
    </w:p>
    <w:p w:rsidR="002116B0" w:rsidRDefault="00FF7F9F">
      <w:pPr>
        <w:spacing w:line="476" w:lineRule="auto"/>
        <w:ind w:left="-5" w:right="10"/>
      </w:pPr>
      <w:r>
        <w:t xml:space="preserve">Local drivers of recommendations reduce the probability of an extension </w:t>
      </w:r>
      <w:r>
        <w:t xml:space="preserve">officer recommending late maturing high yielding varieties to poor farmers. The extension officers taking into consideration </w:t>
      </w:r>
      <w:r>
        <w:lastRenderedPageBreak/>
        <w:t xml:space="preserve">the local situations in </w:t>
      </w:r>
      <w:proofErr w:type="spellStart"/>
      <w:r>
        <w:t>Machakos</w:t>
      </w:r>
      <w:proofErr w:type="spellEnd"/>
      <w:r>
        <w:t xml:space="preserve"> such as short seasons, water stress, highly variable weather patterns and poverty levels may not r</w:t>
      </w:r>
      <w:r>
        <w:t>ecommend these varieties as their water requirements is hardly met in  semi-arid weather conditions and their management requirements is economically unfeasible to resource poor farmers. The idea that late maturing crops benefits from CC is only applicable</w:t>
      </w:r>
      <w:r>
        <w:t xml:space="preserve"> to high altitude areas where temperature limits on crop growth are lessened due to gradual warming (Jones and Thornton, 2009). </w:t>
      </w:r>
    </w:p>
    <w:p w:rsidR="002116B0" w:rsidRDefault="00FF7F9F">
      <w:pPr>
        <w:spacing w:line="477" w:lineRule="auto"/>
        <w:ind w:left="-5" w:right="10"/>
      </w:pPr>
      <w:r>
        <w:t xml:space="preserve">Older extension officers are less likely to recommend late maturing crop varieties. This is because they have been involved in </w:t>
      </w:r>
      <w:r>
        <w:t>long term promotion of short season varieties on the presumption that their growing cycle fits with the season length in the region. As a result, they are hesitant to believe that late maturing high yielding varieties could act like early maturing varietie</w:t>
      </w:r>
      <w:r>
        <w:t xml:space="preserve">s in warmer climatic conditions (Meza et al., 2008). </w:t>
      </w:r>
    </w:p>
    <w:p w:rsidR="002116B0" w:rsidRDefault="00FF7F9F">
      <w:pPr>
        <w:pStyle w:val="Heading5"/>
        <w:ind w:left="-5" w:right="0"/>
      </w:pPr>
      <w:r>
        <w:t xml:space="preserve">Use of Manure and fertilizer </w:t>
      </w:r>
    </w:p>
    <w:p w:rsidR="002116B0" w:rsidRDefault="00FF7F9F">
      <w:pPr>
        <w:spacing w:line="477" w:lineRule="auto"/>
        <w:ind w:left="-5" w:right="10"/>
      </w:pPr>
      <w:r>
        <w:t xml:space="preserve">Results in Table 8 and 10 show number of sources used and  local drivers of recommendations increases the probability of recommending manure and fertilizer both to wealthy </w:t>
      </w:r>
      <w:r>
        <w:t>and resource poor farmers. Access to information from multiple information sources and local drivers of recommendations is likely to give the extension officers understanding of low soil fertility with most of the soils in the area of study thus increasing</w:t>
      </w:r>
      <w:r>
        <w:t xml:space="preserve"> their likelihood to recommend application of manure and fertilizer. Global drivers of recommendations increase the likelihood of recommending fertilizer and manure to poor farmers and not to wealthy farmers.  </w:t>
      </w:r>
    </w:p>
    <w:p w:rsidR="002116B0" w:rsidRDefault="00FF7F9F">
      <w:pPr>
        <w:spacing w:line="476" w:lineRule="auto"/>
        <w:ind w:left="-5" w:right="10"/>
      </w:pPr>
      <w:r>
        <w:t>The extension officers with higher perception</w:t>
      </w:r>
      <w:r>
        <w:t xml:space="preserve"> of risk of crop failure are less likely to recommend the use of manure and fertilizer. The only possible reason for this is that in uncertain farming environments where impact of CC on the variability of yields and production is unknown and the degree and</w:t>
      </w:r>
      <w:r>
        <w:t xml:space="preserve"> direction of adaptation response to CC is indefinite, it is sensible to help farmers minimize the cost associated with purchase of inputs. </w:t>
      </w:r>
      <w:proofErr w:type="spellStart"/>
      <w:r>
        <w:t>Antón</w:t>
      </w:r>
      <w:proofErr w:type="spellEnd"/>
      <w:r>
        <w:t xml:space="preserve"> et al. (2013) argues that CC presents </w:t>
      </w:r>
      <w:r>
        <w:lastRenderedPageBreak/>
        <w:t>multidimensional, varied and indeterminate the problem of risk reduction</w:t>
      </w:r>
      <w:r>
        <w:t xml:space="preserve"> which make it difficult to identify an optimal adaptation strategy thus risk averse extension officers are less likely to recommend costly outputs like fertilizer and manure.  </w:t>
      </w:r>
    </w:p>
    <w:p w:rsidR="002116B0" w:rsidRDefault="00FF7F9F">
      <w:pPr>
        <w:pStyle w:val="Heading5"/>
        <w:ind w:left="-5" w:right="0"/>
      </w:pPr>
      <w:r>
        <w:t xml:space="preserve">Crop diversification </w:t>
      </w:r>
    </w:p>
    <w:p w:rsidR="002116B0" w:rsidRDefault="00FF7F9F">
      <w:pPr>
        <w:spacing w:line="476" w:lineRule="auto"/>
        <w:ind w:left="-5" w:right="10"/>
      </w:pPr>
      <w:r>
        <w:t xml:space="preserve">Global drivers of recommendations, reliable information </w:t>
      </w:r>
      <w:r>
        <w:t xml:space="preserve">and sex have negative effect of the likelihood of recommending crop diversification whereas local drivers of recommendations and perception of crop failure increases the probability of recommending crop diversification to poor farmers as shown in Table 11 </w:t>
      </w:r>
      <w:r>
        <w:t xml:space="preserve">above. Male extension officers may be more willing to take risk under CC and recommend the most preferred single crops (Huang et al., 2014).  </w:t>
      </w:r>
    </w:p>
    <w:p w:rsidR="002116B0" w:rsidRDefault="00FF7F9F">
      <w:pPr>
        <w:spacing w:after="0" w:line="477" w:lineRule="auto"/>
        <w:ind w:left="-5" w:right="10"/>
      </w:pPr>
      <w:r>
        <w:t xml:space="preserve">An extension officers with reliable information on seasonal weather forecast and climatic trends are less likely </w:t>
      </w:r>
      <w:r>
        <w:t xml:space="preserve">to recommend crop diversification but instead recommend specific crop whose growth requirements is likely to be met by the climate predictions and trends. </w:t>
      </w:r>
      <w:proofErr w:type="spellStart"/>
      <w:r>
        <w:t>Antón</w:t>
      </w:r>
      <w:proofErr w:type="spellEnd"/>
      <w:r>
        <w:t xml:space="preserve"> et al. (2013) argues that introduction of more diverse cultivars that vary genetically in their</w:t>
      </w:r>
      <w:r>
        <w:t xml:space="preserve"> responsiveness to climate conditions may introduce more water-intensive crops that compete with each other thus causing distress to the farming system (</w:t>
      </w:r>
      <w:proofErr w:type="spellStart"/>
      <w:r>
        <w:t>Kandulu</w:t>
      </w:r>
      <w:proofErr w:type="spellEnd"/>
      <w:r>
        <w:t xml:space="preserve"> et al., 2012). CC adaptation strategies induced by global drivers of recommendations is more li</w:t>
      </w:r>
      <w:r>
        <w:t xml:space="preserve">kely to encourage commercialization and </w:t>
      </w:r>
    </w:p>
    <w:p w:rsidR="002116B0" w:rsidRDefault="00FF7F9F">
      <w:pPr>
        <w:spacing w:line="476" w:lineRule="auto"/>
        <w:ind w:left="-5" w:right="10"/>
      </w:pPr>
      <w:proofErr w:type="gramStart"/>
      <w:r>
        <w:t>specialization</w:t>
      </w:r>
      <w:proofErr w:type="gramEnd"/>
      <w:r>
        <w:t xml:space="preserve"> of the agricultural enterprises which is a disincentive to crop diversification (Mertz et al., 2005). </w:t>
      </w:r>
    </w:p>
    <w:p w:rsidR="002116B0" w:rsidRDefault="00FF7F9F">
      <w:pPr>
        <w:spacing w:line="501" w:lineRule="auto"/>
        <w:ind w:left="-5" w:right="10"/>
      </w:pPr>
      <w:r>
        <w:t>Local drivers of recommendations and perception of risk failure may increase the extension office</w:t>
      </w:r>
      <w:r>
        <w:t xml:space="preserve">rs’ likelihood of recommending crop diversification as it is thought to have the potential to </w:t>
      </w:r>
      <w:proofErr w:type="spellStart"/>
      <w:r>
        <w:t>minimise</w:t>
      </w:r>
      <w:proofErr w:type="spellEnd"/>
      <w:r>
        <w:t xml:space="preserve"> exposure to climate-related risks and raise the flexibility of farm production to changing climatic conditions (Huang et al., 2014, Hassan and </w:t>
      </w:r>
      <w:proofErr w:type="spellStart"/>
      <w:r>
        <w:t>Nhemachena</w:t>
      </w:r>
      <w:proofErr w:type="spellEnd"/>
      <w:r>
        <w:t xml:space="preserve">, 2008, Thornton and </w:t>
      </w:r>
      <w:proofErr w:type="spellStart"/>
      <w:r>
        <w:t>Herrero</w:t>
      </w:r>
      <w:proofErr w:type="spellEnd"/>
      <w:r>
        <w:t>, 2014).</w:t>
      </w:r>
      <w:r>
        <w:rPr>
          <w:b/>
        </w:rPr>
        <w:t xml:space="preserve">  </w:t>
      </w:r>
    </w:p>
    <w:p w:rsidR="002116B0" w:rsidRDefault="00FF7F9F">
      <w:pPr>
        <w:pStyle w:val="Heading5"/>
        <w:ind w:left="-5" w:right="0"/>
      </w:pPr>
      <w:r>
        <w:lastRenderedPageBreak/>
        <w:t xml:space="preserve">Mixed farming  </w:t>
      </w:r>
    </w:p>
    <w:p w:rsidR="002116B0" w:rsidRDefault="00FF7F9F">
      <w:pPr>
        <w:spacing w:line="477" w:lineRule="auto"/>
        <w:ind w:left="-5" w:right="10"/>
      </w:pPr>
      <w:r>
        <w:t xml:space="preserve">Findings in Table 11 indicate that experience of the extension officer, right perception on the trend of rainfall amount, perception of the risk of crop failure and local drivers of recommendations </w:t>
      </w:r>
      <w:r>
        <w:t xml:space="preserve">increases the likelihood of recommending mixed farming to resource poor farmers. However, sex and global drivers of recommendations reduces the probability of recommending mixed farming.  </w:t>
      </w:r>
    </w:p>
    <w:p w:rsidR="002116B0" w:rsidRDefault="00FF7F9F">
      <w:pPr>
        <w:spacing w:line="476" w:lineRule="auto"/>
        <w:ind w:left="-5" w:right="10"/>
      </w:pPr>
      <w:r>
        <w:t xml:space="preserve">Male extension officers because of their risk preferring nature, they are less likely to recommend mixed farming but instead recommend specialized farming which is conventional considered to be profitable. </w:t>
      </w:r>
    </w:p>
    <w:p w:rsidR="002116B0" w:rsidRDefault="00FF7F9F">
      <w:pPr>
        <w:spacing w:line="476" w:lineRule="auto"/>
        <w:ind w:left="-5" w:right="10"/>
      </w:pPr>
      <w:r>
        <w:t>Mixed farming which involves both crops and lives</w:t>
      </w:r>
      <w:r>
        <w:t>tock systems have long been promoted in the ASALS on basis of the local drivers of recommendations which include highly variable climate and integrated utilization of crop residues in the livestock system or vice versa (Jones and Thornton, 2009, Hassan and</w:t>
      </w:r>
      <w:r>
        <w:t xml:space="preserve"> </w:t>
      </w:r>
      <w:proofErr w:type="spellStart"/>
      <w:r>
        <w:t>Nhemachena</w:t>
      </w:r>
      <w:proofErr w:type="spellEnd"/>
      <w:r>
        <w:t xml:space="preserve">, 2008, </w:t>
      </w:r>
      <w:proofErr w:type="spellStart"/>
      <w:r>
        <w:t>Seo</w:t>
      </w:r>
      <w:proofErr w:type="spellEnd"/>
      <w:r>
        <w:t xml:space="preserve">, 2011) besides. Locally mixed farming has remained is perceived to be advantageous for sustainable agricultural systems especially to resource poor farmers whose accessibility to farm inputs such as fertilizer was adversely impacted </w:t>
      </w:r>
      <w:r>
        <w:t>by economic liberalization and structural adjustment programs (</w:t>
      </w:r>
      <w:proofErr w:type="spellStart"/>
      <w:r>
        <w:t>Sumberg</w:t>
      </w:r>
      <w:proofErr w:type="spellEnd"/>
      <w:r>
        <w:t>, 1998). Choices between cropping and livestock keeping in mixed farming systems are related to the risk of crop failure and trends in rainfall amounts (Thornton et al., 2010). As the ri</w:t>
      </w:r>
      <w:r>
        <w:t xml:space="preserve">sks of crop failure increases, shift to mixed farming systems is more likely.  </w:t>
      </w:r>
    </w:p>
    <w:p w:rsidR="002116B0" w:rsidRDefault="00FF7F9F">
      <w:pPr>
        <w:spacing w:line="476" w:lineRule="auto"/>
        <w:ind w:left="-5" w:right="10"/>
      </w:pPr>
      <w:r>
        <w:t>Experienced extension in the area are more likely to perceive trends in precipitation and climate related risks of crop failure precisely and recommend with confidence mixed fa</w:t>
      </w:r>
      <w:r>
        <w:t xml:space="preserve">rming which help spread risks as livestock can be used as assets to smooth crop fluctuation while opportunistic cropping provide calories for households and livestock at critical time of shortage (Jones and Thornton, 2009). </w:t>
      </w:r>
    </w:p>
    <w:p w:rsidR="002116B0" w:rsidRDefault="00FF7F9F">
      <w:pPr>
        <w:pStyle w:val="Heading5"/>
        <w:ind w:left="-5" w:right="0"/>
      </w:pPr>
      <w:r>
        <w:lastRenderedPageBreak/>
        <w:t xml:space="preserve">Irrigation  </w:t>
      </w:r>
    </w:p>
    <w:p w:rsidR="002116B0" w:rsidRDefault="00FF7F9F">
      <w:pPr>
        <w:spacing w:line="477" w:lineRule="auto"/>
        <w:ind w:left="-5" w:right="10"/>
      </w:pPr>
      <w:r>
        <w:t>Results in Table 9</w:t>
      </w:r>
      <w:r>
        <w:t xml:space="preserve"> show that local factor reduces the probability of recommending irrigation to wealthy farmers. Webber et al. (2014) argue that small scale irrigation presents significant opportunities to respond to water variability; however Local drivers of recommendatio</w:t>
      </w:r>
      <w:r>
        <w:t xml:space="preserve">ns may be are barriers to use of irrigation as an adaptation strategy in areas with persistent water stress. </w:t>
      </w:r>
    </w:p>
    <w:p w:rsidR="002116B0" w:rsidRDefault="00FF7F9F">
      <w:pPr>
        <w:pStyle w:val="Heading5"/>
        <w:ind w:left="-5" w:right="0"/>
      </w:pPr>
      <w:r>
        <w:t xml:space="preserve">Early Maturing crop varieties </w:t>
      </w:r>
    </w:p>
    <w:p w:rsidR="002116B0" w:rsidRDefault="00FF7F9F">
      <w:pPr>
        <w:spacing w:line="476" w:lineRule="auto"/>
        <w:ind w:left="-5" w:right="10"/>
      </w:pPr>
      <w:r>
        <w:t xml:space="preserve">Results in Table 9 and 11 shows that the more sources of information an extension officer uses, the more he or she </w:t>
      </w:r>
      <w:r>
        <w:t>is likely to recommend planting of early maturing crop varieties to farmers. Extension officers with access to multiple sources of information are more likely to gain the knowledge that early maturing crops are effective in tackling late season drought str</w:t>
      </w:r>
      <w:r>
        <w:t>ess and have lower season evapotranspiration which enables them to minimize downside production risks (</w:t>
      </w:r>
      <w:proofErr w:type="spellStart"/>
      <w:r>
        <w:t>Cavatassi</w:t>
      </w:r>
      <w:proofErr w:type="spellEnd"/>
      <w:r>
        <w:t xml:space="preserve"> et al., 2011).  </w:t>
      </w:r>
    </w:p>
    <w:p w:rsidR="002116B0" w:rsidRDefault="00FF7F9F">
      <w:pPr>
        <w:spacing w:line="476" w:lineRule="auto"/>
        <w:ind w:left="-5" w:right="10"/>
      </w:pPr>
      <w:r>
        <w:t>Male extension officers are less likely to recommend use of early maturing crops. Reliance on local drivers of recommendation,</w:t>
      </w:r>
      <w:r>
        <w:t xml:space="preserve"> institutional and mass media sources of information increases the probability of recommending early maturing crop varieties to resource poor farmers. The reason being that the crops short life cycles help to evade the risks associated with weather variabi</w:t>
      </w:r>
      <w:r>
        <w:t xml:space="preserve">lity. Early maturing crop varieties are believed to be low yielding but studies on choice of crop varieties have shown low preference and utility towards high productivity crops but are willingness of the </w:t>
      </w:r>
      <w:proofErr w:type="gramStart"/>
      <w:r>
        <w:t>farmers</w:t>
      </w:r>
      <w:proofErr w:type="gramEnd"/>
      <w:r>
        <w:t xml:space="preserve"> side to forgo some extra yields and income </w:t>
      </w:r>
      <w:r>
        <w:t xml:space="preserve">in order to obtain increased longevity of crops that </w:t>
      </w:r>
      <w:proofErr w:type="spellStart"/>
      <w:r>
        <w:t>minimises</w:t>
      </w:r>
      <w:proofErr w:type="spellEnd"/>
      <w:r>
        <w:t xml:space="preserve"> the risks of crop failure (</w:t>
      </w:r>
      <w:proofErr w:type="spellStart"/>
      <w:r>
        <w:t>Acheampong</w:t>
      </w:r>
      <w:proofErr w:type="spellEnd"/>
      <w:r>
        <w:t xml:space="preserve"> et al., 2013). </w:t>
      </w:r>
    </w:p>
    <w:p w:rsidR="002116B0" w:rsidRDefault="00FF7F9F">
      <w:pPr>
        <w:pStyle w:val="Heading3"/>
        <w:ind w:left="-5"/>
      </w:pPr>
      <w:bookmarkStart w:id="38" w:name="_Toc61315"/>
      <w:r>
        <w:t xml:space="preserve">5.5 Results of cluster analysis of crops recommended by extension officers </w:t>
      </w:r>
      <w:bookmarkEnd w:id="38"/>
    </w:p>
    <w:p w:rsidR="002116B0" w:rsidRDefault="00FF7F9F">
      <w:pPr>
        <w:spacing w:line="476" w:lineRule="auto"/>
        <w:ind w:left="-5" w:right="10"/>
      </w:pPr>
      <w:r>
        <w:t>Figure 9 present different crop combinations were recommended t</w:t>
      </w:r>
      <w:r>
        <w:t xml:space="preserve">o resource poor farmers and wealthy farmers by the extension officers. </w:t>
      </w:r>
    </w:p>
    <w:p w:rsidR="002116B0" w:rsidRDefault="00FF7F9F">
      <w:pPr>
        <w:spacing w:after="388"/>
        <w:ind w:left="-5" w:right="10"/>
      </w:pPr>
      <w:r>
        <w:lastRenderedPageBreak/>
        <w:t xml:space="preserve">Figure 9: Crops recommended to farmers </w:t>
      </w:r>
    </w:p>
    <w:p w:rsidR="002116B0" w:rsidRDefault="00FF7F9F">
      <w:pPr>
        <w:spacing w:after="339" w:line="259" w:lineRule="auto"/>
        <w:ind w:left="-1" w:right="679" w:firstLine="0"/>
        <w:jc w:val="right"/>
      </w:pPr>
      <w:r>
        <w:rPr>
          <w:noProof/>
        </w:rPr>
        <w:drawing>
          <wp:inline distT="0" distB="0" distL="0" distR="0">
            <wp:extent cx="5562600" cy="4467225"/>
            <wp:effectExtent l="0" t="0" r="0" b="0"/>
            <wp:docPr id="6992" name="Picture 6992"/>
            <wp:cNvGraphicFramePr/>
            <a:graphic xmlns:a="http://schemas.openxmlformats.org/drawingml/2006/main">
              <a:graphicData uri="http://schemas.openxmlformats.org/drawingml/2006/picture">
                <pic:pic xmlns:pic="http://schemas.openxmlformats.org/drawingml/2006/picture">
                  <pic:nvPicPr>
                    <pic:cNvPr id="6992" name="Picture 6992"/>
                    <pic:cNvPicPr/>
                  </pic:nvPicPr>
                  <pic:blipFill>
                    <a:blip r:embed="rId79"/>
                    <a:stretch>
                      <a:fillRect/>
                    </a:stretch>
                  </pic:blipFill>
                  <pic:spPr>
                    <a:xfrm>
                      <a:off x="0" y="0"/>
                      <a:ext cx="5562600" cy="4467225"/>
                    </a:xfrm>
                    <a:prstGeom prst="rect">
                      <a:avLst/>
                    </a:prstGeom>
                  </pic:spPr>
                </pic:pic>
              </a:graphicData>
            </a:graphic>
          </wp:inline>
        </w:drawing>
      </w:r>
      <w:r>
        <w:t xml:space="preserve"> </w:t>
      </w:r>
    </w:p>
    <w:p w:rsidR="002116B0" w:rsidRDefault="00FF7F9F">
      <w:pPr>
        <w:spacing w:after="390"/>
        <w:ind w:left="-5" w:right="10"/>
      </w:pPr>
      <w:r>
        <w:t xml:space="preserve">Source: Field data </w:t>
      </w:r>
    </w:p>
    <w:p w:rsidR="002116B0" w:rsidRDefault="00FF7F9F">
      <w:pPr>
        <w:spacing w:line="476" w:lineRule="auto"/>
        <w:ind w:left="-5" w:right="10"/>
      </w:pPr>
      <w:r>
        <w:t>The most popular crops recommended to farmers by extension officers were traditional high value legumes, followed by trad</w:t>
      </w:r>
      <w:r>
        <w:t>itional high value cereals whereas the least recommended crops were maize and beans. This is associated by recent shift in research and development from the promotion of exotic crops such as maize and bean to advancement of indigenous crops in area which a</w:t>
      </w:r>
      <w:r>
        <w:t xml:space="preserve">re thought to be more adapted to the local climatic conditions by both government and non-governmental institutions.  </w:t>
      </w:r>
    </w:p>
    <w:p w:rsidR="002116B0" w:rsidRDefault="00FF7F9F">
      <w:pPr>
        <w:spacing w:after="387"/>
        <w:ind w:left="-5" w:right="10"/>
      </w:pPr>
      <w:r>
        <w:t xml:space="preserve">Figure 10: Crops recommended to resource poor farmers and cluster differences </w:t>
      </w:r>
    </w:p>
    <w:p w:rsidR="002116B0" w:rsidRDefault="00FF7F9F">
      <w:pPr>
        <w:spacing w:after="336" w:line="259" w:lineRule="auto"/>
        <w:ind w:left="-1" w:right="410" w:firstLine="0"/>
        <w:jc w:val="right"/>
      </w:pPr>
      <w:r>
        <w:rPr>
          <w:noProof/>
        </w:rPr>
        <w:lastRenderedPageBreak/>
        <w:drawing>
          <wp:inline distT="0" distB="0" distL="0" distR="0">
            <wp:extent cx="5734050" cy="4429125"/>
            <wp:effectExtent l="0" t="0" r="0" b="0"/>
            <wp:docPr id="7041" name="Picture 7041"/>
            <wp:cNvGraphicFramePr/>
            <a:graphic xmlns:a="http://schemas.openxmlformats.org/drawingml/2006/main">
              <a:graphicData uri="http://schemas.openxmlformats.org/drawingml/2006/picture">
                <pic:pic xmlns:pic="http://schemas.openxmlformats.org/drawingml/2006/picture">
                  <pic:nvPicPr>
                    <pic:cNvPr id="7041" name="Picture 7041"/>
                    <pic:cNvPicPr/>
                  </pic:nvPicPr>
                  <pic:blipFill>
                    <a:blip r:embed="rId80"/>
                    <a:stretch>
                      <a:fillRect/>
                    </a:stretch>
                  </pic:blipFill>
                  <pic:spPr>
                    <a:xfrm>
                      <a:off x="0" y="0"/>
                      <a:ext cx="5734050" cy="4429125"/>
                    </a:xfrm>
                    <a:prstGeom prst="rect">
                      <a:avLst/>
                    </a:prstGeom>
                  </pic:spPr>
                </pic:pic>
              </a:graphicData>
            </a:graphic>
          </wp:inline>
        </w:drawing>
      </w:r>
      <w:r>
        <w:t xml:space="preserve"> </w:t>
      </w:r>
    </w:p>
    <w:p w:rsidR="002116B0" w:rsidRDefault="00FF7F9F">
      <w:pPr>
        <w:spacing w:after="390"/>
        <w:ind w:left="-5" w:right="10"/>
      </w:pPr>
      <w:r>
        <w:t xml:space="preserve">Source: Field data </w:t>
      </w:r>
    </w:p>
    <w:p w:rsidR="002116B0" w:rsidRDefault="00FF7F9F">
      <w:pPr>
        <w:spacing w:line="476" w:lineRule="auto"/>
        <w:ind w:left="-5" w:right="10"/>
      </w:pPr>
      <w:r>
        <w:t>31 respondents who made crop recommendations to resource poor farmers belonged to the first cluster and 75 respondents belonged to the second cluster. The main distinction between the clusters is that the respondents in the first cluster recommended a comb</w:t>
      </w:r>
      <w:r>
        <w:t xml:space="preserve">ination of all the crops whereas the respondents in the second cluster common recommendation was traditional high value legumes with minimal recommendation of the remaining crops as shown in Figure 10. </w:t>
      </w:r>
      <w:proofErr w:type="spellStart"/>
      <w:r>
        <w:t>Monocropped</w:t>
      </w:r>
      <w:proofErr w:type="spellEnd"/>
      <w:r>
        <w:t xml:space="preserve"> root crops and traditional high value cere</w:t>
      </w:r>
      <w:r>
        <w:t xml:space="preserve">al crops were widespread amongst the cases in the first cluster. Intercrops were unpopular with the cases in the second cluster. </w:t>
      </w:r>
    </w:p>
    <w:p w:rsidR="002116B0" w:rsidRDefault="00FF7F9F">
      <w:pPr>
        <w:spacing w:after="387"/>
        <w:ind w:left="-5" w:right="10"/>
      </w:pPr>
      <w:r>
        <w:t xml:space="preserve">Figure 11: Crops recommended to wealthy farmers and cluster differences </w:t>
      </w:r>
    </w:p>
    <w:p w:rsidR="002116B0" w:rsidRDefault="00FF7F9F">
      <w:pPr>
        <w:spacing w:after="336" w:line="259" w:lineRule="auto"/>
        <w:ind w:left="-1" w:right="79" w:firstLine="0"/>
        <w:jc w:val="right"/>
      </w:pPr>
      <w:r>
        <w:rPr>
          <w:noProof/>
        </w:rPr>
        <w:lastRenderedPageBreak/>
        <w:drawing>
          <wp:inline distT="0" distB="0" distL="0" distR="0">
            <wp:extent cx="5943600" cy="3829050"/>
            <wp:effectExtent l="0" t="0" r="0" b="0"/>
            <wp:docPr id="7104" name="Picture 7104"/>
            <wp:cNvGraphicFramePr/>
            <a:graphic xmlns:a="http://schemas.openxmlformats.org/drawingml/2006/main">
              <a:graphicData uri="http://schemas.openxmlformats.org/drawingml/2006/picture">
                <pic:pic xmlns:pic="http://schemas.openxmlformats.org/drawingml/2006/picture">
                  <pic:nvPicPr>
                    <pic:cNvPr id="7104" name="Picture 7104"/>
                    <pic:cNvPicPr/>
                  </pic:nvPicPr>
                  <pic:blipFill>
                    <a:blip r:embed="rId81"/>
                    <a:stretch>
                      <a:fillRect/>
                    </a:stretch>
                  </pic:blipFill>
                  <pic:spPr>
                    <a:xfrm>
                      <a:off x="0" y="0"/>
                      <a:ext cx="5943600" cy="3829050"/>
                    </a:xfrm>
                    <a:prstGeom prst="rect">
                      <a:avLst/>
                    </a:prstGeom>
                  </pic:spPr>
                </pic:pic>
              </a:graphicData>
            </a:graphic>
          </wp:inline>
        </w:drawing>
      </w:r>
      <w:r>
        <w:t xml:space="preserve"> </w:t>
      </w:r>
    </w:p>
    <w:p w:rsidR="002116B0" w:rsidRDefault="00FF7F9F">
      <w:pPr>
        <w:spacing w:after="390"/>
        <w:ind w:left="-5" w:right="10"/>
      </w:pPr>
      <w:r>
        <w:t xml:space="preserve">Source: Field data </w:t>
      </w:r>
    </w:p>
    <w:p w:rsidR="002116B0" w:rsidRDefault="00FF7F9F">
      <w:pPr>
        <w:spacing w:line="477" w:lineRule="auto"/>
        <w:ind w:left="-5" w:right="10"/>
      </w:pPr>
      <w:r>
        <w:t>72 extension officers who made</w:t>
      </w:r>
      <w:r>
        <w:t xml:space="preserve"> crop recommendations to wealthy farmers belonged to the first cluster and 34 belonged to the second cluster. The main difference between the first and the second cluster is that all cases in the first cluster recommended traditional high value cereals whe</w:t>
      </w:r>
      <w:r>
        <w:t xml:space="preserve">reas none of the cases in the second cluster recommended the high value legumes as shown in  </w:t>
      </w:r>
    </w:p>
    <w:p w:rsidR="002116B0" w:rsidRDefault="00FF7F9F">
      <w:pPr>
        <w:spacing w:after="36" w:line="476" w:lineRule="auto"/>
        <w:ind w:left="-5" w:right="10"/>
      </w:pPr>
      <w:r>
        <w:t>Figure 11.  However there is no clear difference in the other crop recommendations made by the first and second cluster other than of traditional high value legum</w:t>
      </w:r>
      <w:r>
        <w:t xml:space="preserve">es. The two clusters obtained for wealthy and resource poor farmers were used as dependent variables in binary logistic regressions </w:t>
      </w:r>
    </w:p>
    <w:p w:rsidR="002116B0" w:rsidRDefault="00FF7F9F">
      <w:pPr>
        <w:tabs>
          <w:tab w:val="center" w:pos="9739"/>
        </w:tabs>
        <w:ind w:left="-15" w:firstLine="0"/>
        <w:jc w:val="left"/>
      </w:pPr>
      <w:proofErr w:type="gramStart"/>
      <w:r>
        <w:t>and</w:t>
      </w:r>
      <w:proofErr w:type="gramEnd"/>
      <w:r>
        <w:t xml:space="preserve"> where factors influencing the crop recommendation were </w:t>
      </w:r>
      <w:proofErr w:type="spellStart"/>
      <w:r>
        <w:t>analysed</w:t>
      </w:r>
      <w:proofErr w:type="spellEnd"/>
      <w:r>
        <w:t xml:space="preserve">. </w:t>
      </w:r>
      <w:r>
        <w:tab/>
      </w:r>
      <w:r>
        <w:rPr>
          <w:b/>
          <w:sz w:val="28"/>
        </w:rPr>
        <w:t xml:space="preserve"> </w:t>
      </w:r>
    </w:p>
    <w:p w:rsidR="002116B0" w:rsidRDefault="00FF7F9F">
      <w:pPr>
        <w:pStyle w:val="Heading3"/>
        <w:ind w:left="-5"/>
      </w:pPr>
      <w:bookmarkStart w:id="39" w:name="_Toc61316"/>
      <w:r>
        <w:lastRenderedPageBreak/>
        <w:t xml:space="preserve">5.6 Results of the </w:t>
      </w:r>
      <w:proofErr w:type="spellStart"/>
      <w:r>
        <w:t>logit</w:t>
      </w:r>
      <w:proofErr w:type="spellEnd"/>
      <w:r>
        <w:t xml:space="preserve"> model of extension officer</w:t>
      </w:r>
      <w:r>
        <w:t xml:space="preserve">s’ crop recommendations </w:t>
      </w:r>
      <w:bookmarkEnd w:id="39"/>
    </w:p>
    <w:p w:rsidR="002116B0" w:rsidRDefault="00FF7F9F">
      <w:pPr>
        <w:pStyle w:val="Heading5"/>
        <w:ind w:left="-5" w:right="0"/>
      </w:pPr>
      <w:r>
        <w:t xml:space="preserve">Probability of recommending a combination of crops to resource poor farmers </w:t>
      </w:r>
    </w:p>
    <w:p w:rsidR="002116B0" w:rsidRDefault="00FF7F9F">
      <w:pPr>
        <w:spacing w:line="487" w:lineRule="auto"/>
        <w:ind w:left="-5" w:right="10"/>
      </w:pPr>
      <w:r>
        <w:t xml:space="preserve">The </w:t>
      </w:r>
      <w:proofErr w:type="spellStart"/>
      <w:r>
        <w:t>logit</w:t>
      </w:r>
      <w:proofErr w:type="spellEnd"/>
      <w:r>
        <w:t xml:space="preserve"> regression model explaining the probability of recommending a combination of crops to resource to poor farmers is summarized in Table 12 below. </w:t>
      </w:r>
      <w:r>
        <w:t>The likelihood ratio test statistic value for the model was 96.908 hence larger than the 0.95 percentile from the X</w:t>
      </w:r>
      <w:r>
        <w:rPr>
          <w:vertAlign w:val="subscript"/>
        </w:rPr>
        <w:t xml:space="preserve"> (13)</w:t>
      </w:r>
      <w:r>
        <w:t xml:space="preserve"> distribution, 22.362.  The null hypothesis that none of the explanatory variables explained the probability of recommending a combinati</w:t>
      </w:r>
      <w:r>
        <w:t>on of crops to resource poor farmers is rejected at 5% level of significance. A   pseudo R</w:t>
      </w:r>
      <w:r>
        <w:rPr>
          <w:vertAlign w:val="superscript"/>
        </w:rPr>
        <w:t>2</w:t>
      </w:r>
      <w:r>
        <w:t xml:space="preserve"> of 0.724 was obtained, indicating that approximately 72% of the variance in the probability of recommending a combination of crops to resource poor farmers is expla</w:t>
      </w:r>
      <w:r>
        <w:t>ined by the predictor variables. X</w:t>
      </w:r>
      <w:r>
        <w:rPr>
          <w:vertAlign w:val="superscript"/>
        </w:rPr>
        <w:t>2</w:t>
      </w:r>
      <w:r>
        <w:t xml:space="preserve"> test statistic was statistically significant thus demonstrating the adequacy of the model. </w:t>
      </w:r>
    </w:p>
    <w:p w:rsidR="002116B0" w:rsidRDefault="00FF7F9F">
      <w:pPr>
        <w:spacing w:line="476" w:lineRule="auto"/>
        <w:ind w:left="-5" w:right="10"/>
      </w:pPr>
      <w:r>
        <w:t>Results in Table 12 show that number of source of information accessed, reliance on mass media, risk of crop failure and employm</w:t>
      </w:r>
      <w:r>
        <w:t xml:space="preserve">ent by the private sectors increases the probability of recommending a combination of crops to resource poor farmers. Mass media sources of information host advocates for different crops which may increase the number of crop combinations that an extension </w:t>
      </w:r>
      <w:r>
        <w:t>officer recommends to farmers. Similarly a unit increase in the number of information sources used is likely to increases the probability of recommending a combination of crops. This finding is consistent with that of Di Falco (2014) which showed that that</w:t>
      </w:r>
      <w:r>
        <w:t xml:space="preserve"> information increases awareness of threats posed by CC thus positively increasing the possibility of adopting a combination of adaptations options to averse risk. This is because different sources of information disagrees on what is the optimal crop optio</w:t>
      </w:r>
      <w:r>
        <w:t xml:space="preserve">n for a particular environment and advocates for different crops which leaves the extension officers with a variety of crops to recommend. </w:t>
      </w:r>
    </w:p>
    <w:p w:rsidR="002116B0" w:rsidRDefault="002116B0">
      <w:pPr>
        <w:sectPr w:rsidR="002116B0">
          <w:headerReference w:type="even" r:id="rId82"/>
          <w:headerReference w:type="default" r:id="rId83"/>
          <w:footerReference w:type="even" r:id="rId84"/>
          <w:footerReference w:type="default" r:id="rId85"/>
          <w:headerReference w:type="first" r:id="rId86"/>
          <w:footerReference w:type="first" r:id="rId87"/>
          <w:pgSz w:w="11906" w:h="16838"/>
          <w:pgMar w:top="710" w:right="704" w:bottom="2001" w:left="1702" w:header="720" w:footer="1088" w:gutter="0"/>
          <w:cols w:space="720"/>
        </w:sectPr>
      </w:pPr>
    </w:p>
    <w:p w:rsidR="002116B0" w:rsidRDefault="00FF7F9F">
      <w:pPr>
        <w:spacing w:after="387"/>
        <w:ind w:left="-5" w:right="10"/>
      </w:pPr>
      <w:r>
        <w:lastRenderedPageBreak/>
        <w:t xml:space="preserve">Table 12: Results of the </w:t>
      </w:r>
      <w:proofErr w:type="spellStart"/>
      <w:r>
        <w:t>logit</w:t>
      </w:r>
      <w:proofErr w:type="spellEnd"/>
      <w:r>
        <w:t xml:space="preserve"> model of extension officers’ crop recommendations to farmers </w:t>
      </w:r>
    </w:p>
    <w:p w:rsidR="002116B0" w:rsidRDefault="00FF7F9F">
      <w:pPr>
        <w:spacing w:after="288" w:line="259" w:lineRule="auto"/>
        <w:ind w:left="-1" w:firstLine="0"/>
        <w:jc w:val="right"/>
      </w:pPr>
      <w:r>
        <w:rPr>
          <w:noProof/>
        </w:rPr>
        <w:drawing>
          <wp:inline distT="0" distB="0" distL="0" distR="0">
            <wp:extent cx="9315450" cy="3943350"/>
            <wp:effectExtent l="0" t="0" r="0" b="0"/>
            <wp:docPr id="7213" name="Picture 7213"/>
            <wp:cNvGraphicFramePr/>
            <a:graphic xmlns:a="http://schemas.openxmlformats.org/drawingml/2006/main">
              <a:graphicData uri="http://schemas.openxmlformats.org/drawingml/2006/picture">
                <pic:pic xmlns:pic="http://schemas.openxmlformats.org/drawingml/2006/picture">
                  <pic:nvPicPr>
                    <pic:cNvPr id="7213" name="Picture 7213"/>
                    <pic:cNvPicPr/>
                  </pic:nvPicPr>
                  <pic:blipFill>
                    <a:blip r:embed="rId88"/>
                    <a:stretch>
                      <a:fillRect/>
                    </a:stretch>
                  </pic:blipFill>
                  <pic:spPr>
                    <a:xfrm>
                      <a:off x="0" y="0"/>
                      <a:ext cx="9315450" cy="3943350"/>
                    </a:xfrm>
                    <a:prstGeom prst="rect">
                      <a:avLst/>
                    </a:prstGeom>
                  </pic:spPr>
                </pic:pic>
              </a:graphicData>
            </a:graphic>
          </wp:inline>
        </w:drawing>
      </w:r>
      <w:r>
        <w:t xml:space="preserve"> </w:t>
      </w:r>
    </w:p>
    <w:p w:rsidR="002116B0" w:rsidRDefault="00FF7F9F">
      <w:pPr>
        <w:spacing w:after="376"/>
        <w:ind w:left="-5" w:right="1665"/>
        <w:jc w:val="left"/>
      </w:pPr>
      <w:r>
        <w:rPr>
          <w:b/>
          <w:sz w:val="18"/>
        </w:rPr>
        <w:t xml:space="preserve">The asterisks [*, **, and ***] represent statistical significance at 1%, 5% and 10% levels respectively </w:t>
      </w:r>
    </w:p>
    <w:p w:rsidR="002116B0" w:rsidRDefault="00FF7F9F">
      <w:pPr>
        <w:spacing w:after="366"/>
        <w:ind w:left="-5" w:right="10"/>
      </w:pPr>
      <w:r>
        <w:t xml:space="preserve">Source:  Field data </w:t>
      </w:r>
    </w:p>
    <w:p w:rsidR="002116B0" w:rsidRDefault="00FF7F9F">
      <w:pPr>
        <w:spacing w:after="262" w:line="249" w:lineRule="auto"/>
        <w:ind w:left="472" w:right="762"/>
        <w:jc w:val="center"/>
      </w:pPr>
      <w:r>
        <w:t xml:space="preserve">62 </w:t>
      </w:r>
    </w:p>
    <w:p w:rsidR="002116B0" w:rsidRDefault="00FF7F9F">
      <w:pPr>
        <w:spacing w:after="0" w:line="259" w:lineRule="auto"/>
        <w:ind w:left="0" w:firstLine="0"/>
        <w:jc w:val="left"/>
      </w:pPr>
      <w:r>
        <w:lastRenderedPageBreak/>
        <w:t xml:space="preserve"> </w:t>
      </w:r>
    </w:p>
    <w:p w:rsidR="002116B0" w:rsidRDefault="002116B0">
      <w:pPr>
        <w:sectPr w:rsidR="002116B0">
          <w:headerReference w:type="even" r:id="rId89"/>
          <w:headerReference w:type="default" r:id="rId90"/>
          <w:footerReference w:type="even" r:id="rId91"/>
          <w:footerReference w:type="default" r:id="rId92"/>
          <w:headerReference w:type="first" r:id="rId93"/>
          <w:footerReference w:type="first" r:id="rId94"/>
          <w:pgSz w:w="16838" w:h="11906" w:orient="landscape"/>
          <w:pgMar w:top="1440" w:right="406" w:bottom="1440" w:left="1702" w:header="720" w:footer="720" w:gutter="0"/>
          <w:cols w:space="720"/>
        </w:sectPr>
      </w:pPr>
    </w:p>
    <w:p w:rsidR="002116B0" w:rsidRDefault="00FF7F9F">
      <w:pPr>
        <w:spacing w:line="476" w:lineRule="auto"/>
        <w:ind w:left="712" w:right="134"/>
      </w:pPr>
      <w:r>
        <w:lastRenderedPageBreak/>
        <w:t xml:space="preserve">Combination of crops is considered as a risk reduction strategy to cope with variability of meteorological conditions which increases its likelihood of being recommended is situations where crop failure is likely event.  Previous study by </w:t>
      </w:r>
      <w:proofErr w:type="spellStart"/>
      <w:r>
        <w:t>Cavatassi</w:t>
      </w:r>
      <w:proofErr w:type="spellEnd"/>
      <w:r>
        <w:t xml:space="preserve"> et al. </w:t>
      </w:r>
      <w:r>
        <w:t>(2011) in Ethiopia have shown that risk of crop failure due to weather variability significantly influence crop choices and management practices. The private players in the agricultural sector are hardly crop specific but interested with almost all crops g</w:t>
      </w:r>
      <w:r>
        <w:t xml:space="preserve">rown in a locality which increases their probability of recommending a combination of crops. Male extension officers are less likely to recommend a combination of crops because of their risk preference nature (Huang et al., 2014).  </w:t>
      </w:r>
    </w:p>
    <w:p w:rsidR="002116B0" w:rsidRDefault="00FF7F9F">
      <w:pPr>
        <w:spacing w:line="476" w:lineRule="auto"/>
        <w:ind w:left="712" w:right="130"/>
      </w:pPr>
      <w:r>
        <w:t>Local and global driver</w:t>
      </w:r>
      <w:r>
        <w:t>s of recommendations also significantly influence the probability of recommending a combination of crops but with opposite signs thus revealing disconnect between global and local influences (Moser, 2010). Global drivers coming from abroad are spatially va</w:t>
      </w:r>
      <w:r>
        <w:t>riable thus yield debates as to whether CC is real (</w:t>
      </w:r>
      <w:proofErr w:type="spellStart"/>
      <w:r>
        <w:t>Clavel</w:t>
      </w:r>
      <w:proofErr w:type="spellEnd"/>
      <w:r>
        <w:t xml:space="preserve"> et al., 2011). These global influences may be perceived as top down and non-contextual approach to risk reduction hence hindering the recommendation of combination of crops as risk reduction strate</w:t>
      </w:r>
      <w:r>
        <w:t xml:space="preserve">gy in attempts to </w:t>
      </w:r>
      <w:proofErr w:type="spellStart"/>
      <w:r>
        <w:t>reorganise</w:t>
      </w:r>
      <w:proofErr w:type="spellEnd"/>
      <w:r>
        <w:t xml:space="preserve"> the rural society (</w:t>
      </w:r>
      <w:proofErr w:type="spellStart"/>
      <w:r>
        <w:t>Sumberg</w:t>
      </w:r>
      <w:proofErr w:type="spellEnd"/>
      <w:r>
        <w:t>, 1998). Local drivers of recommendations on the other hand are invariant in time, in the short and medium terms (</w:t>
      </w:r>
      <w:proofErr w:type="spellStart"/>
      <w:r>
        <w:t>Clavel</w:t>
      </w:r>
      <w:proofErr w:type="spellEnd"/>
      <w:r>
        <w:t xml:space="preserve"> et al., 2011) hence better placed to conduct diagnostic climate risk assessment </w:t>
      </w:r>
      <w:r>
        <w:t xml:space="preserve">for crops thus increasing their probability of recommending combination of crops as a risk reduction strategy.  </w:t>
      </w:r>
    </w:p>
    <w:p w:rsidR="002116B0" w:rsidRDefault="00FF7F9F">
      <w:pPr>
        <w:spacing w:line="476" w:lineRule="auto"/>
        <w:ind w:left="712" w:right="137"/>
      </w:pPr>
      <w:r>
        <w:t xml:space="preserve">Diploma level of education and access to reliable information reduces the probability of recommending a combination of crops.  This is because </w:t>
      </w:r>
      <w:r>
        <w:t xml:space="preserve">education and reliable information equips and extension officers with an overview of specific crop requirements thus likely to advise specific crop with better yield performance given the climatic challenges as opposed to combination of crops.  </w:t>
      </w:r>
    </w:p>
    <w:p w:rsidR="002116B0" w:rsidRDefault="00FF7F9F">
      <w:pPr>
        <w:spacing w:after="0" w:line="259" w:lineRule="auto"/>
        <w:ind w:left="702" w:firstLine="0"/>
        <w:jc w:val="left"/>
      </w:pPr>
      <w:r>
        <w:rPr>
          <w:b/>
        </w:rPr>
        <w:t xml:space="preserve"> </w:t>
      </w:r>
      <w:r>
        <w:rPr>
          <w:b/>
        </w:rPr>
        <w:tab/>
        <w:t xml:space="preserve"> </w:t>
      </w:r>
    </w:p>
    <w:p w:rsidR="002116B0" w:rsidRDefault="00FF7F9F">
      <w:pPr>
        <w:pStyle w:val="Heading5"/>
        <w:ind w:left="712" w:right="0"/>
      </w:pPr>
      <w:r>
        <w:lastRenderedPageBreak/>
        <w:t xml:space="preserve">Probability of recommending traditional high value legumes to wealthy farmers </w:t>
      </w:r>
    </w:p>
    <w:p w:rsidR="002116B0" w:rsidRDefault="00FF7F9F">
      <w:pPr>
        <w:spacing w:line="488" w:lineRule="auto"/>
        <w:ind w:left="712" w:right="133"/>
      </w:pPr>
      <w:r>
        <w:t xml:space="preserve">Results in Table 12 </w:t>
      </w:r>
      <w:proofErr w:type="spellStart"/>
      <w:r>
        <w:t>summarises</w:t>
      </w:r>
      <w:proofErr w:type="spellEnd"/>
      <w:r>
        <w:t xml:space="preserve"> the probability of recommending traditional high value legumes to wealthy farmers. A pseudo R</w:t>
      </w:r>
      <w:r>
        <w:rPr>
          <w:vertAlign w:val="superscript"/>
        </w:rPr>
        <w:t>2</w:t>
      </w:r>
      <w:r>
        <w:t xml:space="preserve"> of 0.201 is achieved, indicating that approximately</w:t>
      </w:r>
      <w:r>
        <w:t xml:space="preserve"> 20% of the variation in the probability of recommending the legumes to wealthy farmers is explained by the explanatory variables. The X</w:t>
      </w:r>
      <w:r>
        <w:rPr>
          <w:vertAlign w:val="superscript"/>
        </w:rPr>
        <w:t>2</w:t>
      </w:r>
      <w:r>
        <w:t xml:space="preserve"> and the likelihood ratio test statistics are statistically significant at 5% level of significance thus signifying the</w:t>
      </w:r>
      <w:r>
        <w:t xml:space="preserve"> adequacy of the model and the non-zero effect of some of the explanatory variables on the probability of recommending traditional high value legumes to farmers.</w:t>
      </w:r>
      <w:r>
        <w:rPr>
          <w:b/>
        </w:rPr>
        <w:t xml:space="preserve"> </w:t>
      </w:r>
    </w:p>
    <w:p w:rsidR="002116B0" w:rsidRDefault="00FF7F9F">
      <w:pPr>
        <w:spacing w:line="476" w:lineRule="auto"/>
        <w:ind w:left="712" w:right="131"/>
      </w:pPr>
      <w:r>
        <w:t>The coefficients for number of information sources accessed, global and local drivers of reco</w:t>
      </w:r>
      <w:r>
        <w:t>mmendations are significant and positive thus increase the probability of recommending traditional high value legumes to wealthy farmers. Locally, the relative importance of cereals and starchy staple crops is declining and that of legumes which are rich s</w:t>
      </w:r>
      <w:r>
        <w:t xml:space="preserve">ources of protein hence of nutritional value is increasing (Gulati et al., 2007, </w:t>
      </w:r>
      <w:proofErr w:type="spellStart"/>
      <w:r>
        <w:t>Grivetti</w:t>
      </w:r>
      <w:proofErr w:type="spellEnd"/>
      <w:r>
        <w:t xml:space="preserve"> and Ogle, 2000, </w:t>
      </w:r>
      <w:proofErr w:type="spellStart"/>
      <w:r>
        <w:t>Tharanathan</w:t>
      </w:r>
      <w:proofErr w:type="spellEnd"/>
      <w:r>
        <w:t xml:space="preserve"> and </w:t>
      </w:r>
      <w:proofErr w:type="spellStart"/>
      <w:r>
        <w:t>Mahadevamma</w:t>
      </w:r>
      <w:proofErr w:type="spellEnd"/>
      <w:r>
        <w:t>, 2003). These traditional legumes offer nutritional alternative to conventional beans which is not well adapted to semi-ar</w:t>
      </w:r>
      <w:r>
        <w:t xml:space="preserve">id climate. The growing local demand for traditionally high value legumes is mainly driven by rising incomes, urbanization, changing preferences and adaptability of the crop to semi-arid conditions (Gulati et al., 2007). </w:t>
      </w:r>
    </w:p>
    <w:p w:rsidR="002116B0" w:rsidRDefault="00FF7F9F">
      <w:pPr>
        <w:spacing w:line="477" w:lineRule="auto"/>
        <w:ind w:left="712" w:right="136"/>
      </w:pPr>
      <w:r>
        <w:t>Globally the production of the tra</w:t>
      </w:r>
      <w:r>
        <w:t>ditional crops is mainly driven by the biological value of the crops which has led to increase in campaigns to conserve genetic biodiversity of different crop species (Gulati et al., 2007). Despite the biological and economic value of traditional high valu</w:t>
      </w:r>
      <w:r>
        <w:t xml:space="preserve">e legumes, the crop recommendation may only suit wealthy farmers who are able to meet the high cost production and marketing risks associated with the crops. </w:t>
      </w:r>
    </w:p>
    <w:p w:rsidR="002116B0" w:rsidRDefault="00FF7F9F">
      <w:pPr>
        <w:pStyle w:val="Heading3"/>
        <w:ind w:left="712"/>
      </w:pPr>
      <w:bookmarkStart w:id="40" w:name="_Toc61317"/>
      <w:r>
        <w:lastRenderedPageBreak/>
        <w:t xml:space="preserve">5.7 Conclusion </w:t>
      </w:r>
      <w:bookmarkEnd w:id="40"/>
    </w:p>
    <w:p w:rsidR="002116B0" w:rsidRDefault="00FF7F9F">
      <w:pPr>
        <w:spacing w:after="256" w:line="476" w:lineRule="auto"/>
        <w:ind w:left="712" w:right="136"/>
      </w:pPr>
      <w:r>
        <w:t>This chapter explores different CC adaptation recommendations made by extension o</w:t>
      </w:r>
      <w:r>
        <w:t>fficers to resource poor farmers and wealthy farmers. The CC recommendations were mainly farm management practices and crops mixtures. Different factors such as risk perceptions and number of sources of information accessed, in addition to extension office</w:t>
      </w:r>
      <w:r>
        <w:t xml:space="preserve">rs characteristics motivated adaptation recommendations in different directions. </w:t>
      </w:r>
    </w:p>
    <w:p w:rsidR="002116B0" w:rsidRDefault="00FF7F9F">
      <w:pPr>
        <w:spacing w:after="0" w:line="259" w:lineRule="auto"/>
        <w:ind w:left="702" w:firstLine="0"/>
        <w:jc w:val="left"/>
      </w:pPr>
      <w:r>
        <w:t xml:space="preserve"> </w:t>
      </w:r>
      <w:r>
        <w:tab/>
      </w:r>
      <w:r>
        <w:rPr>
          <w:b/>
          <w:sz w:val="32"/>
        </w:rPr>
        <w:t xml:space="preserve"> </w:t>
      </w:r>
      <w:r>
        <w:br w:type="page"/>
      </w:r>
    </w:p>
    <w:p w:rsidR="002116B0" w:rsidRDefault="00FF7F9F">
      <w:pPr>
        <w:pStyle w:val="Heading1"/>
        <w:spacing w:after="431"/>
        <w:ind w:left="578" w:right="0"/>
        <w:jc w:val="center"/>
      </w:pPr>
      <w:bookmarkStart w:id="41" w:name="_Toc61318"/>
      <w:r>
        <w:lastRenderedPageBreak/>
        <w:t xml:space="preserve">CHAPTER 6: CONCLUSION AND RECOMMENDADTIONS </w:t>
      </w:r>
      <w:bookmarkEnd w:id="41"/>
    </w:p>
    <w:p w:rsidR="002116B0" w:rsidRDefault="00FF7F9F">
      <w:pPr>
        <w:pStyle w:val="Heading3"/>
        <w:ind w:left="712"/>
      </w:pPr>
      <w:bookmarkStart w:id="42" w:name="_Toc61319"/>
      <w:r>
        <w:t xml:space="preserve">6.1 Conclusions </w:t>
      </w:r>
      <w:bookmarkEnd w:id="42"/>
    </w:p>
    <w:p w:rsidR="002116B0" w:rsidRDefault="00FF7F9F">
      <w:pPr>
        <w:spacing w:line="477" w:lineRule="auto"/>
        <w:ind w:left="712" w:right="133"/>
      </w:pPr>
      <w:r>
        <w:t>The first intention of the study was to assess the perceptions of agricultural extension officers on climate</w:t>
      </w:r>
      <w:r>
        <w:t xml:space="preserve"> variability and change in relation to historical climate data. Majority of the extension officers perceive a general changing climate. According to them, negative changes have transpired in regards to temperature, amount of rainfall, number of rainy days,</w:t>
      </w:r>
      <w:r>
        <w:t xml:space="preserve"> start (onset) of seasons as well as with the frequency of droughts and floods (</w:t>
      </w:r>
      <w:proofErr w:type="spellStart"/>
      <w:r>
        <w:t>Heltberg</w:t>
      </w:r>
      <w:proofErr w:type="spellEnd"/>
      <w:r>
        <w:t xml:space="preserve"> et al., 2012).  The analysis of climate data however showed no significant change in most of the rainfall related variables and an increasing trend in most temperature</w:t>
      </w:r>
      <w:r>
        <w:t xml:space="preserve"> parameters.  </w:t>
      </w:r>
    </w:p>
    <w:p w:rsidR="002116B0" w:rsidRDefault="00FF7F9F">
      <w:pPr>
        <w:spacing w:line="482" w:lineRule="auto"/>
        <w:ind w:left="712" w:right="132"/>
      </w:pPr>
      <w:r>
        <w:t>Results show that the extension officers have precise perception on temperature trends which is supported by temperature data. Conversely, most of their perceptions on rainfall related parameters are contrary to climate data. A finding which</w:t>
      </w:r>
      <w:r>
        <w:t xml:space="preserve"> is comparable to the well narrated literature on farmers perceptions from the same region  and other places across the African continent but were not supported by the observed trends in rainfall data (Rao et al., 2011, </w:t>
      </w:r>
      <w:proofErr w:type="spellStart"/>
      <w:r>
        <w:t>Osbahr</w:t>
      </w:r>
      <w:proofErr w:type="spellEnd"/>
      <w:r>
        <w:t xml:space="preserve"> et al., 2011). This is a like</w:t>
      </w:r>
      <w:r>
        <w:t>ly indication on the influence the extension officers have on farmers’ perceptions on climate change. The results also reflects the extension officers’ incapability to synthesize climate knowledge they have gained which leads them to subjectively judge tre</w:t>
      </w:r>
      <w:r>
        <w:t>nds in rainfall related parameters. The biased opinion on trends of rainfall related variables may be linked to multifaceted interactions between rainfall and other factors such as temperature, soil water and fertility and land use which influence the whol</w:t>
      </w:r>
      <w:r>
        <w:t xml:space="preserve">e effect of climate variability on crop productivity (Rao et al., 2011).  </w:t>
      </w:r>
    </w:p>
    <w:p w:rsidR="002116B0" w:rsidRDefault="00FF7F9F">
      <w:pPr>
        <w:spacing w:after="187" w:line="476" w:lineRule="auto"/>
        <w:ind w:left="712" w:right="10"/>
      </w:pPr>
      <w:r>
        <w:t xml:space="preserve">Secondly, the study set out to investigate the climate change adaptation measures which the extension officers recommend to farmers. The climate adaptation recommendations mainly </w:t>
      </w:r>
      <w:r>
        <w:t xml:space="preserve">consisted of agronomic management practices and different crop combinations. The most popular management </w:t>
      </w:r>
      <w:r>
        <w:lastRenderedPageBreak/>
        <w:t>practice recommended to resource poor farmers was mixed farming whereas that for wealthy farmers was use of manure and fertilizers. Mixed farming was h</w:t>
      </w:r>
      <w:r>
        <w:t xml:space="preserve">owever the least recommended strategy to wealthy farmers while irrigation was least recommended to poor farmers. </w:t>
      </w:r>
      <w:proofErr w:type="spellStart"/>
      <w:r>
        <w:t>Logit</w:t>
      </w:r>
      <w:proofErr w:type="spellEnd"/>
      <w:r>
        <w:t xml:space="preserve"> model was used to </w:t>
      </w:r>
      <w:proofErr w:type="spellStart"/>
      <w:r>
        <w:t>analyse</w:t>
      </w:r>
      <w:proofErr w:type="spellEnd"/>
      <w:r>
        <w:t xml:space="preserve"> the determinants of adaptation recommendations. The results show that different factors influenced different cl</w:t>
      </w:r>
      <w:r>
        <w:t xml:space="preserve">imate adaptation recommendations. Number of sources of information used significantly influenced most of the adaptation recommendations made by the extension officers.  </w:t>
      </w:r>
    </w:p>
    <w:p w:rsidR="002116B0" w:rsidRDefault="00FF7F9F">
      <w:pPr>
        <w:pStyle w:val="Heading3"/>
        <w:ind w:left="712"/>
      </w:pPr>
      <w:bookmarkStart w:id="43" w:name="_Toc61320"/>
      <w:r>
        <w:t xml:space="preserve">6.2 Policy implication </w:t>
      </w:r>
      <w:bookmarkEnd w:id="43"/>
    </w:p>
    <w:p w:rsidR="002116B0" w:rsidRDefault="00FF7F9F">
      <w:pPr>
        <w:spacing w:line="476" w:lineRule="auto"/>
        <w:ind w:left="712" w:right="135"/>
      </w:pPr>
      <w:r>
        <w:t>Extension officers’ perception of negative rainfall variabilit</w:t>
      </w:r>
      <w:r>
        <w:t>y which is not supported by climate has a significant implication for risk assessments in the region and in consequent decision making process. The perception of worsening scenarios create a general higher risk assessments resulting in most extension offic</w:t>
      </w:r>
      <w:r>
        <w:t xml:space="preserve">ers recommending techniques that </w:t>
      </w:r>
      <w:proofErr w:type="spellStart"/>
      <w:r>
        <w:t>favour</w:t>
      </w:r>
      <w:proofErr w:type="spellEnd"/>
      <w:r>
        <w:t xml:space="preserve"> low inputs use which discourage optimization of input use and uptake of improved technologies. Any policy aimed at enhancing the adaptive capacity of AEAS should consider building the capacity of extension officers t</w:t>
      </w:r>
      <w:r>
        <w:t xml:space="preserve">o provide them with the precise climate information as well as create new technological capabilities of agro metrological extension within the institution. </w:t>
      </w:r>
    </w:p>
    <w:p w:rsidR="002116B0" w:rsidRDefault="00FF7F9F">
      <w:pPr>
        <w:spacing w:line="476" w:lineRule="auto"/>
        <w:ind w:left="712" w:right="135"/>
      </w:pPr>
      <w:r>
        <w:t>The findings also revealed wide mistrust of the weather forecast and climate information received b</w:t>
      </w:r>
      <w:r>
        <w:t>y extension officers. This calls for improvement of the collaboration, interaction and communication between providers and users of climate information to build trust and confidence in the use of the weather/ climate information which is a necessity for su</w:t>
      </w:r>
      <w:r>
        <w:t xml:space="preserve">ccessful and effective adaptation.  </w:t>
      </w:r>
    </w:p>
    <w:p w:rsidR="002116B0" w:rsidRDefault="00FF7F9F">
      <w:pPr>
        <w:spacing w:after="187" w:line="477" w:lineRule="auto"/>
        <w:ind w:left="712" w:right="133"/>
      </w:pPr>
      <w:r>
        <w:t>At present, adaptation recommendations are mainly farm based and no distinction can be made of what have been conventional agronomic practices and climate adaptation strategies. Some of the climate adaptation strategies</w:t>
      </w:r>
      <w:r>
        <w:t xml:space="preserve"> seem contradictory for example use of late maturing high yielding </w:t>
      </w:r>
      <w:r>
        <w:lastRenderedPageBreak/>
        <w:t>varieties versus use of early maturing crop varieties. It is therefore necessary to make a distinction on the roles of different adaptation strategies. Efforts to promote climate change ada</w:t>
      </w:r>
      <w:r>
        <w:t xml:space="preserve">ptation strategies in the area should identify optimal combination of agricultural management practices suitable for the area and make use of the significant that influence those adaptation strategies.  </w:t>
      </w:r>
    </w:p>
    <w:p w:rsidR="002116B0" w:rsidRDefault="00FF7F9F">
      <w:pPr>
        <w:pStyle w:val="Heading3"/>
        <w:ind w:left="712"/>
      </w:pPr>
      <w:bookmarkStart w:id="44" w:name="_Toc61321"/>
      <w:r>
        <w:t xml:space="preserve">6.2 Areas for further research  </w:t>
      </w:r>
      <w:bookmarkEnd w:id="44"/>
    </w:p>
    <w:p w:rsidR="002116B0" w:rsidRDefault="00FF7F9F">
      <w:pPr>
        <w:spacing w:after="254" w:line="476" w:lineRule="auto"/>
        <w:ind w:left="712" w:right="137"/>
      </w:pPr>
      <w:r>
        <w:t>Non-agricultural ad</w:t>
      </w:r>
      <w:r>
        <w:t>aptation strategies are extremely rare thus research work needs to be devoted to finding and appraising innovative adaptation and coping mechanisms outside agriculture such as building social and community networks and improving markets and economic infras</w:t>
      </w:r>
      <w:r>
        <w:t xml:space="preserve">tructure. </w:t>
      </w:r>
    </w:p>
    <w:p w:rsidR="002116B0" w:rsidRDefault="00FF7F9F">
      <w:pPr>
        <w:spacing w:after="0" w:line="259" w:lineRule="auto"/>
        <w:ind w:left="702" w:firstLine="0"/>
        <w:jc w:val="left"/>
      </w:pPr>
      <w:r>
        <w:t xml:space="preserve"> </w:t>
      </w:r>
      <w:r>
        <w:tab/>
      </w:r>
      <w:r>
        <w:rPr>
          <w:b/>
          <w:sz w:val="32"/>
        </w:rPr>
        <w:t xml:space="preserve"> </w:t>
      </w:r>
      <w:r>
        <w:br w:type="page"/>
      </w:r>
    </w:p>
    <w:p w:rsidR="002116B0" w:rsidRDefault="00FF7F9F">
      <w:pPr>
        <w:pStyle w:val="Heading1"/>
        <w:spacing w:after="109"/>
        <w:ind w:left="578" w:right="2"/>
        <w:jc w:val="center"/>
      </w:pPr>
      <w:bookmarkStart w:id="45" w:name="_Toc61322"/>
      <w:r>
        <w:lastRenderedPageBreak/>
        <w:t xml:space="preserve">REFERENCES </w:t>
      </w:r>
      <w:bookmarkEnd w:id="45"/>
    </w:p>
    <w:p w:rsidR="002116B0" w:rsidRDefault="00FF7F9F">
      <w:pPr>
        <w:spacing w:after="0"/>
        <w:ind w:left="1422" w:right="10" w:hanging="720"/>
      </w:pPr>
      <w:r>
        <w:t xml:space="preserve">ABONGU, L. 2013. Agricultural Adaptations Strategies to climate Change and Variability in the Extreme North Region of Cameroon. University of Reading: Masters of Science </w:t>
      </w:r>
    </w:p>
    <w:p w:rsidR="002116B0" w:rsidRDefault="00FF7F9F">
      <w:pPr>
        <w:spacing w:after="114"/>
        <w:ind w:left="1432" w:right="10"/>
      </w:pPr>
      <w:r>
        <w:t xml:space="preserve">Dissertation. </w:t>
      </w:r>
    </w:p>
    <w:p w:rsidR="002116B0" w:rsidRDefault="00FF7F9F">
      <w:pPr>
        <w:spacing w:after="117"/>
        <w:ind w:left="1422" w:right="10" w:hanging="720"/>
      </w:pPr>
      <w:r>
        <w:t>ACHEAMPONG, P. P., OWUSU, V. &amp;</w:t>
      </w:r>
      <w:r>
        <w:t xml:space="preserve"> NURAH, G. K. 2013. Farmers Preferences for Cassava Variety Traits: Empirical Evidence from Ghana. </w:t>
      </w:r>
    </w:p>
    <w:p w:rsidR="002116B0" w:rsidRDefault="00FF7F9F">
      <w:pPr>
        <w:spacing w:after="117"/>
        <w:ind w:left="1422" w:right="133" w:hanging="720"/>
      </w:pPr>
      <w:r>
        <w:t>ADGER, W. N., DESSAI, S., GOULDEN, M., HULME, M., LORENZONI, I., NELSON, D. R., NAESS, L. O., WOLF, J. &amp;</w:t>
      </w:r>
      <w:r>
        <w:t xml:space="preserve"> WREFORD, A. 2009. Are there social limits to adaptation to climate change? </w:t>
      </w:r>
      <w:r>
        <w:rPr>
          <w:i/>
        </w:rPr>
        <w:t>Climatic change,</w:t>
      </w:r>
      <w:r>
        <w:t xml:space="preserve"> 93</w:t>
      </w:r>
      <w:r>
        <w:rPr>
          <w:b/>
        </w:rPr>
        <w:t>,</w:t>
      </w:r>
      <w:r>
        <w:t xml:space="preserve"> 335-354. </w:t>
      </w:r>
    </w:p>
    <w:p w:rsidR="002116B0" w:rsidRDefault="00FF7F9F">
      <w:pPr>
        <w:spacing w:after="0"/>
        <w:ind w:left="712" w:right="10"/>
      </w:pPr>
      <w:r>
        <w:t xml:space="preserve">ANTÓN, J., CATTANEO, A., KIMURA, S. &amp; LANKOSKI, J. 2013. Agricultural risk </w:t>
      </w:r>
    </w:p>
    <w:p w:rsidR="002116B0" w:rsidRDefault="00FF7F9F">
      <w:pPr>
        <w:spacing w:after="117"/>
        <w:ind w:left="1432" w:right="10"/>
      </w:pPr>
      <w:proofErr w:type="gramStart"/>
      <w:r>
        <w:t>management</w:t>
      </w:r>
      <w:proofErr w:type="gramEnd"/>
      <w:r>
        <w:t xml:space="preserve"> policies under climate uncertainty. </w:t>
      </w:r>
      <w:r>
        <w:rPr>
          <w:i/>
        </w:rPr>
        <w:t>Global Environmental Chang</w:t>
      </w:r>
      <w:r>
        <w:rPr>
          <w:i/>
        </w:rPr>
        <w:t>e,</w:t>
      </w:r>
      <w:r>
        <w:t xml:space="preserve"> 23</w:t>
      </w:r>
      <w:r>
        <w:rPr>
          <w:b/>
        </w:rPr>
        <w:t>,</w:t>
      </w:r>
      <w:r>
        <w:t xml:space="preserve"> 17261736. </w:t>
      </w:r>
    </w:p>
    <w:p w:rsidR="002116B0" w:rsidRDefault="00FF7F9F">
      <w:pPr>
        <w:spacing w:after="117"/>
        <w:ind w:left="1422" w:right="10" w:hanging="720"/>
      </w:pPr>
      <w:r>
        <w:t xml:space="preserve">ASAFU-ADJAYE, J. 2014. The Economic Impacts of Climate Change on Agriculture in Africa. </w:t>
      </w:r>
      <w:r>
        <w:rPr>
          <w:i/>
        </w:rPr>
        <w:t>J. Afr. Econ.,</w:t>
      </w:r>
      <w:r>
        <w:t xml:space="preserve"> 23</w:t>
      </w:r>
      <w:r>
        <w:rPr>
          <w:b/>
        </w:rPr>
        <w:t>,</w:t>
      </w:r>
      <w:r>
        <w:t xml:space="preserve"> ii17-49. </w:t>
      </w:r>
    </w:p>
    <w:p w:rsidR="002116B0" w:rsidRDefault="00FF7F9F">
      <w:pPr>
        <w:spacing w:after="117"/>
        <w:ind w:left="1422" w:right="10" w:hanging="720"/>
      </w:pPr>
      <w:r>
        <w:t xml:space="preserve">BEMBRIDGE, T. 1987. Agricultural extension in the less developed areas of Southern Africa. </w:t>
      </w:r>
      <w:r>
        <w:rPr>
          <w:i/>
        </w:rPr>
        <w:t>Agricultural Administration an</w:t>
      </w:r>
      <w:r>
        <w:rPr>
          <w:i/>
        </w:rPr>
        <w:t>d Extension,</w:t>
      </w:r>
      <w:r>
        <w:t xml:space="preserve"> 27</w:t>
      </w:r>
      <w:r>
        <w:rPr>
          <w:b/>
        </w:rPr>
        <w:t>,</w:t>
      </w:r>
      <w:r>
        <w:t xml:space="preserve"> 245-265. </w:t>
      </w:r>
    </w:p>
    <w:p w:rsidR="002116B0" w:rsidRDefault="00FF7F9F">
      <w:pPr>
        <w:spacing w:after="132" w:line="249" w:lineRule="auto"/>
        <w:ind w:left="1417" w:right="120" w:hanging="730"/>
      </w:pPr>
      <w:r>
        <w:t xml:space="preserve">BRUCE, J. P., YI, H.-S. &amp; HAITES, E. F. 1996. </w:t>
      </w:r>
      <w:r>
        <w:rPr>
          <w:i/>
        </w:rPr>
        <w:t>Climate change 1995: Economic and social dimensions of climate change: Contribution of Working Group III to the second assessment report of the Intergovernmental Panel on Climate Chan</w:t>
      </w:r>
      <w:r>
        <w:rPr>
          <w:i/>
        </w:rPr>
        <w:t>ge</w:t>
      </w:r>
      <w:r>
        <w:t xml:space="preserve">, Cambridge University Press. </w:t>
      </w:r>
    </w:p>
    <w:p w:rsidR="002116B0" w:rsidRDefault="00FF7F9F">
      <w:pPr>
        <w:spacing w:after="117"/>
        <w:ind w:left="1422" w:right="138" w:hanging="720"/>
      </w:pPr>
      <w:r>
        <w:t xml:space="preserve">BRYAN, E., RINGLER, C., OKOBA, B., RONCOLI, C., SILVESTRI, S. &amp; HERRERO, M. 2013. Adapting agriculture to climate change in Kenya: Household strategies and determinants. </w:t>
      </w:r>
      <w:r>
        <w:rPr>
          <w:i/>
        </w:rPr>
        <w:t>Journal of environmental management,</w:t>
      </w:r>
      <w:r>
        <w:t xml:space="preserve"> 114</w:t>
      </w:r>
      <w:r>
        <w:rPr>
          <w:b/>
        </w:rPr>
        <w:t>,</w:t>
      </w:r>
      <w:r>
        <w:t xml:space="preserve"> 26-35. </w:t>
      </w:r>
    </w:p>
    <w:p w:rsidR="002116B0" w:rsidRDefault="00FF7F9F">
      <w:pPr>
        <w:spacing w:after="117"/>
        <w:ind w:left="1422" w:right="136" w:hanging="720"/>
      </w:pPr>
      <w:r>
        <w:t>CAV</w:t>
      </w:r>
      <w:r>
        <w:t xml:space="preserve">ATASSI, R., LIPPER, L. &amp; NARLOCH, U. 2011. Modern variety adoption and risk management in drought prone areas: insights from the sorghum farmers of eastern Ethiopia. </w:t>
      </w:r>
      <w:r>
        <w:rPr>
          <w:i/>
        </w:rPr>
        <w:t>Agricultural Economics,</w:t>
      </w:r>
      <w:r>
        <w:t xml:space="preserve"> 42</w:t>
      </w:r>
      <w:r>
        <w:rPr>
          <w:b/>
        </w:rPr>
        <w:t>,</w:t>
      </w:r>
      <w:r>
        <w:t xml:space="preserve"> 279-292. </w:t>
      </w:r>
    </w:p>
    <w:p w:rsidR="002116B0" w:rsidRDefault="00FF7F9F">
      <w:pPr>
        <w:spacing w:after="117"/>
        <w:ind w:left="1422" w:right="10" w:hanging="720"/>
      </w:pPr>
      <w:r>
        <w:t xml:space="preserve">CHAUDHRY, M. &amp; AL-HAJ, F. 1985. A critical analysis </w:t>
      </w:r>
      <w:r>
        <w:t xml:space="preserve">of agricultural education and extension in developing countries. </w:t>
      </w:r>
      <w:r>
        <w:rPr>
          <w:i/>
        </w:rPr>
        <w:t>Agricultural Administration,</w:t>
      </w:r>
      <w:r>
        <w:t xml:space="preserve"> 20</w:t>
      </w:r>
      <w:r>
        <w:rPr>
          <w:b/>
        </w:rPr>
        <w:t>,</w:t>
      </w:r>
      <w:r>
        <w:t xml:space="preserve"> 169-186. </w:t>
      </w:r>
    </w:p>
    <w:p w:rsidR="002116B0" w:rsidRDefault="00FF7F9F">
      <w:pPr>
        <w:spacing w:after="118"/>
        <w:ind w:left="1422" w:right="10" w:hanging="720"/>
      </w:pPr>
      <w:r>
        <w:t xml:space="preserve">CHRISTOPLOS, I. 2012. Climate advice and extension practice. </w:t>
      </w:r>
      <w:proofErr w:type="spellStart"/>
      <w:r>
        <w:rPr>
          <w:i/>
        </w:rPr>
        <w:t>Geografisk</w:t>
      </w:r>
      <w:proofErr w:type="spellEnd"/>
      <w:r>
        <w:rPr>
          <w:i/>
        </w:rPr>
        <w:t xml:space="preserve"> </w:t>
      </w:r>
      <w:proofErr w:type="spellStart"/>
      <w:r>
        <w:rPr>
          <w:i/>
        </w:rPr>
        <w:t>Tidsskrift</w:t>
      </w:r>
      <w:proofErr w:type="spellEnd"/>
      <w:r>
        <w:rPr>
          <w:i/>
        </w:rPr>
        <w:t>-Danish Journal of Geography,</w:t>
      </w:r>
      <w:r>
        <w:t xml:space="preserve"> 112</w:t>
      </w:r>
      <w:r>
        <w:rPr>
          <w:b/>
        </w:rPr>
        <w:t>,</w:t>
      </w:r>
      <w:r>
        <w:t xml:space="preserve"> 183-193. </w:t>
      </w:r>
    </w:p>
    <w:p w:rsidR="002116B0" w:rsidRDefault="00FF7F9F">
      <w:pPr>
        <w:spacing w:after="117"/>
        <w:ind w:left="1422" w:right="134" w:hanging="720"/>
      </w:pPr>
      <w:r>
        <w:t>CLAESSENS, L., ANTLE,</w:t>
      </w:r>
      <w:r>
        <w:t xml:space="preserve"> J. M., STOORVOGEL, J. J., VALDIVIA, R. O., THORNTON, P. K. &amp; HERRERO, M. 2012. A method for evaluating climate change adaptation strategies for small-scale farmers using survey, experimental and modeled data. </w:t>
      </w:r>
      <w:r>
        <w:rPr>
          <w:i/>
        </w:rPr>
        <w:t>Agricultural Systems,</w:t>
      </w:r>
      <w:r>
        <w:t xml:space="preserve"> 111</w:t>
      </w:r>
      <w:r>
        <w:rPr>
          <w:b/>
        </w:rPr>
        <w:t>,</w:t>
      </w:r>
      <w:r>
        <w:t xml:space="preserve"> 85-95. </w:t>
      </w:r>
    </w:p>
    <w:p w:rsidR="002116B0" w:rsidRDefault="00FF7F9F">
      <w:pPr>
        <w:spacing w:after="117"/>
        <w:ind w:left="1422" w:right="136" w:hanging="720"/>
      </w:pPr>
      <w:r>
        <w:t>CLAVEL, L.,</w:t>
      </w:r>
      <w:r>
        <w:t xml:space="preserve"> SOUDAIS, J., BAUDET, D. &amp; LEENHARDT, D. 2011. Integrating expert knowledge and quantitative information for mapping cropping systems. </w:t>
      </w:r>
      <w:r>
        <w:rPr>
          <w:i/>
        </w:rPr>
        <w:t>Land Use Policy,</w:t>
      </w:r>
      <w:r>
        <w:t xml:space="preserve"> 28</w:t>
      </w:r>
      <w:r>
        <w:rPr>
          <w:b/>
        </w:rPr>
        <w:t>,</w:t>
      </w:r>
      <w:r>
        <w:t xml:space="preserve"> 57-65. </w:t>
      </w:r>
    </w:p>
    <w:p w:rsidR="002116B0" w:rsidRDefault="00FF7F9F">
      <w:pPr>
        <w:ind w:left="1422" w:right="134" w:hanging="720"/>
      </w:pPr>
      <w:r>
        <w:t>CRANE, T. A., RONCOLI, C. &amp;</w:t>
      </w:r>
      <w:r>
        <w:t xml:space="preserve"> HOOGENBOOM, G. 2011. Adaptation to climate change and climate variability: The importance of understanding agriculture as performance. </w:t>
      </w:r>
      <w:r>
        <w:rPr>
          <w:i/>
        </w:rPr>
        <w:t xml:space="preserve">NJAS - </w:t>
      </w:r>
      <w:proofErr w:type="spellStart"/>
      <w:r>
        <w:rPr>
          <w:i/>
        </w:rPr>
        <w:t>Wageningen</w:t>
      </w:r>
      <w:proofErr w:type="spellEnd"/>
      <w:r>
        <w:rPr>
          <w:i/>
        </w:rPr>
        <w:t xml:space="preserve"> Journal of Life Sciences,</w:t>
      </w:r>
      <w:r>
        <w:t xml:space="preserve"> 57</w:t>
      </w:r>
      <w:r>
        <w:rPr>
          <w:b/>
        </w:rPr>
        <w:t>,</w:t>
      </w:r>
      <w:r>
        <w:t xml:space="preserve"> 179-185. </w:t>
      </w:r>
    </w:p>
    <w:p w:rsidR="002116B0" w:rsidRDefault="00FF7F9F">
      <w:pPr>
        <w:spacing w:after="117"/>
        <w:ind w:left="1422" w:right="138" w:hanging="720"/>
      </w:pPr>
      <w:r>
        <w:lastRenderedPageBreak/>
        <w:t xml:space="preserve">DAVIS, K., NKONYA, E., KATO, E., MEKONNEN, D. A., ODENDO, M., </w:t>
      </w:r>
      <w:r>
        <w:t xml:space="preserve">MIIRO, R. &amp; NKUBA, J. 2012. Impact of farmer field schools on agricultural productivity and poverty in East Africa. </w:t>
      </w:r>
      <w:r>
        <w:rPr>
          <w:i/>
        </w:rPr>
        <w:t>World Development,</w:t>
      </w:r>
      <w:r>
        <w:t xml:space="preserve"> 40</w:t>
      </w:r>
      <w:r>
        <w:rPr>
          <w:b/>
        </w:rPr>
        <w:t>,</w:t>
      </w:r>
      <w:r>
        <w:t xml:space="preserve"> 402-413. </w:t>
      </w:r>
    </w:p>
    <w:p w:rsidR="002116B0" w:rsidRDefault="00FF7F9F">
      <w:pPr>
        <w:spacing w:after="117"/>
        <w:ind w:left="1422" w:right="136" w:hanging="720"/>
      </w:pPr>
      <w:r>
        <w:t>DE PINTO, A., ROBERTSON, R. D. &amp; OBIRI, B. D. 2013. Adoption of climate change mitigation practices by risk</w:t>
      </w:r>
      <w:r>
        <w:t xml:space="preserve">-averse farmers in the Ashanti Region, Ghana. </w:t>
      </w:r>
      <w:r>
        <w:rPr>
          <w:i/>
        </w:rPr>
        <w:t>Ecological Economics,</w:t>
      </w:r>
      <w:r>
        <w:t xml:space="preserve"> 86</w:t>
      </w:r>
      <w:r>
        <w:rPr>
          <w:b/>
        </w:rPr>
        <w:t>,</w:t>
      </w:r>
      <w:r>
        <w:t xml:space="preserve"> 47-54. </w:t>
      </w:r>
    </w:p>
    <w:p w:rsidR="002116B0" w:rsidRDefault="00FF7F9F">
      <w:pPr>
        <w:spacing w:after="0"/>
        <w:ind w:left="712" w:right="10"/>
      </w:pPr>
      <w:r>
        <w:t xml:space="preserve">DERESSA, T. T., HASSAN, R. M., RINGLER, C., ALEMU, T. &amp; YESUF, M. 2009. </w:t>
      </w:r>
    </w:p>
    <w:p w:rsidR="002116B0" w:rsidRDefault="00FF7F9F">
      <w:pPr>
        <w:spacing w:after="117"/>
        <w:ind w:left="1432" w:right="10"/>
      </w:pPr>
      <w:r>
        <w:t xml:space="preserve">Determinants of farmers’ choice of adaptation methods to climate change in the Nile Basin of Ethiopia. </w:t>
      </w:r>
      <w:r>
        <w:rPr>
          <w:i/>
        </w:rPr>
        <w:t>Global Environmental Change,</w:t>
      </w:r>
      <w:r>
        <w:t xml:space="preserve"> 19</w:t>
      </w:r>
      <w:r>
        <w:rPr>
          <w:b/>
        </w:rPr>
        <w:t>,</w:t>
      </w:r>
      <w:r>
        <w:t xml:space="preserve"> 248-255. </w:t>
      </w:r>
    </w:p>
    <w:p w:rsidR="002116B0" w:rsidRDefault="00FF7F9F">
      <w:pPr>
        <w:spacing w:after="118"/>
        <w:ind w:left="1422" w:right="10" w:hanging="720"/>
      </w:pPr>
      <w:r>
        <w:t xml:space="preserve">DESSAI, S., HULME, M., LEMPERT, R. &amp; PIELKE JR, R. 2009. Climate prediction: a limit to adaptation. </w:t>
      </w:r>
      <w:r>
        <w:rPr>
          <w:i/>
        </w:rPr>
        <w:t>Adapting to climate change: thresholds, values, governance</w:t>
      </w:r>
      <w:r>
        <w:rPr>
          <w:b/>
        </w:rPr>
        <w:t>,</w:t>
      </w:r>
      <w:r>
        <w:t xml:space="preserve"> </w:t>
      </w:r>
      <w:proofErr w:type="gramStart"/>
      <w:r>
        <w:t>64</w:t>
      </w:r>
      <w:proofErr w:type="gramEnd"/>
      <w:r>
        <w:t xml:space="preserve">-78. </w:t>
      </w:r>
    </w:p>
    <w:p w:rsidR="002116B0" w:rsidRDefault="00FF7F9F">
      <w:pPr>
        <w:spacing w:after="117"/>
        <w:ind w:left="1422" w:right="131" w:hanging="720"/>
      </w:pPr>
      <w:r>
        <w:t>DI FALCO, S. 2014. Adaptation to climate chan</w:t>
      </w:r>
      <w:r>
        <w:t xml:space="preserve">ge in Sub-Saharan agriculture: assessing the evidence and rethinking the drivers. </w:t>
      </w:r>
      <w:r>
        <w:rPr>
          <w:i/>
        </w:rPr>
        <w:t>European Review of Agricultural Economics,</w:t>
      </w:r>
      <w:r>
        <w:t xml:space="preserve"> 41</w:t>
      </w:r>
      <w:r>
        <w:rPr>
          <w:b/>
        </w:rPr>
        <w:t>,</w:t>
      </w:r>
      <w:r>
        <w:t xml:space="preserve"> 405430. </w:t>
      </w:r>
    </w:p>
    <w:p w:rsidR="002116B0" w:rsidRDefault="00FF7F9F">
      <w:pPr>
        <w:spacing w:after="117"/>
        <w:ind w:left="1422" w:right="134" w:hanging="720"/>
      </w:pPr>
      <w:r>
        <w:t xml:space="preserve">ESTRADA, F., PAPYRAKIS, E., TOL, R. S. &amp; GAY-GARCIA, C. 2013. The economics of climate change in Mexico: implications </w:t>
      </w:r>
      <w:r>
        <w:t xml:space="preserve">for national/regional policy. </w:t>
      </w:r>
      <w:r>
        <w:rPr>
          <w:i/>
        </w:rPr>
        <w:t>Climate Policy,</w:t>
      </w:r>
      <w:r>
        <w:t xml:space="preserve"> 13</w:t>
      </w:r>
      <w:r>
        <w:rPr>
          <w:b/>
        </w:rPr>
        <w:t>,</w:t>
      </w:r>
      <w:r>
        <w:t xml:space="preserve"> 738-750. </w:t>
      </w:r>
    </w:p>
    <w:p w:rsidR="002116B0" w:rsidRDefault="00FF7F9F">
      <w:pPr>
        <w:spacing w:after="132" w:line="249" w:lineRule="auto"/>
        <w:ind w:left="687" w:right="120" w:firstLine="0"/>
      </w:pPr>
      <w:r>
        <w:t xml:space="preserve">FIELD, A. 2013. </w:t>
      </w:r>
      <w:r>
        <w:rPr>
          <w:i/>
        </w:rPr>
        <w:t>Discovering statistics using IBM SPSS statistics</w:t>
      </w:r>
      <w:r>
        <w:t xml:space="preserve">, Sage. </w:t>
      </w:r>
    </w:p>
    <w:p w:rsidR="002116B0" w:rsidRDefault="00FF7F9F">
      <w:pPr>
        <w:spacing w:after="132" w:line="249" w:lineRule="auto"/>
        <w:ind w:left="1417" w:right="120" w:hanging="730"/>
      </w:pPr>
      <w:r>
        <w:t xml:space="preserve">FIELD, C. B. 2012. </w:t>
      </w:r>
      <w:r>
        <w:rPr>
          <w:i/>
        </w:rPr>
        <w:t xml:space="preserve">Managing the risks of extreme events and disasters to advance climate change adaptation: Special report </w:t>
      </w:r>
      <w:r>
        <w:rPr>
          <w:i/>
        </w:rPr>
        <w:t>of the intergovernmental panel on climate change</w:t>
      </w:r>
      <w:r>
        <w:t xml:space="preserve">, Cambridge University Press. </w:t>
      </w:r>
    </w:p>
    <w:p w:rsidR="002116B0" w:rsidRDefault="00FF7F9F">
      <w:pPr>
        <w:spacing w:after="117"/>
        <w:ind w:left="1422" w:right="10" w:hanging="720"/>
      </w:pPr>
      <w:r>
        <w:t xml:space="preserve">GRIVETTI, L. E. &amp; OGLE, B. M. 2000. Value of traditional foods in meeting macro-and micronutrient needs: the wild plant connection. </w:t>
      </w:r>
      <w:r>
        <w:rPr>
          <w:i/>
        </w:rPr>
        <w:t>Nutrition Research Reviews,</w:t>
      </w:r>
      <w:r>
        <w:t xml:space="preserve"> 13</w:t>
      </w:r>
      <w:r>
        <w:rPr>
          <w:b/>
        </w:rPr>
        <w:t>,</w:t>
      </w:r>
      <w:r>
        <w:t xml:space="preserve"> 31-31. </w:t>
      </w:r>
    </w:p>
    <w:p w:rsidR="002116B0" w:rsidRDefault="00FF7F9F">
      <w:pPr>
        <w:spacing w:after="117"/>
        <w:ind w:left="1422" w:right="10" w:hanging="720"/>
      </w:pPr>
      <w:r>
        <w:t xml:space="preserve">GROTHMANN, T. &amp; PATT, A. 2005. Adaptive capacity and human cognition: the process of individual adaptation to climate change. </w:t>
      </w:r>
      <w:r>
        <w:rPr>
          <w:i/>
        </w:rPr>
        <w:t>Global Environmental Change,</w:t>
      </w:r>
      <w:r>
        <w:t xml:space="preserve"> 15</w:t>
      </w:r>
      <w:r>
        <w:rPr>
          <w:b/>
        </w:rPr>
        <w:t>,</w:t>
      </w:r>
      <w:r>
        <w:t xml:space="preserve"> 199-213. </w:t>
      </w:r>
    </w:p>
    <w:p w:rsidR="002116B0" w:rsidRDefault="00FF7F9F">
      <w:pPr>
        <w:spacing w:after="117"/>
        <w:ind w:left="1422" w:right="132" w:hanging="720"/>
      </w:pPr>
      <w:r>
        <w:t>GULATI, A., MINOT, N., DELGADO, C. &amp; BORA, S. 2007. Growth in High-Value Agriculture in</w:t>
      </w:r>
      <w:r>
        <w:t xml:space="preserve"> Asia and the Emergence of Vertical Links With. </w:t>
      </w:r>
      <w:r>
        <w:rPr>
          <w:i/>
        </w:rPr>
        <w:t>Global supply chains, standards and the poor</w:t>
      </w:r>
      <w:r>
        <w:rPr>
          <w:b/>
        </w:rPr>
        <w:t>,</w:t>
      </w:r>
      <w:r>
        <w:t xml:space="preserve"> 91-108. </w:t>
      </w:r>
    </w:p>
    <w:p w:rsidR="002116B0" w:rsidRDefault="00FF7F9F">
      <w:pPr>
        <w:spacing w:after="117"/>
        <w:ind w:left="1422" w:right="137" w:hanging="720"/>
      </w:pPr>
      <w:r>
        <w:t xml:space="preserve">HAIMING, L. &amp; WENLIN, Z. 2005. The Relationship between Principal Component Analysis and Factor Analysis and SPSS Software——To Discuss with Comrade Liu </w:t>
      </w:r>
      <w:proofErr w:type="spellStart"/>
      <w:r>
        <w:t>Y</w:t>
      </w:r>
      <w:r>
        <w:t>umei</w:t>
      </w:r>
      <w:proofErr w:type="spellEnd"/>
      <w:r>
        <w:t xml:space="preserve">, Lu </w:t>
      </w:r>
      <w:proofErr w:type="spellStart"/>
      <w:r>
        <w:t>Wendai</w:t>
      </w:r>
      <w:proofErr w:type="spellEnd"/>
      <w:r>
        <w:t xml:space="preserve"> </w:t>
      </w:r>
      <w:proofErr w:type="spellStart"/>
      <w:r>
        <w:t>etc</w:t>
      </w:r>
      <w:proofErr w:type="spellEnd"/>
      <w:r>
        <w:t xml:space="preserve"> [J]. </w:t>
      </w:r>
      <w:r>
        <w:rPr>
          <w:i/>
        </w:rPr>
        <w:t>Statistical Research,</w:t>
      </w:r>
      <w:r>
        <w:t xml:space="preserve"> 3</w:t>
      </w:r>
      <w:r>
        <w:rPr>
          <w:b/>
        </w:rPr>
        <w:t>,</w:t>
      </w:r>
      <w:r>
        <w:t xml:space="preserve"> 65-68. </w:t>
      </w:r>
    </w:p>
    <w:p w:rsidR="002116B0" w:rsidRDefault="00FF7F9F">
      <w:pPr>
        <w:spacing w:after="117"/>
        <w:ind w:left="1422" w:right="131" w:hanging="720"/>
      </w:pPr>
      <w:r>
        <w:t xml:space="preserve">HANSEN, J. W. &amp; INDEJE, M. 2004. Linking dynamic seasonal climate forecasts with crop simulation for maize yield prediction in semi-arid Kenya. </w:t>
      </w:r>
      <w:r>
        <w:rPr>
          <w:i/>
        </w:rPr>
        <w:t>Agricultural and Forest Meteorology,</w:t>
      </w:r>
      <w:r>
        <w:t xml:space="preserve"> 125</w:t>
      </w:r>
      <w:r>
        <w:rPr>
          <w:b/>
        </w:rPr>
        <w:t>,</w:t>
      </w:r>
      <w:r>
        <w:t xml:space="preserve"> 143-157. </w:t>
      </w:r>
    </w:p>
    <w:p w:rsidR="002116B0" w:rsidRDefault="00FF7F9F">
      <w:pPr>
        <w:spacing w:after="132" w:line="249" w:lineRule="auto"/>
        <w:ind w:left="687" w:right="120" w:firstLine="0"/>
      </w:pPr>
      <w:r>
        <w:t>HA</w:t>
      </w:r>
      <w:r>
        <w:t xml:space="preserve">RRIS, R. I. &amp; SOLLIS, R. 2003. </w:t>
      </w:r>
      <w:r>
        <w:rPr>
          <w:i/>
        </w:rPr>
        <w:t>Applied time series modelling and forecasting</w:t>
      </w:r>
      <w:r>
        <w:t xml:space="preserve">, J. Wiley. </w:t>
      </w:r>
    </w:p>
    <w:p w:rsidR="002116B0" w:rsidRDefault="00FF7F9F">
      <w:pPr>
        <w:spacing w:after="117"/>
        <w:ind w:left="1422" w:right="131" w:hanging="720"/>
      </w:pPr>
      <w:r>
        <w:t xml:space="preserve">HASSAN, R. 2010. The double challenge of adapting to climate change while accelerating development in sub-Saharan Africa. </w:t>
      </w:r>
      <w:r>
        <w:rPr>
          <w:i/>
        </w:rPr>
        <w:t>Environment and Development Economics,</w:t>
      </w:r>
      <w:r>
        <w:t xml:space="preserve"> 15</w:t>
      </w:r>
      <w:r>
        <w:rPr>
          <w:b/>
        </w:rPr>
        <w:t>,</w:t>
      </w:r>
      <w:r>
        <w:t xml:space="preserve"> 66</w:t>
      </w:r>
      <w:r>
        <w:t xml:space="preserve">1685. </w:t>
      </w:r>
    </w:p>
    <w:p w:rsidR="002116B0" w:rsidRDefault="00FF7F9F">
      <w:pPr>
        <w:ind w:left="1422" w:right="132" w:hanging="720"/>
      </w:pPr>
      <w:r>
        <w:lastRenderedPageBreak/>
        <w:t xml:space="preserve">HASSAN, R. &amp; NHEMACHENA, C. 2008. Determinants of African farmers’ strategies for adapting to climate change: Multinomial choice analysis. </w:t>
      </w:r>
      <w:r>
        <w:rPr>
          <w:i/>
        </w:rPr>
        <w:t>African Journal of Agricultural and Resource Economics,</w:t>
      </w:r>
      <w:r>
        <w:t xml:space="preserve"> 2</w:t>
      </w:r>
      <w:r>
        <w:rPr>
          <w:b/>
        </w:rPr>
        <w:t>,</w:t>
      </w:r>
      <w:r>
        <w:t xml:space="preserve"> 83-104. </w:t>
      </w:r>
    </w:p>
    <w:p w:rsidR="002116B0" w:rsidRDefault="00FF7F9F">
      <w:pPr>
        <w:spacing w:after="117"/>
        <w:ind w:left="1422" w:right="10" w:hanging="720"/>
      </w:pPr>
      <w:r>
        <w:t>HELTBERG, R., GITAY, H. &amp; PRABHU, R. G. 20</w:t>
      </w:r>
      <w:r>
        <w:t xml:space="preserve">12. Community-based adaptation: lessons from a grant competition. </w:t>
      </w:r>
      <w:r>
        <w:rPr>
          <w:i/>
        </w:rPr>
        <w:t>Climate Policy,</w:t>
      </w:r>
      <w:r>
        <w:t xml:space="preserve"> 12</w:t>
      </w:r>
      <w:r>
        <w:rPr>
          <w:b/>
        </w:rPr>
        <w:t>,</w:t>
      </w:r>
      <w:r>
        <w:t xml:space="preserve"> 143-163. </w:t>
      </w:r>
    </w:p>
    <w:p w:rsidR="002116B0" w:rsidRDefault="00FF7F9F">
      <w:pPr>
        <w:spacing w:after="117"/>
        <w:ind w:left="1422" w:right="10" w:hanging="720"/>
      </w:pPr>
      <w:r>
        <w:t xml:space="preserve">HILL, R. C., GRIFFITHS, W. E. &amp; LIM, G. C. 2008. </w:t>
      </w:r>
      <w:r>
        <w:rPr>
          <w:i/>
        </w:rPr>
        <w:t>Principles of econometrics</w:t>
      </w:r>
      <w:r>
        <w:t xml:space="preserve">, Wiley Hoboken, NJ. </w:t>
      </w:r>
    </w:p>
    <w:p w:rsidR="002116B0" w:rsidRDefault="00FF7F9F">
      <w:pPr>
        <w:spacing w:after="117"/>
        <w:ind w:left="1422" w:right="10" w:hanging="720"/>
      </w:pPr>
      <w:r>
        <w:t>HUANG, J.-K., JIANG, J., WANG, J.-X. &amp; HOU, L.-L. 2014. Crop Di</w:t>
      </w:r>
      <w:r>
        <w:t xml:space="preserve">versification in Coping with Extreme Weather Events in China. </w:t>
      </w:r>
      <w:r>
        <w:rPr>
          <w:i/>
        </w:rPr>
        <w:t>Journal of Integrative Agriculture,</w:t>
      </w:r>
      <w:r>
        <w:t xml:space="preserve"> 13</w:t>
      </w:r>
      <w:r>
        <w:rPr>
          <w:b/>
        </w:rPr>
        <w:t>,</w:t>
      </w:r>
      <w:r>
        <w:t xml:space="preserve"> 677-686. </w:t>
      </w:r>
    </w:p>
    <w:p w:rsidR="002116B0" w:rsidRDefault="00FF7F9F">
      <w:pPr>
        <w:spacing w:after="117"/>
        <w:ind w:left="1422" w:right="10" w:hanging="720"/>
      </w:pPr>
      <w:r>
        <w:t xml:space="preserve">IKEME, J. 2003. Climate Change </w:t>
      </w:r>
      <w:proofErr w:type="spellStart"/>
      <w:r>
        <w:t>Daaptational</w:t>
      </w:r>
      <w:proofErr w:type="spellEnd"/>
      <w:r>
        <w:t xml:space="preserve"> Deficiencies in Developing Countries: the Case of Sub-Saharan Africa. </w:t>
      </w:r>
      <w:r>
        <w:rPr>
          <w:i/>
        </w:rPr>
        <w:t>Mitigation and Adaptation Strategies for Global Change,</w:t>
      </w:r>
      <w:r>
        <w:t xml:space="preserve"> 8</w:t>
      </w:r>
      <w:r>
        <w:rPr>
          <w:b/>
        </w:rPr>
        <w:t>,</w:t>
      </w:r>
      <w:r>
        <w:t xml:space="preserve"> 29-52. </w:t>
      </w:r>
    </w:p>
    <w:p w:rsidR="002116B0" w:rsidRDefault="00FF7F9F">
      <w:pPr>
        <w:spacing w:after="118"/>
        <w:ind w:left="1422" w:right="10" w:hanging="720"/>
      </w:pPr>
      <w:r>
        <w:t xml:space="preserve">JAETZOLD, R. &amp; SCHMIDT, H. 1983. Farm management handbook of Kenya. </w:t>
      </w:r>
      <w:r>
        <w:rPr>
          <w:i/>
        </w:rPr>
        <w:t>Natural conditions and farm information,</w:t>
      </w:r>
      <w:r>
        <w:t xml:space="preserve"> 11. </w:t>
      </w:r>
    </w:p>
    <w:p w:rsidR="002116B0" w:rsidRDefault="00FF7F9F">
      <w:pPr>
        <w:spacing w:after="117"/>
        <w:ind w:left="1422" w:right="132" w:hanging="720"/>
      </w:pPr>
      <w:r>
        <w:t>JARVIS, A., LAU, C., COOK, S., WOLLENBERG, E., HANSEN, J., BONILLA, O. &amp; CH</w:t>
      </w:r>
      <w:r>
        <w:t xml:space="preserve">ALLINOR, A. 2011. An integrated adaptation and mitigation framework for developing agricultural research: synergies and trade-offs. </w:t>
      </w:r>
      <w:r>
        <w:rPr>
          <w:i/>
        </w:rPr>
        <w:t>Experimental Agriculture,</w:t>
      </w:r>
      <w:r>
        <w:t xml:space="preserve"> 47</w:t>
      </w:r>
      <w:r>
        <w:rPr>
          <w:b/>
        </w:rPr>
        <w:t>,</w:t>
      </w:r>
      <w:r>
        <w:t xml:space="preserve"> 185-203. </w:t>
      </w:r>
    </w:p>
    <w:p w:rsidR="002116B0" w:rsidRDefault="00FF7F9F">
      <w:pPr>
        <w:spacing w:after="134" w:line="249" w:lineRule="auto"/>
        <w:ind w:left="472"/>
        <w:jc w:val="center"/>
      </w:pPr>
      <w:r>
        <w:t>JONES, P. G. &amp;</w:t>
      </w:r>
      <w:r>
        <w:t xml:space="preserve"> THORNTON, P. K. 2009. Croppers to livestock keepers: livelihood transitions to 2050 in Africa due to climate change. </w:t>
      </w:r>
      <w:r>
        <w:rPr>
          <w:i/>
        </w:rPr>
        <w:t>Environmental Science &amp; Policy,</w:t>
      </w:r>
      <w:r>
        <w:t xml:space="preserve"> 12</w:t>
      </w:r>
      <w:r>
        <w:rPr>
          <w:b/>
        </w:rPr>
        <w:t>,</w:t>
      </w:r>
      <w:r>
        <w:t xml:space="preserve"> 427-437. </w:t>
      </w:r>
    </w:p>
    <w:p w:rsidR="002116B0" w:rsidRDefault="00FF7F9F">
      <w:pPr>
        <w:spacing w:after="117"/>
        <w:ind w:left="1422" w:right="134" w:hanging="720"/>
      </w:pPr>
      <w:r>
        <w:t>KABUBO-MARIARA, J. &amp; KARANJA, F. K. 2007. The economic impact of climate change on Kenyan cr</w:t>
      </w:r>
      <w:r>
        <w:t xml:space="preserve">op agriculture: A </w:t>
      </w:r>
      <w:proofErr w:type="spellStart"/>
      <w:r>
        <w:t>Ricardian</w:t>
      </w:r>
      <w:proofErr w:type="spellEnd"/>
      <w:r>
        <w:t xml:space="preserve"> approach. </w:t>
      </w:r>
      <w:r>
        <w:rPr>
          <w:i/>
        </w:rPr>
        <w:t>Global and Planetary Change,</w:t>
      </w:r>
      <w:r>
        <w:t xml:space="preserve"> 57</w:t>
      </w:r>
      <w:r>
        <w:rPr>
          <w:b/>
        </w:rPr>
        <w:t>,</w:t>
      </w:r>
      <w:r>
        <w:t xml:space="preserve"> 319330. </w:t>
      </w:r>
    </w:p>
    <w:p w:rsidR="002116B0" w:rsidRDefault="00FF7F9F">
      <w:pPr>
        <w:spacing w:after="117"/>
        <w:ind w:left="1422" w:right="139" w:hanging="720"/>
      </w:pPr>
      <w:r>
        <w:t xml:space="preserve">KANDULU, J. M., BRYAN, B. A., KING, D. &amp; CONNOR, J. D. 2012. Mitigating economic risk from climate variability in rain-fed agriculture through enterprise mix diversification. </w:t>
      </w:r>
      <w:r>
        <w:rPr>
          <w:i/>
        </w:rPr>
        <w:t>E</w:t>
      </w:r>
      <w:r>
        <w:rPr>
          <w:i/>
        </w:rPr>
        <w:t>cological Economics,</w:t>
      </w:r>
      <w:r>
        <w:t xml:space="preserve"> 79</w:t>
      </w:r>
      <w:r>
        <w:rPr>
          <w:b/>
        </w:rPr>
        <w:t>,</w:t>
      </w:r>
      <w:r>
        <w:t xml:space="preserve"> 105-112. </w:t>
      </w:r>
    </w:p>
    <w:p w:rsidR="002116B0" w:rsidRDefault="00FF7F9F">
      <w:pPr>
        <w:spacing w:after="117"/>
        <w:ind w:left="1422" w:right="10" w:hanging="720"/>
      </w:pPr>
      <w:r>
        <w:t xml:space="preserve">KIDD, A. D., LAMERS, J. P. A., FICARELLI, P. P. &amp; HOFFMANN, V. 2000. </w:t>
      </w:r>
      <w:proofErr w:type="spellStart"/>
      <w:r>
        <w:t>Privatising</w:t>
      </w:r>
      <w:proofErr w:type="spellEnd"/>
      <w:r>
        <w:t xml:space="preserve"> agricultural extension: caveat emptor. </w:t>
      </w:r>
      <w:r>
        <w:rPr>
          <w:i/>
        </w:rPr>
        <w:t>Journal of Rural Studies,</w:t>
      </w:r>
      <w:r>
        <w:t xml:space="preserve"> 16</w:t>
      </w:r>
      <w:r>
        <w:rPr>
          <w:b/>
        </w:rPr>
        <w:t>,</w:t>
      </w:r>
      <w:r>
        <w:t xml:space="preserve"> 95-102. </w:t>
      </w:r>
    </w:p>
    <w:p w:rsidR="002116B0" w:rsidRDefault="00FF7F9F">
      <w:pPr>
        <w:spacing w:after="117"/>
        <w:ind w:left="1422" w:right="131" w:hanging="720"/>
      </w:pPr>
      <w:r>
        <w:t>KISAKA-LWAYO, M. &amp; OBI, A. 2012. Risk perceptions and manageme</w:t>
      </w:r>
      <w:r>
        <w:t xml:space="preserve">nt strategies by smallholder farmers in KwaZulu-Natal Province, South Africa. </w:t>
      </w:r>
      <w:r>
        <w:rPr>
          <w:i/>
        </w:rPr>
        <w:t>International Journal of Agricultural Management,</w:t>
      </w:r>
      <w:r>
        <w:t xml:space="preserve"> 1</w:t>
      </w:r>
      <w:r>
        <w:rPr>
          <w:b/>
        </w:rPr>
        <w:t>,</w:t>
      </w:r>
      <w:r>
        <w:t xml:space="preserve"> 28-39. </w:t>
      </w:r>
    </w:p>
    <w:p w:rsidR="002116B0" w:rsidRDefault="00FF7F9F">
      <w:pPr>
        <w:spacing w:after="0"/>
        <w:ind w:left="712" w:right="10"/>
      </w:pPr>
      <w:r>
        <w:t xml:space="preserve">KURUKULASURIYA, P. &amp; MENDELSOHN, R. O. 2007. </w:t>
      </w:r>
      <w:r>
        <w:rPr>
          <w:i/>
        </w:rPr>
        <w:t>Crop Selection</w:t>
      </w:r>
      <w:r>
        <w:t xml:space="preserve">, World Bank </w:t>
      </w:r>
    </w:p>
    <w:p w:rsidR="002116B0" w:rsidRDefault="00FF7F9F">
      <w:pPr>
        <w:spacing w:after="114"/>
        <w:ind w:left="1432" w:right="10"/>
      </w:pPr>
      <w:r>
        <w:t xml:space="preserve">Publications. </w:t>
      </w:r>
    </w:p>
    <w:p w:rsidR="002116B0" w:rsidRDefault="00FF7F9F">
      <w:pPr>
        <w:spacing w:after="117"/>
        <w:ind w:left="1422" w:right="10" w:hanging="720"/>
      </w:pPr>
      <w:r>
        <w:t xml:space="preserve">LEWIS, K. &amp; WITHAM, C. 2012. </w:t>
      </w:r>
      <w:r>
        <w:t xml:space="preserve">Agricultural commodities and climate change. </w:t>
      </w:r>
      <w:r>
        <w:rPr>
          <w:i/>
        </w:rPr>
        <w:t>Climate Policy,</w:t>
      </w:r>
      <w:r>
        <w:t xml:space="preserve"> 12</w:t>
      </w:r>
      <w:r>
        <w:rPr>
          <w:b/>
        </w:rPr>
        <w:t>,</w:t>
      </w:r>
      <w:r>
        <w:t xml:space="preserve"> S53-S61. </w:t>
      </w:r>
    </w:p>
    <w:p w:rsidR="002116B0" w:rsidRDefault="00FF7F9F">
      <w:pPr>
        <w:spacing w:after="117"/>
        <w:ind w:left="1422" w:right="10" w:hanging="720"/>
      </w:pPr>
      <w:r>
        <w:t xml:space="preserve">LOVE, A., MAGNAN, N. &amp; COLSON, G. J. 2014. Male and Female Risk Preferences and Maize Technology Adoption in Kenya. </w:t>
      </w:r>
    </w:p>
    <w:p w:rsidR="002116B0" w:rsidRDefault="00FF7F9F">
      <w:pPr>
        <w:spacing w:after="0"/>
        <w:ind w:left="712" w:right="10"/>
      </w:pPr>
      <w:r>
        <w:t>MBOW, C., SMITH, P., SKOLE, D., DUGUMA, L. &amp; BUSTAMANTE, M. 2014</w:t>
      </w:r>
      <w:r>
        <w:t xml:space="preserve">a. Achieving </w:t>
      </w:r>
    </w:p>
    <w:p w:rsidR="002116B0" w:rsidRDefault="00FF7F9F">
      <w:pPr>
        <w:spacing w:after="117"/>
        <w:ind w:left="1432" w:right="10"/>
      </w:pPr>
      <w:proofErr w:type="gramStart"/>
      <w:r>
        <w:t>mitigation</w:t>
      </w:r>
      <w:proofErr w:type="gramEnd"/>
      <w:r>
        <w:t xml:space="preserve"> and adaptation to climate change through sustainable agroforestry practices in Africa. </w:t>
      </w:r>
      <w:r>
        <w:rPr>
          <w:i/>
        </w:rPr>
        <w:t>Current Opinion in Environmental Sustainability,</w:t>
      </w:r>
      <w:r>
        <w:t xml:space="preserve"> 6</w:t>
      </w:r>
      <w:r>
        <w:rPr>
          <w:b/>
        </w:rPr>
        <w:t>,</w:t>
      </w:r>
      <w:r>
        <w:t xml:space="preserve"> 8-14. </w:t>
      </w:r>
    </w:p>
    <w:p w:rsidR="002116B0" w:rsidRDefault="00FF7F9F">
      <w:pPr>
        <w:ind w:left="1422" w:right="139" w:hanging="720"/>
      </w:pPr>
      <w:r>
        <w:lastRenderedPageBreak/>
        <w:t xml:space="preserve">MBOW, C., VAN NOORDWIJK, M., LUEDELING, E., NEUFELDT, H., MINANG, P. A. &amp; KOWERO, G. </w:t>
      </w:r>
      <w:r>
        <w:t xml:space="preserve">2014b. Agroforestry solutions to address food security and climate change challenges in Africa. </w:t>
      </w:r>
      <w:r>
        <w:rPr>
          <w:i/>
        </w:rPr>
        <w:t>Current Opinion in Environmental Sustainability,</w:t>
      </w:r>
      <w:r>
        <w:t xml:space="preserve"> 6</w:t>
      </w:r>
      <w:r>
        <w:rPr>
          <w:b/>
        </w:rPr>
        <w:t>,</w:t>
      </w:r>
      <w:r>
        <w:t xml:space="preserve"> 61-67. </w:t>
      </w:r>
    </w:p>
    <w:p w:rsidR="002116B0" w:rsidRDefault="00FF7F9F">
      <w:pPr>
        <w:spacing w:after="117"/>
        <w:ind w:left="1422" w:right="136" w:hanging="720"/>
      </w:pPr>
      <w:r>
        <w:t>MERTZ, O., WADLEY, R. L. &amp;</w:t>
      </w:r>
      <w:r>
        <w:t xml:space="preserve"> CHRISTENSEN, A. E. 2005. Local land use strategies in a globalizing world: Subsistence farming, cash crops and income diversification. </w:t>
      </w:r>
      <w:r>
        <w:rPr>
          <w:i/>
        </w:rPr>
        <w:t>Agricultural Systems,</w:t>
      </w:r>
      <w:r>
        <w:t xml:space="preserve"> 85</w:t>
      </w:r>
      <w:r>
        <w:rPr>
          <w:b/>
        </w:rPr>
        <w:t>,</w:t>
      </w:r>
      <w:r>
        <w:t xml:space="preserve"> 209-215. </w:t>
      </w:r>
    </w:p>
    <w:p w:rsidR="002116B0" w:rsidRDefault="00FF7F9F">
      <w:pPr>
        <w:spacing w:after="117"/>
        <w:ind w:left="1422" w:right="138" w:hanging="720"/>
      </w:pPr>
      <w:r>
        <w:t>MEZA, F. J., SILVA, D. &amp; VIGIL, H. 2008. Climate change impacts on irrigated maize i</w:t>
      </w:r>
      <w:r>
        <w:t xml:space="preserve">n Mediterranean climates: Evaluation of double cropping as an emerging adaptation alternative. </w:t>
      </w:r>
      <w:r>
        <w:rPr>
          <w:i/>
        </w:rPr>
        <w:t>Agricultural Systems,</w:t>
      </w:r>
      <w:r>
        <w:t xml:space="preserve"> 98</w:t>
      </w:r>
      <w:r>
        <w:rPr>
          <w:b/>
        </w:rPr>
        <w:t>,</w:t>
      </w:r>
      <w:r>
        <w:t xml:space="preserve"> 21-30. </w:t>
      </w:r>
    </w:p>
    <w:p w:rsidR="002116B0" w:rsidRDefault="00FF7F9F">
      <w:pPr>
        <w:spacing w:after="132" w:line="249" w:lineRule="auto"/>
        <w:ind w:left="1417" w:right="120" w:hanging="730"/>
      </w:pPr>
      <w:r>
        <w:t xml:space="preserve">MOGAKA, H. 2006. </w:t>
      </w:r>
      <w:r>
        <w:rPr>
          <w:i/>
        </w:rPr>
        <w:t>Climate variability and water resources degradation in Kenya: improving water resources development and manage</w:t>
      </w:r>
      <w:r>
        <w:rPr>
          <w:i/>
        </w:rPr>
        <w:t>ment</w:t>
      </w:r>
      <w:r>
        <w:t xml:space="preserve">, World Bank Publications. </w:t>
      </w:r>
    </w:p>
    <w:p w:rsidR="002116B0" w:rsidRDefault="00FF7F9F">
      <w:pPr>
        <w:spacing w:after="118"/>
        <w:ind w:left="1422" w:right="10" w:hanging="720"/>
      </w:pPr>
      <w:r>
        <w:t xml:space="preserve">MOLUA, E. L. &amp; LAMBI, C. M. 2007. The economic impact of climate change on agriculture in Cameroon. </w:t>
      </w:r>
    </w:p>
    <w:p w:rsidR="002116B0" w:rsidRDefault="00FF7F9F">
      <w:pPr>
        <w:spacing w:after="117"/>
        <w:ind w:left="1422" w:right="10" w:hanging="720"/>
      </w:pPr>
      <w:r>
        <w:t xml:space="preserve">MOSER, S. C. 2010. Communicating climate change: history, challenges, process and future directions. </w:t>
      </w:r>
      <w:r>
        <w:rPr>
          <w:i/>
        </w:rPr>
        <w:t>Wiley Interdisciplinary Reviews: Climate Change,</w:t>
      </w:r>
      <w:r>
        <w:t xml:space="preserve"> 1</w:t>
      </w:r>
      <w:r>
        <w:rPr>
          <w:b/>
        </w:rPr>
        <w:t>,</w:t>
      </w:r>
      <w:r>
        <w:t xml:space="preserve"> 31-53. </w:t>
      </w:r>
    </w:p>
    <w:p w:rsidR="002116B0" w:rsidRDefault="00FF7F9F">
      <w:pPr>
        <w:spacing w:after="0"/>
        <w:ind w:left="712" w:right="10"/>
      </w:pPr>
      <w:r>
        <w:t xml:space="preserve">NDAMBIRI, H. K., RITHO, C. N. &amp; MBOGOH, S. G. 2013. AN EVALUATION OF </w:t>
      </w:r>
    </w:p>
    <w:p w:rsidR="002116B0" w:rsidRDefault="00FF7F9F">
      <w:pPr>
        <w:spacing w:after="117"/>
        <w:ind w:left="1432" w:right="136"/>
      </w:pPr>
      <w:r>
        <w:t xml:space="preserve">FARMERS’PERCEPTIONS OF AND ADAPTATION TO THE EFFECTS OF CLIMATE CHANGE IN KENYA. </w:t>
      </w:r>
      <w:r>
        <w:rPr>
          <w:i/>
        </w:rPr>
        <w:t>International Journal of Food and Agricultura</w:t>
      </w:r>
      <w:r>
        <w:rPr>
          <w:i/>
        </w:rPr>
        <w:t>l Economics (IJFAEC),</w:t>
      </w:r>
      <w:r>
        <w:t xml:space="preserve"> 1. </w:t>
      </w:r>
    </w:p>
    <w:p w:rsidR="002116B0" w:rsidRDefault="00FF7F9F">
      <w:pPr>
        <w:spacing w:after="117"/>
        <w:ind w:left="1422" w:right="10" w:hanging="720"/>
      </w:pPr>
      <w:r>
        <w:t xml:space="preserve">NGUGI, R. K. 2002. Climate forecast information: the status, needs and expectations among smallholder agro-pastoralists in </w:t>
      </w:r>
      <w:proofErr w:type="spellStart"/>
      <w:r>
        <w:t>Machakos</w:t>
      </w:r>
      <w:proofErr w:type="spellEnd"/>
      <w:r>
        <w:t xml:space="preserve"> District, Kenya. </w:t>
      </w:r>
    </w:p>
    <w:p w:rsidR="002116B0" w:rsidRDefault="00FF7F9F">
      <w:pPr>
        <w:spacing w:after="117"/>
        <w:ind w:left="1422" w:right="131" w:hanging="720"/>
      </w:pPr>
      <w:r>
        <w:t>OGUTU, J. O., PIEPHO, H. P., DUBLIN, H., BHOLA, N. &amp; REID, R. 2008. Rainfall inf</w:t>
      </w:r>
      <w:r>
        <w:t>luences on ungulate population abundance in the Mara</w:t>
      </w:r>
      <w:r>
        <w:rPr>
          <w:noProof/>
        </w:rPr>
        <w:drawing>
          <wp:inline distT="0" distB="0" distL="0" distR="0">
            <wp:extent cx="39624" cy="18288"/>
            <wp:effectExtent l="0" t="0" r="0" b="0"/>
            <wp:docPr id="59877" name="Picture 59877"/>
            <wp:cNvGraphicFramePr/>
            <a:graphic xmlns:a="http://schemas.openxmlformats.org/drawingml/2006/main">
              <a:graphicData uri="http://schemas.openxmlformats.org/drawingml/2006/picture">
                <pic:pic xmlns:pic="http://schemas.openxmlformats.org/drawingml/2006/picture">
                  <pic:nvPicPr>
                    <pic:cNvPr id="59877" name="Picture 59877"/>
                    <pic:cNvPicPr/>
                  </pic:nvPicPr>
                  <pic:blipFill>
                    <a:blip r:embed="rId95"/>
                    <a:stretch>
                      <a:fillRect/>
                    </a:stretch>
                  </pic:blipFill>
                  <pic:spPr>
                    <a:xfrm>
                      <a:off x="0" y="0"/>
                      <a:ext cx="39624" cy="18288"/>
                    </a:xfrm>
                    <a:prstGeom prst="rect">
                      <a:avLst/>
                    </a:prstGeom>
                  </pic:spPr>
                </pic:pic>
              </a:graphicData>
            </a:graphic>
          </wp:inline>
        </w:drawing>
      </w:r>
      <w:r>
        <w:t xml:space="preserve">Serengeti ecosystem. </w:t>
      </w:r>
      <w:r>
        <w:rPr>
          <w:i/>
        </w:rPr>
        <w:t>Journal of Animal Ecology,</w:t>
      </w:r>
      <w:r>
        <w:t xml:space="preserve"> 77</w:t>
      </w:r>
      <w:r>
        <w:rPr>
          <w:b/>
        </w:rPr>
        <w:t>,</w:t>
      </w:r>
      <w:r>
        <w:t xml:space="preserve"> 814-829. </w:t>
      </w:r>
    </w:p>
    <w:p w:rsidR="002116B0" w:rsidRDefault="00FF7F9F">
      <w:pPr>
        <w:spacing w:after="117"/>
        <w:ind w:left="1422" w:right="10" w:hanging="720"/>
      </w:pPr>
      <w:r>
        <w:t xml:space="preserve">OPPENHEIMER, M. 2013. Climate change impacts: accounting for the human response. </w:t>
      </w:r>
      <w:r>
        <w:rPr>
          <w:i/>
        </w:rPr>
        <w:t>Climatic Change,</w:t>
      </w:r>
      <w:r>
        <w:t xml:space="preserve"> 117</w:t>
      </w:r>
      <w:r>
        <w:rPr>
          <w:b/>
        </w:rPr>
        <w:t>,</w:t>
      </w:r>
      <w:r>
        <w:t xml:space="preserve"> 439-449. </w:t>
      </w:r>
    </w:p>
    <w:p w:rsidR="002116B0" w:rsidRDefault="00FF7F9F">
      <w:pPr>
        <w:spacing w:after="117"/>
        <w:ind w:left="1422" w:right="131" w:hanging="720"/>
      </w:pPr>
      <w:r>
        <w:t>OSBAHR, H., DORWARD, P., STE</w:t>
      </w:r>
      <w:r>
        <w:t xml:space="preserve">RN, R. &amp; COOPER, S. 2011. Supporting agricultural innovation in Uganda to respond to climate risk: linking climate change and variability with farmer perceptions. </w:t>
      </w:r>
      <w:r>
        <w:rPr>
          <w:i/>
        </w:rPr>
        <w:t>Experimental Agriculture,</w:t>
      </w:r>
      <w:r>
        <w:t xml:space="preserve"> 47</w:t>
      </w:r>
      <w:r>
        <w:rPr>
          <w:b/>
        </w:rPr>
        <w:t>,</w:t>
      </w:r>
      <w:r>
        <w:t xml:space="preserve"> 293-316. </w:t>
      </w:r>
    </w:p>
    <w:p w:rsidR="002116B0" w:rsidRDefault="00FF7F9F">
      <w:pPr>
        <w:spacing w:after="117"/>
        <w:ind w:left="1422" w:right="135" w:hanging="720"/>
      </w:pPr>
      <w:r>
        <w:t>PETTY, R. E., PRIESTER, J. R. &amp; BRINOL, P. 2002. Mass</w:t>
      </w:r>
      <w:r>
        <w:t xml:space="preserve"> media attitude change: Implications of the elaboration likelihood model of persuasion. </w:t>
      </w:r>
      <w:r>
        <w:rPr>
          <w:i/>
        </w:rPr>
        <w:t>Media effects: Advances in theory and research,</w:t>
      </w:r>
      <w:r>
        <w:t xml:space="preserve"> 2</w:t>
      </w:r>
      <w:r>
        <w:rPr>
          <w:b/>
        </w:rPr>
        <w:t>,</w:t>
      </w:r>
      <w:r>
        <w:t xml:space="preserve"> 155-198.2002. </w:t>
      </w:r>
    </w:p>
    <w:p w:rsidR="002116B0" w:rsidRDefault="00FF7F9F">
      <w:pPr>
        <w:spacing w:after="117"/>
        <w:ind w:left="1422" w:right="10" w:hanging="720"/>
      </w:pPr>
      <w:r>
        <w:t>PIDGEON, N. 2012. Public understanding of, and attitudes to, climate change: UK and international pers</w:t>
      </w:r>
      <w:r>
        <w:t xml:space="preserve">pectives and policy. </w:t>
      </w:r>
      <w:r>
        <w:rPr>
          <w:i/>
        </w:rPr>
        <w:t>Climate Policy,</w:t>
      </w:r>
      <w:r>
        <w:t xml:space="preserve"> 12</w:t>
      </w:r>
      <w:r>
        <w:rPr>
          <w:b/>
        </w:rPr>
        <w:t>,</w:t>
      </w:r>
      <w:r>
        <w:t xml:space="preserve"> S85-S106. </w:t>
      </w:r>
    </w:p>
    <w:p w:rsidR="002116B0" w:rsidRDefault="00FF7F9F">
      <w:pPr>
        <w:spacing w:after="117"/>
        <w:ind w:left="1422" w:right="133" w:hanging="720"/>
      </w:pPr>
      <w:r>
        <w:t xml:space="preserve">RAO, K., NDEGWA, W., KIZITO, K. &amp; OYOO, A. 2011. Climate variability and change: Farmer perceptions and understanding of intra-seasonal variability in rainfall and associated risk in semi-arid Kenya. </w:t>
      </w:r>
      <w:r>
        <w:rPr>
          <w:i/>
        </w:rPr>
        <w:t>Experimental agriculture,</w:t>
      </w:r>
      <w:r>
        <w:t xml:space="preserve"> 47</w:t>
      </w:r>
      <w:r>
        <w:rPr>
          <w:b/>
        </w:rPr>
        <w:t>,</w:t>
      </w:r>
      <w:r>
        <w:t xml:space="preserve"> 267-291. </w:t>
      </w:r>
    </w:p>
    <w:p w:rsidR="002116B0" w:rsidRDefault="00FF7F9F">
      <w:pPr>
        <w:spacing w:after="117"/>
        <w:ind w:left="1422" w:right="136" w:hanging="720"/>
      </w:pPr>
      <w:r>
        <w:lastRenderedPageBreak/>
        <w:t xml:space="preserve">RAYMOND, C. M. &amp; SPOEHR, J. 2013. The acceptability of climate change in agricultural communities: Comparing responses across variability and change. </w:t>
      </w:r>
      <w:r>
        <w:rPr>
          <w:i/>
        </w:rPr>
        <w:t>Journal of environmental management,</w:t>
      </w:r>
      <w:r>
        <w:t xml:space="preserve"> 115</w:t>
      </w:r>
      <w:r>
        <w:rPr>
          <w:b/>
        </w:rPr>
        <w:t>,</w:t>
      </w:r>
      <w:r>
        <w:t xml:space="preserve"> 69-77. </w:t>
      </w:r>
    </w:p>
    <w:p w:rsidR="002116B0" w:rsidRDefault="00FF7F9F">
      <w:pPr>
        <w:ind w:left="1422" w:right="136" w:hanging="720"/>
      </w:pPr>
      <w:r>
        <w:t>SEO, N., MENDELS</w:t>
      </w:r>
      <w:r>
        <w:t xml:space="preserve">OHN, R., KURUKULASURIYA, P., DINAR, A. &amp; HASSAN, R. 2008. Differential adaptation strategies to climate change in African cropland by agro-ecological zones. </w:t>
      </w:r>
    </w:p>
    <w:p w:rsidR="002116B0" w:rsidRDefault="00FF7F9F">
      <w:pPr>
        <w:spacing w:after="117"/>
        <w:ind w:left="1422" w:right="134" w:hanging="720"/>
      </w:pPr>
      <w:r>
        <w:t>SEO, S. N. 2011. A geographically scaled analysis of adaptation to climate change with spatial mod</w:t>
      </w:r>
      <w:r>
        <w:t xml:space="preserve">els using agricultural systems in Africa. </w:t>
      </w:r>
      <w:r>
        <w:rPr>
          <w:i/>
        </w:rPr>
        <w:t>The Journal of Agricultural Science,</w:t>
      </w:r>
      <w:r>
        <w:t xml:space="preserve"> 149</w:t>
      </w:r>
      <w:r>
        <w:rPr>
          <w:b/>
        </w:rPr>
        <w:t>,</w:t>
      </w:r>
      <w:r>
        <w:t xml:space="preserve"> 437-449. </w:t>
      </w:r>
    </w:p>
    <w:p w:rsidR="002116B0" w:rsidRDefault="00FF7F9F">
      <w:pPr>
        <w:spacing w:after="117"/>
        <w:ind w:left="1422" w:right="138" w:hanging="720"/>
      </w:pPr>
      <w:r>
        <w:t>SIETZ, D., BOSCHÜTZ, M., KLEIN, R. J. &amp; LOTSCH, A. 2008. Mainstreaming climate adaptation into development assistance in Mozambique: Institutional barriers and op</w:t>
      </w:r>
      <w:r>
        <w:t xml:space="preserve">portunities. </w:t>
      </w:r>
      <w:r>
        <w:rPr>
          <w:i/>
        </w:rPr>
        <w:t>World Bank Policy Research Working Paper Series, Vol</w:t>
      </w:r>
      <w:r>
        <w:t xml:space="preserve">. </w:t>
      </w:r>
    </w:p>
    <w:p w:rsidR="002116B0" w:rsidRDefault="00FF7F9F">
      <w:pPr>
        <w:spacing w:after="117"/>
        <w:ind w:left="1422" w:right="134" w:hanging="720"/>
      </w:pPr>
      <w:r>
        <w:t xml:space="preserve">SIMPSON, B. &amp; BURPEE, C. G. 2014. ADAPTATION UNDER THE “NEW NORMAL” OF CLIMATE CHANGE: THE FUTURE OF AGRICULTURAL EXTENSION AND ADVISORY SERVICES. </w:t>
      </w:r>
    </w:p>
    <w:p w:rsidR="002116B0" w:rsidRDefault="00FF7F9F">
      <w:pPr>
        <w:spacing w:after="118"/>
        <w:ind w:left="1422" w:right="133" w:hanging="720"/>
      </w:pPr>
      <w:r>
        <w:t>STEINER, K. G. 1982. Intercropping in tr</w:t>
      </w:r>
      <w:r>
        <w:t xml:space="preserve">opical smallholder agriculture with special reference to West Africa. </w:t>
      </w:r>
      <w:r>
        <w:rPr>
          <w:i/>
        </w:rPr>
        <w:t>Intercropping in tropical smallholder agriculture with special reference to West Africa</w:t>
      </w:r>
      <w:r>
        <w:t xml:space="preserve">. </w:t>
      </w:r>
    </w:p>
    <w:p w:rsidR="002116B0" w:rsidRDefault="00FF7F9F">
      <w:pPr>
        <w:spacing w:after="117"/>
        <w:ind w:left="1422" w:right="10" w:hanging="720"/>
      </w:pPr>
      <w:r>
        <w:t>STERN, R. &amp; COOPER, P. 2011. Assessing climate risk and climate change using rainfall data–a cas</w:t>
      </w:r>
      <w:r>
        <w:t xml:space="preserve">e study from Zambia. </w:t>
      </w:r>
      <w:r>
        <w:rPr>
          <w:i/>
        </w:rPr>
        <w:t>Experimental Agriculture,</w:t>
      </w:r>
      <w:r>
        <w:t xml:space="preserve"> 47</w:t>
      </w:r>
      <w:r>
        <w:rPr>
          <w:b/>
        </w:rPr>
        <w:t>,</w:t>
      </w:r>
      <w:r>
        <w:t xml:space="preserve"> 241-266. </w:t>
      </w:r>
    </w:p>
    <w:p w:rsidR="002116B0" w:rsidRDefault="00FF7F9F">
      <w:pPr>
        <w:spacing w:after="117"/>
        <w:ind w:left="1422" w:right="10" w:hanging="720"/>
      </w:pPr>
      <w:r>
        <w:t xml:space="preserve">STERN, R., RIJKS, D., DALE, I. &amp; KNOCK, J. 2006. INSTAT climatic guide. </w:t>
      </w:r>
      <w:r>
        <w:rPr>
          <w:i/>
        </w:rPr>
        <w:t>Reading (UK): University of Reading</w:t>
      </w:r>
      <w:r>
        <w:t xml:space="preserve">. </w:t>
      </w:r>
    </w:p>
    <w:p w:rsidR="002116B0" w:rsidRDefault="00FF7F9F">
      <w:pPr>
        <w:spacing w:after="118"/>
        <w:ind w:left="1422" w:right="10" w:hanging="720"/>
      </w:pPr>
      <w:r>
        <w:t xml:space="preserve">SUMBERG, J. 1998. Mixed farming in Africa: the search for order, the search for sustainability. </w:t>
      </w:r>
      <w:r>
        <w:rPr>
          <w:i/>
        </w:rPr>
        <w:t>Land Use Policy,</w:t>
      </w:r>
      <w:r>
        <w:t xml:space="preserve"> 15</w:t>
      </w:r>
      <w:r>
        <w:rPr>
          <w:b/>
        </w:rPr>
        <w:t>,</w:t>
      </w:r>
      <w:r>
        <w:t xml:space="preserve"> 293-317. </w:t>
      </w:r>
    </w:p>
    <w:p w:rsidR="002116B0" w:rsidRDefault="00FF7F9F">
      <w:pPr>
        <w:spacing w:after="118"/>
        <w:ind w:left="1422" w:right="10" w:hanging="720"/>
      </w:pPr>
      <w:r>
        <w:t xml:space="preserve">THARANATHAN, R. &amp; MAHADEVAMMA, S. 2003. Grain legumes—a boon to human nutrition. </w:t>
      </w:r>
      <w:r>
        <w:rPr>
          <w:i/>
        </w:rPr>
        <w:t>Trends in Food Science &amp; Technology,</w:t>
      </w:r>
      <w:r>
        <w:t xml:space="preserve"> 14</w:t>
      </w:r>
      <w:r>
        <w:rPr>
          <w:b/>
        </w:rPr>
        <w:t>,</w:t>
      </w:r>
      <w:r>
        <w:t xml:space="preserve"> 507-518</w:t>
      </w:r>
      <w:r>
        <w:t xml:space="preserve">. </w:t>
      </w:r>
    </w:p>
    <w:p w:rsidR="002116B0" w:rsidRDefault="00FF7F9F">
      <w:pPr>
        <w:spacing w:after="117"/>
        <w:ind w:left="1422" w:right="10" w:hanging="720"/>
      </w:pPr>
      <w:r>
        <w:t xml:space="preserve">THORNTON, P. K. &amp; HERRERO, M. 2014. Climate change adaptation in mixed crop–livestock systems in developing countries. </w:t>
      </w:r>
      <w:r>
        <w:rPr>
          <w:i/>
        </w:rPr>
        <w:t>Global Food Security,</w:t>
      </w:r>
      <w:r>
        <w:t xml:space="preserve"> 3</w:t>
      </w:r>
      <w:r>
        <w:rPr>
          <w:b/>
        </w:rPr>
        <w:t>,</w:t>
      </w:r>
      <w:r>
        <w:t xml:space="preserve"> 99-107. </w:t>
      </w:r>
    </w:p>
    <w:p w:rsidR="002116B0" w:rsidRDefault="00FF7F9F">
      <w:pPr>
        <w:spacing w:after="117"/>
        <w:ind w:left="1422" w:right="130" w:hanging="720"/>
      </w:pPr>
      <w:r>
        <w:t>THORNTON, P. K., JONES, P. G., ALAGARSWAMY, G., ANDRESEN, J. &amp; HERRERO, M. 2010. Adapting to climate</w:t>
      </w:r>
      <w:r>
        <w:t xml:space="preserve"> change: Agricultural system and household impacts in East Africa. </w:t>
      </w:r>
      <w:r>
        <w:rPr>
          <w:i/>
        </w:rPr>
        <w:t>Agricultural Systems,</w:t>
      </w:r>
      <w:r>
        <w:t xml:space="preserve"> 103</w:t>
      </w:r>
      <w:r>
        <w:rPr>
          <w:b/>
        </w:rPr>
        <w:t>,</w:t>
      </w:r>
      <w:r>
        <w:t xml:space="preserve"> 73-82. </w:t>
      </w:r>
    </w:p>
    <w:p w:rsidR="002116B0" w:rsidRDefault="00FF7F9F">
      <w:pPr>
        <w:spacing w:after="117"/>
        <w:ind w:left="1422" w:right="135" w:hanging="720"/>
      </w:pPr>
      <w:r>
        <w:t xml:space="preserve">TINGEM, M. &amp; RIVINGTON, M. 2009. Adaptation for crop agriculture to climate change in Cameroon: turning on the heat. </w:t>
      </w:r>
      <w:r>
        <w:rPr>
          <w:i/>
        </w:rPr>
        <w:t>Mitigation and Adaptation Strategies for Global Change,</w:t>
      </w:r>
      <w:r>
        <w:t xml:space="preserve"> 14</w:t>
      </w:r>
      <w:r>
        <w:rPr>
          <w:b/>
        </w:rPr>
        <w:t>,</w:t>
      </w:r>
      <w:r>
        <w:t xml:space="preserve"> 153-168. </w:t>
      </w:r>
    </w:p>
    <w:p w:rsidR="002116B0" w:rsidRDefault="00FF7F9F">
      <w:pPr>
        <w:spacing w:after="117"/>
        <w:ind w:left="1422" w:right="137" w:hanging="720"/>
      </w:pPr>
      <w:r>
        <w:t xml:space="preserve">WEBBER, H., GAISER, T. &amp; EWERT, F. 2014. What role can crop models play in supporting climate change adaptation decisions to enhance food security in Sub-Saharan Africa? </w:t>
      </w:r>
      <w:r>
        <w:rPr>
          <w:i/>
        </w:rPr>
        <w:t>Agricultural Sys</w:t>
      </w:r>
      <w:r>
        <w:rPr>
          <w:i/>
        </w:rPr>
        <w:t>tems,</w:t>
      </w:r>
      <w:r>
        <w:t xml:space="preserve"> 127</w:t>
      </w:r>
      <w:r>
        <w:rPr>
          <w:b/>
        </w:rPr>
        <w:t>,</w:t>
      </w:r>
      <w:r>
        <w:t xml:space="preserve"> 161-177. </w:t>
      </w:r>
    </w:p>
    <w:p w:rsidR="002116B0" w:rsidRDefault="00FF7F9F" w:rsidP="00AA00C2">
      <w:pPr>
        <w:spacing w:after="199"/>
        <w:ind w:left="1422" w:right="138" w:hanging="720"/>
      </w:pPr>
      <w:r>
        <w:lastRenderedPageBreak/>
        <w:t>YAN, S., DU, X., WU, F., LI, L., LI, C. &amp; MENG, Z. 2014. Proteomics insights into the basis of interspecific facilitation for maize (</w:t>
      </w:r>
      <w:proofErr w:type="spellStart"/>
      <w:r>
        <w:t>Zea</w:t>
      </w:r>
      <w:proofErr w:type="spellEnd"/>
      <w:r>
        <w:t xml:space="preserve"> mays) in </w:t>
      </w:r>
      <w:proofErr w:type="spellStart"/>
      <w:r>
        <w:t>faba</w:t>
      </w:r>
      <w:proofErr w:type="spellEnd"/>
      <w:r>
        <w:t xml:space="preserve"> bean (</w:t>
      </w:r>
      <w:proofErr w:type="spellStart"/>
      <w:r>
        <w:t>Vicia</w:t>
      </w:r>
      <w:proofErr w:type="spellEnd"/>
      <w:r>
        <w:t xml:space="preserve"> </w:t>
      </w:r>
      <w:proofErr w:type="spellStart"/>
      <w:r>
        <w:t>faba</w:t>
      </w:r>
      <w:proofErr w:type="spellEnd"/>
      <w:r>
        <w:t xml:space="preserve">)/maize intercropping. </w:t>
      </w:r>
      <w:r>
        <w:rPr>
          <w:i/>
        </w:rPr>
        <w:t>Journal of Proteomics,</w:t>
      </w:r>
      <w:r>
        <w:t xml:space="preserve"> 109</w:t>
      </w:r>
      <w:r>
        <w:rPr>
          <w:b/>
        </w:rPr>
        <w:t>,</w:t>
      </w:r>
      <w:r>
        <w:t xml:space="preserve"> 111-124. </w:t>
      </w:r>
    </w:p>
    <w:sectPr w:rsidR="002116B0">
      <w:headerReference w:type="even" r:id="rId96"/>
      <w:headerReference w:type="default" r:id="rId97"/>
      <w:footerReference w:type="even" r:id="rId98"/>
      <w:footerReference w:type="default" r:id="rId99"/>
      <w:headerReference w:type="first" r:id="rId100"/>
      <w:footerReference w:type="first" r:id="rId101"/>
      <w:pgSz w:w="11906" w:h="16838"/>
      <w:pgMar w:top="1440" w:right="574" w:bottom="83" w:left="1000" w:header="720" w:footer="108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7F9F" w:rsidRDefault="00FF7F9F">
      <w:pPr>
        <w:spacing w:after="0" w:line="240" w:lineRule="auto"/>
      </w:pPr>
      <w:r>
        <w:separator/>
      </w:r>
    </w:p>
  </w:endnote>
  <w:endnote w:type="continuationSeparator" w:id="0">
    <w:p w:rsidR="00FF7F9F" w:rsidRDefault="00FF7F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FF7F9F">
    <w:pPr>
      <w:spacing w:after="252" w:line="259" w:lineRule="auto"/>
      <w:ind w:left="0" w:right="5" w:firstLine="0"/>
      <w:jc w:val="center"/>
    </w:pPr>
    <w:r>
      <w:fldChar w:fldCharType="begin"/>
    </w:r>
    <w:r>
      <w:instrText xml:space="preserve"> PAGE   \* MERGEFORMAT </w:instrText>
    </w:r>
    <w:r>
      <w:fldChar w:fldCharType="separate"/>
    </w:r>
    <w:r w:rsidR="00AA00C2">
      <w:rPr>
        <w:noProof/>
      </w:rPr>
      <w:t>vi</w:t>
    </w:r>
    <w:r>
      <w:fldChar w:fldCharType="end"/>
    </w:r>
    <w:r>
      <w:t xml:space="preserve"> </w:t>
    </w:r>
  </w:p>
  <w:p w:rsidR="002116B0" w:rsidRDefault="00FF7F9F">
    <w:pPr>
      <w:spacing w:after="0" w:line="259" w:lineRule="auto"/>
      <w:ind w:left="0" w:firstLine="0"/>
      <w:jc w:val="lef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FF7F9F">
    <w:pPr>
      <w:spacing w:after="252" w:line="259" w:lineRule="auto"/>
      <w:ind w:left="0" w:firstLine="0"/>
      <w:jc w:val="center"/>
    </w:pPr>
    <w:r>
      <w:fldChar w:fldCharType="begin"/>
    </w:r>
    <w:r>
      <w:instrText xml:space="preserve"> PAGE   \* MERGEFORMAT </w:instrText>
    </w:r>
    <w:r>
      <w:fldChar w:fldCharType="separate"/>
    </w:r>
    <w:r w:rsidR="00AA00C2">
      <w:rPr>
        <w:noProof/>
      </w:rPr>
      <w:t>v</w:t>
    </w:r>
    <w:r>
      <w:fldChar w:fldCharType="end"/>
    </w:r>
    <w:r>
      <w:t xml:space="preserve"> </w:t>
    </w:r>
  </w:p>
  <w:p w:rsidR="002116B0" w:rsidRDefault="00FF7F9F">
    <w:pPr>
      <w:spacing w:after="0" w:line="259" w:lineRule="auto"/>
      <w:ind w:left="0" w:firstLine="0"/>
      <w:jc w:val="lef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FF7F9F">
    <w:pPr>
      <w:spacing w:after="252" w:line="259" w:lineRule="auto"/>
      <w:ind w:left="0" w:right="5" w:firstLine="0"/>
      <w:jc w:val="center"/>
    </w:pPr>
    <w:r>
      <w:fldChar w:fldCharType="begin"/>
    </w:r>
    <w:r>
      <w:instrText xml:space="preserve"> PAGE   \* MERGEFORMAT </w:instrText>
    </w:r>
    <w:r>
      <w:fldChar w:fldCharType="separate"/>
    </w:r>
    <w:r w:rsidR="00AA00C2">
      <w:rPr>
        <w:noProof/>
      </w:rPr>
      <w:t>i</w:t>
    </w:r>
    <w:r>
      <w:fldChar w:fldCharType="end"/>
    </w:r>
    <w:r>
      <w:t xml:space="preserve"> </w:t>
    </w:r>
  </w:p>
  <w:p w:rsidR="002116B0" w:rsidRDefault="00FF7F9F">
    <w:pPr>
      <w:spacing w:after="0" w:line="259" w:lineRule="auto"/>
      <w:ind w:left="0" w:firstLine="0"/>
      <w:jc w:val="lef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FF7F9F">
    <w:pPr>
      <w:spacing w:after="252" w:line="259" w:lineRule="auto"/>
      <w:ind w:left="0" w:right="434" w:firstLine="0"/>
      <w:jc w:val="center"/>
    </w:pPr>
    <w:r>
      <w:fldChar w:fldCharType="begin"/>
    </w:r>
    <w:r>
      <w:instrText xml:space="preserve"> PAGE   \* MERGEFORMAT </w:instrText>
    </w:r>
    <w:r>
      <w:fldChar w:fldCharType="separate"/>
    </w:r>
    <w:r w:rsidR="00AA00C2">
      <w:rPr>
        <w:noProof/>
      </w:rPr>
      <w:t>14</w:t>
    </w:r>
    <w:r>
      <w:fldChar w:fldCharType="end"/>
    </w:r>
    <w:r>
      <w:t xml:space="preserve"> </w:t>
    </w:r>
  </w:p>
  <w:p w:rsidR="002116B0" w:rsidRDefault="00FF7F9F">
    <w:pPr>
      <w:spacing w:after="0" w:line="259" w:lineRule="auto"/>
      <w:ind w:left="0" w:firstLine="0"/>
      <w:jc w:val="lef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FF7F9F">
    <w:pPr>
      <w:spacing w:after="252" w:line="259" w:lineRule="auto"/>
      <w:ind w:left="0" w:right="434" w:firstLine="0"/>
      <w:jc w:val="center"/>
    </w:pPr>
    <w:r>
      <w:fldChar w:fldCharType="begin"/>
    </w:r>
    <w:r>
      <w:instrText xml:space="preserve"> PAGE   \* MERGEFORMAT </w:instrText>
    </w:r>
    <w:r>
      <w:fldChar w:fldCharType="separate"/>
    </w:r>
    <w:r w:rsidR="00AA00C2">
      <w:rPr>
        <w:noProof/>
      </w:rPr>
      <w:t>15</w:t>
    </w:r>
    <w:r>
      <w:fldChar w:fldCharType="end"/>
    </w:r>
    <w:r>
      <w:t xml:space="preserve"> </w:t>
    </w:r>
  </w:p>
  <w:p w:rsidR="002116B0" w:rsidRDefault="00FF7F9F">
    <w:pPr>
      <w:spacing w:after="0" w:line="259" w:lineRule="auto"/>
      <w:ind w:left="0" w:firstLine="0"/>
      <w:jc w:val="lef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FF7F9F">
    <w:pPr>
      <w:spacing w:after="252" w:line="259" w:lineRule="auto"/>
      <w:ind w:left="0" w:right="434" w:firstLine="0"/>
      <w:jc w:val="center"/>
    </w:pPr>
    <w:r>
      <w:fldChar w:fldCharType="begin"/>
    </w:r>
    <w:r>
      <w:instrText xml:space="preserve"> PAGE   \* MERGEFORMAT </w:instrText>
    </w:r>
    <w:r>
      <w:fldChar w:fldCharType="separate"/>
    </w:r>
    <w:r>
      <w:t>1</w:t>
    </w:r>
    <w:r>
      <w:fldChar w:fldCharType="end"/>
    </w:r>
    <w:r>
      <w:t xml:space="preserve"> </w:t>
    </w:r>
  </w:p>
  <w:p w:rsidR="002116B0" w:rsidRDefault="00FF7F9F">
    <w:pPr>
      <w:spacing w:after="0" w:line="259" w:lineRule="auto"/>
      <w:ind w:left="0" w:firstLine="0"/>
      <w:jc w:val="lef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FF7F9F">
    <w:pPr>
      <w:spacing w:after="252" w:line="259" w:lineRule="auto"/>
      <w:ind w:left="0" w:right="706" w:firstLine="0"/>
      <w:jc w:val="center"/>
    </w:pPr>
    <w:r>
      <w:fldChar w:fldCharType="begin"/>
    </w:r>
    <w:r>
      <w:instrText xml:space="preserve"> PAGE   \* MERGEFORMAT </w:instrText>
    </w:r>
    <w:r>
      <w:fldChar w:fldCharType="separate"/>
    </w:r>
    <w:r w:rsidR="00AA00C2">
      <w:rPr>
        <w:noProof/>
      </w:rPr>
      <w:t>32</w:t>
    </w:r>
    <w:r>
      <w:fldChar w:fldCharType="end"/>
    </w:r>
    <w:r>
      <w:t xml:space="preserve"> </w:t>
    </w:r>
  </w:p>
  <w:p w:rsidR="002116B0" w:rsidRDefault="00FF7F9F">
    <w:pPr>
      <w:spacing w:after="0" w:line="259" w:lineRule="auto"/>
      <w:ind w:left="0" w:firstLine="0"/>
      <w:jc w:val="left"/>
    </w:pPr>
    <w:r>
      <w:t xml:space="preserve"> </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FF7F9F">
    <w:pPr>
      <w:spacing w:after="252" w:line="259" w:lineRule="auto"/>
      <w:ind w:left="0" w:right="706" w:firstLine="0"/>
      <w:jc w:val="center"/>
    </w:pPr>
    <w:r>
      <w:fldChar w:fldCharType="begin"/>
    </w:r>
    <w:r>
      <w:instrText xml:space="preserve"> PAGE   \* MERGEFORMAT </w:instrText>
    </w:r>
    <w:r>
      <w:fldChar w:fldCharType="separate"/>
    </w:r>
    <w:r w:rsidR="00AA00C2">
      <w:rPr>
        <w:noProof/>
      </w:rPr>
      <w:t>33</w:t>
    </w:r>
    <w:r>
      <w:fldChar w:fldCharType="end"/>
    </w:r>
    <w:r>
      <w:t xml:space="preserve"> </w:t>
    </w:r>
  </w:p>
  <w:p w:rsidR="002116B0" w:rsidRDefault="00FF7F9F">
    <w:pPr>
      <w:spacing w:after="0" w:line="259" w:lineRule="auto"/>
      <w:ind w:left="0" w:firstLine="0"/>
      <w:jc w:val="left"/>
    </w:pPr>
    <w:r>
      <w:t xml:space="preserve"> </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FF7F9F">
    <w:pPr>
      <w:spacing w:after="252" w:line="259" w:lineRule="auto"/>
      <w:ind w:left="0" w:right="706" w:firstLine="0"/>
      <w:jc w:val="center"/>
    </w:pPr>
    <w:r>
      <w:fldChar w:fldCharType="begin"/>
    </w:r>
    <w:r>
      <w:instrText xml:space="preserve"> PAGE   \* MERGEFORMAT </w:instrText>
    </w:r>
    <w:r>
      <w:fldChar w:fldCharType="separate"/>
    </w:r>
    <w:r>
      <w:t>1</w:t>
    </w:r>
    <w:r>
      <w:fldChar w:fldCharType="end"/>
    </w:r>
    <w:r>
      <w:t xml:space="preserve"> </w:t>
    </w:r>
  </w:p>
  <w:p w:rsidR="002116B0" w:rsidRDefault="00FF7F9F">
    <w:pPr>
      <w:spacing w:after="0" w:line="259" w:lineRule="auto"/>
      <w:ind w:left="0" w:firstLine="0"/>
      <w:jc w:val="left"/>
    </w:pPr>
    <w:r>
      <w:t xml:space="preserve"> </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FF7F9F">
    <w:pPr>
      <w:spacing w:after="252" w:line="259" w:lineRule="auto"/>
      <w:ind w:left="0" w:right="4" w:firstLine="0"/>
      <w:jc w:val="center"/>
    </w:pPr>
    <w:r>
      <w:fldChar w:fldCharType="begin"/>
    </w:r>
    <w:r>
      <w:instrText xml:space="preserve"> PAGE   \* MERGEFORMAT </w:instrText>
    </w:r>
    <w:r>
      <w:fldChar w:fldCharType="separate"/>
    </w:r>
    <w:r w:rsidR="00AA00C2">
      <w:rPr>
        <w:noProof/>
      </w:rPr>
      <w:t>52</w:t>
    </w:r>
    <w:r>
      <w:fldChar w:fldCharType="end"/>
    </w:r>
    <w:r>
      <w:t xml:space="preserve"> </w:t>
    </w:r>
  </w:p>
  <w:p w:rsidR="002116B0" w:rsidRDefault="00FF7F9F">
    <w:pPr>
      <w:spacing w:after="0" w:line="259" w:lineRule="auto"/>
      <w:ind w:left="0" w:firstLine="0"/>
      <w:jc w:val="left"/>
    </w:pPr>
    <w:r>
      <w:t xml:space="preserve"> </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FF7F9F">
    <w:pPr>
      <w:spacing w:after="252" w:line="259" w:lineRule="auto"/>
      <w:ind w:left="0" w:right="4" w:firstLine="0"/>
      <w:jc w:val="center"/>
    </w:pPr>
    <w:r>
      <w:fldChar w:fldCharType="begin"/>
    </w:r>
    <w:r>
      <w:instrText xml:space="preserve"> PAGE   \* MERGEFORMAT </w:instrText>
    </w:r>
    <w:r>
      <w:fldChar w:fldCharType="separate"/>
    </w:r>
    <w:r w:rsidR="00AA00C2">
      <w:rPr>
        <w:noProof/>
      </w:rPr>
      <w:t>55</w:t>
    </w:r>
    <w:r>
      <w:fldChar w:fldCharType="end"/>
    </w:r>
    <w:r>
      <w:t xml:space="preserve"> </w:t>
    </w:r>
  </w:p>
  <w:p w:rsidR="002116B0" w:rsidRDefault="00FF7F9F">
    <w:pPr>
      <w:spacing w:after="0" w:line="259" w:lineRule="auto"/>
      <w:ind w:left="0" w:firstLine="0"/>
      <w:jc w:val="left"/>
    </w:pPr>
    <w:r>
      <w:t xml:space="preserve"> </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FF7F9F">
    <w:pPr>
      <w:spacing w:after="252" w:line="259" w:lineRule="auto"/>
      <w:ind w:left="0" w:right="4" w:firstLine="0"/>
      <w:jc w:val="center"/>
    </w:pPr>
    <w:r>
      <w:fldChar w:fldCharType="begin"/>
    </w:r>
    <w:r>
      <w:instrText xml:space="preserve"> PAGE   \* MERGEFORMAT </w:instrText>
    </w:r>
    <w:r>
      <w:fldChar w:fldCharType="separate"/>
    </w:r>
    <w:r>
      <w:t>51</w:t>
    </w:r>
    <w:r>
      <w:fldChar w:fldCharType="end"/>
    </w:r>
    <w:r>
      <w:t xml:space="preserve"> </w:t>
    </w:r>
  </w:p>
  <w:p w:rsidR="002116B0" w:rsidRDefault="00FF7F9F">
    <w:pPr>
      <w:spacing w:after="0" w:line="259" w:lineRule="auto"/>
      <w:ind w:left="0" w:firstLine="0"/>
      <w:jc w:val="left"/>
    </w:pPr>
    <w:r>
      <w:t xml:space="preserve"> </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FF7F9F">
    <w:pPr>
      <w:spacing w:after="252" w:line="259" w:lineRule="auto"/>
      <w:ind w:left="568" w:firstLine="0"/>
      <w:jc w:val="center"/>
    </w:pPr>
    <w:r>
      <w:fldChar w:fldCharType="begin"/>
    </w:r>
    <w:r>
      <w:instrText xml:space="preserve"> PAGE   \* MERGEFORMAT </w:instrText>
    </w:r>
    <w:r>
      <w:fldChar w:fldCharType="separate"/>
    </w:r>
    <w:r w:rsidR="00AA00C2">
      <w:rPr>
        <w:noProof/>
      </w:rPr>
      <w:t>70</w:t>
    </w:r>
    <w:r>
      <w:fldChar w:fldCharType="end"/>
    </w:r>
    <w:r>
      <w:t xml:space="preserve"> </w:t>
    </w:r>
  </w:p>
  <w:p w:rsidR="002116B0" w:rsidRDefault="00FF7F9F">
    <w:pPr>
      <w:spacing w:after="0" w:line="259" w:lineRule="auto"/>
      <w:ind w:left="702" w:firstLine="0"/>
      <w:jc w:val="left"/>
    </w:pPr>
    <w:r>
      <w:t xml:space="preserve"> </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FF7F9F">
    <w:pPr>
      <w:spacing w:after="252" w:line="259" w:lineRule="auto"/>
      <w:ind w:left="568" w:firstLine="0"/>
      <w:jc w:val="center"/>
    </w:pPr>
    <w:r>
      <w:fldChar w:fldCharType="begin"/>
    </w:r>
    <w:r>
      <w:instrText xml:space="preserve"> PAGE   \* MERGEFORMAT </w:instrText>
    </w:r>
    <w:r>
      <w:fldChar w:fldCharType="separate"/>
    </w:r>
    <w:r w:rsidR="00AA00C2">
      <w:rPr>
        <w:noProof/>
      </w:rPr>
      <w:t>65</w:t>
    </w:r>
    <w:r>
      <w:fldChar w:fldCharType="end"/>
    </w:r>
    <w:r>
      <w:t xml:space="preserve"> </w:t>
    </w:r>
  </w:p>
  <w:p w:rsidR="002116B0" w:rsidRDefault="00FF7F9F">
    <w:pPr>
      <w:spacing w:after="0" w:line="259" w:lineRule="auto"/>
      <w:ind w:left="702" w:firstLine="0"/>
      <w:jc w:val="left"/>
    </w:pPr>
    <w:r>
      <w:t xml:space="preserve"> </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FF7F9F">
    <w:pPr>
      <w:spacing w:after="252" w:line="259" w:lineRule="auto"/>
      <w:ind w:left="568" w:firstLine="0"/>
      <w:jc w:val="center"/>
    </w:pPr>
    <w:r>
      <w:fldChar w:fldCharType="begin"/>
    </w:r>
    <w:r>
      <w:instrText xml:space="preserve"> PAGE   \* MERGEFORMAT </w:instrText>
    </w:r>
    <w:r>
      <w:fldChar w:fldCharType="separate"/>
    </w:r>
    <w:r>
      <w:t>51</w:t>
    </w:r>
    <w:r>
      <w:fldChar w:fldCharType="end"/>
    </w:r>
    <w:r>
      <w:t xml:space="preserve"> </w:t>
    </w:r>
  </w:p>
  <w:p w:rsidR="002116B0" w:rsidRDefault="00FF7F9F">
    <w:pPr>
      <w:spacing w:after="0" w:line="259" w:lineRule="auto"/>
      <w:ind w:left="702" w:firstLine="0"/>
      <w:jc w:val="lef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7F9F" w:rsidRDefault="00FF7F9F">
      <w:pPr>
        <w:spacing w:after="0" w:line="240" w:lineRule="auto"/>
      </w:pPr>
      <w:r>
        <w:separator/>
      </w:r>
    </w:p>
  </w:footnote>
  <w:footnote w:type="continuationSeparator" w:id="0">
    <w:p w:rsidR="00FF7F9F" w:rsidRDefault="00FF7F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FF7F9F">
    <w:pPr>
      <w:spacing w:after="0" w:line="259" w:lineRule="auto"/>
      <w:ind w:left="684" w:firstLine="0"/>
      <w:jc w:val="left"/>
    </w:pPr>
    <w:r>
      <w:fldChar w:fldCharType="begin"/>
    </w:r>
    <w:r>
      <w:instrText xml:space="preserve"> PAGE   \* MERGEFORMAT </w:instrText>
    </w:r>
    <w:r>
      <w:fldChar w:fldCharType="separate"/>
    </w:r>
    <w:r w:rsidR="00AA00C2">
      <w:rPr>
        <w:noProof/>
      </w:rPr>
      <w:t>4</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FF7F9F">
    <w:pPr>
      <w:spacing w:after="0" w:line="259" w:lineRule="auto"/>
      <w:ind w:left="684" w:firstLine="0"/>
      <w:jc w:val="left"/>
    </w:pPr>
    <w:r>
      <w:fldChar w:fldCharType="begin"/>
    </w:r>
    <w:r>
      <w:instrText xml:space="preserve"> PAGE   \* MERGEFORMAT </w:instrText>
    </w:r>
    <w:r>
      <w:fldChar w:fldCharType="separate"/>
    </w:r>
    <w:r w:rsidR="00AA00C2">
      <w:rPr>
        <w:noProof/>
      </w:rPr>
      <w:t>5</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FF7F9F">
    <w:pPr>
      <w:spacing w:after="0" w:line="259" w:lineRule="auto"/>
      <w:ind w:left="684" w:firstLine="0"/>
      <w:jc w:val="left"/>
    </w:pPr>
    <w:r>
      <w:fldChar w:fldCharType="begin"/>
    </w:r>
    <w:r>
      <w:instrText xml:space="preserve"> PAGE   \* MERGEFORMAT </w:instrText>
    </w:r>
    <w:r>
      <w:fldChar w:fldCharType="separate"/>
    </w:r>
    <w:r>
      <w:t>3</w:t>
    </w:r>
    <w:r>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6B0" w:rsidRDefault="002116B0">
    <w:pPr>
      <w:spacing w:after="160" w:line="259" w:lineRule="auto"/>
      <w:ind w:lef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3E7BCE"/>
    <w:multiLevelType w:val="hybridMultilevel"/>
    <w:tmpl w:val="CB9E0B9C"/>
    <w:lvl w:ilvl="0" w:tplc="BC28DD5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C3A491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06401F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4ECED2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8601F8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398E1E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646645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F22C8F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F3898A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nsid w:val="130D18F2"/>
    <w:multiLevelType w:val="hybridMultilevel"/>
    <w:tmpl w:val="3ECC9C34"/>
    <w:lvl w:ilvl="0" w:tplc="24A06F36">
      <w:start w:val="17"/>
      <w:numFmt w:val="decimal"/>
      <w:lvlText w:val="%1."/>
      <w:lvlJc w:val="left"/>
      <w:pPr>
        <w:ind w:left="14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A2A614">
      <w:start w:val="1"/>
      <w:numFmt w:val="lowerLetter"/>
      <w:lvlText w:val="%2"/>
      <w:lvlJc w:val="left"/>
      <w:pPr>
        <w:ind w:left="1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7CAC310">
      <w:start w:val="1"/>
      <w:numFmt w:val="lowerRoman"/>
      <w:lvlText w:val="%3"/>
      <w:lvlJc w:val="left"/>
      <w:pPr>
        <w:ind w:left="18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AA67FE">
      <w:start w:val="1"/>
      <w:numFmt w:val="decimal"/>
      <w:lvlText w:val="%4"/>
      <w:lvlJc w:val="left"/>
      <w:pPr>
        <w:ind w:left="25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D8E00C6">
      <w:start w:val="1"/>
      <w:numFmt w:val="lowerLetter"/>
      <w:lvlText w:val="%5"/>
      <w:lvlJc w:val="left"/>
      <w:pPr>
        <w:ind w:left="32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2B4E7B6">
      <w:start w:val="1"/>
      <w:numFmt w:val="lowerRoman"/>
      <w:lvlText w:val="%6"/>
      <w:lvlJc w:val="left"/>
      <w:pPr>
        <w:ind w:left="40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D501ED4">
      <w:start w:val="1"/>
      <w:numFmt w:val="decimal"/>
      <w:lvlText w:val="%7"/>
      <w:lvlJc w:val="left"/>
      <w:pPr>
        <w:ind w:left="47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A34F146">
      <w:start w:val="1"/>
      <w:numFmt w:val="lowerLetter"/>
      <w:lvlText w:val="%8"/>
      <w:lvlJc w:val="left"/>
      <w:pPr>
        <w:ind w:left="54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4488E78">
      <w:start w:val="1"/>
      <w:numFmt w:val="lowerRoman"/>
      <w:lvlText w:val="%9"/>
      <w:lvlJc w:val="left"/>
      <w:pPr>
        <w:ind w:left="61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1FAA0196"/>
    <w:multiLevelType w:val="hybridMultilevel"/>
    <w:tmpl w:val="2A0C646C"/>
    <w:lvl w:ilvl="0" w:tplc="E23CB2D8">
      <w:numFmt w:val="decimal"/>
      <w:lvlText w:val="%1"/>
      <w:lvlJc w:val="left"/>
      <w:pPr>
        <w:ind w:left="5155"/>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7D6638D4">
      <w:start w:val="1"/>
      <w:numFmt w:val="lowerLetter"/>
      <w:lvlText w:val="%2"/>
      <w:lvlJc w:val="left"/>
      <w:pPr>
        <w:ind w:left="125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A704EB8A">
      <w:start w:val="1"/>
      <w:numFmt w:val="lowerRoman"/>
      <w:lvlText w:val="%3"/>
      <w:lvlJc w:val="left"/>
      <w:pPr>
        <w:ind w:left="197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98301144">
      <w:start w:val="1"/>
      <w:numFmt w:val="decimal"/>
      <w:lvlText w:val="%4"/>
      <w:lvlJc w:val="left"/>
      <w:pPr>
        <w:ind w:left="269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D39A6CDA">
      <w:start w:val="1"/>
      <w:numFmt w:val="lowerLetter"/>
      <w:lvlText w:val="%5"/>
      <w:lvlJc w:val="left"/>
      <w:pPr>
        <w:ind w:left="341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54EA18E4">
      <w:start w:val="1"/>
      <w:numFmt w:val="lowerRoman"/>
      <w:lvlText w:val="%6"/>
      <w:lvlJc w:val="left"/>
      <w:pPr>
        <w:ind w:left="413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49105C08">
      <w:start w:val="1"/>
      <w:numFmt w:val="decimal"/>
      <w:lvlText w:val="%7"/>
      <w:lvlJc w:val="left"/>
      <w:pPr>
        <w:ind w:left="485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38CC5AA0">
      <w:start w:val="1"/>
      <w:numFmt w:val="lowerLetter"/>
      <w:lvlText w:val="%8"/>
      <w:lvlJc w:val="left"/>
      <w:pPr>
        <w:ind w:left="557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1E7E36A8">
      <w:start w:val="1"/>
      <w:numFmt w:val="lowerRoman"/>
      <w:lvlText w:val="%9"/>
      <w:lvlJc w:val="left"/>
      <w:pPr>
        <w:ind w:left="629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3">
    <w:nsid w:val="268F63E2"/>
    <w:multiLevelType w:val="hybridMultilevel"/>
    <w:tmpl w:val="3294A538"/>
    <w:lvl w:ilvl="0" w:tplc="088E862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5BE08A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226D9E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D5EBBA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944679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1F4BF3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07417D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4D414B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02E19D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nsid w:val="51340E88"/>
    <w:multiLevelType w:val="hybridMultilevel"/>
    <w:tmpl w:val="45183C4A"/>
    <w:lvl w:ilvl="0" w:tplc="4B765B56">
      <w:start w:val="1"/>
      <w:numFmt w:val="decimal"/>
      <w:lvlText w:val="%1."/>
      <w:lvlJc w:val="left"/>
      <w:pPr>
        <w:ind w:left="14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21C07F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FCC0FF6">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67AE82C">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FA8DA5C">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580BA5E">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38E1D4A">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F72995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7AA4900">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nsid w:val="588A64AF"/>
    <w:multiLevelType w:val="hybridMultilevel"/>
    <w:tmpl w:val="C778E4DE"/>
    <w:lvl w:ilvl="0" w:tplc="B8DE9070">
      <w:start w:val="10"/>
      <w:numFmt w:val="decimal"/>
      <w:lvlText w:val="%1."/>
      <w:lvlJc w:val="left"/>
      <w:pPr>
        <w:ind w:left="14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124A028">
      <w:start w:val="1"/>
      <w:numFmt w:val="lowerLetter"/>
      <w:lvlText w:val="%2"/>
      <w:lvlJc w:val="left"/>
      <w:pPr>
        <w:ind w:left="1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1E6D2D4">
      <w:start w:val="1"/>
      <w:numFmt w:val="lowerRoman"/>
      <w:lvlText w:val="%3"/>
      <w:lvlJc w:val="left"/>
      <w:pPr>
        <w:ind w:left="2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A6C7AD2">
      <w:start w:val="1"/>
      <w:numFmt w:val="decimal"/>
      <w:lvlText w:val="%4"/>
      <w:lvlJc w:val="left"/>
      <w:pPr>
        <w:ind w:left="2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6A2F88">
      <w:start w:val="1"/>
      <w:numFmt w:val="lowerLetter"/>
      <w:lvlText w:val="%5"/>
      <w:lvlJc w:val="left"/>
      <w:pPr>
        <w:ind w:left="3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A801E74">
      <w:start w:val="1"/>
      <w:numFmt w:val="lowerRoman"/>
      <w:lvlText w:val="%6"/>
      <w:lvlJc w:val="left"/>
      <w:pPr>
        <w:ind w:left="4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2B64230">
      <w:start w:val="1"/>
      <w:numFmt w:val="decimal"/>
      <w:lvlText w:val="%7"/>
      <w:lvlJc w:val="left"/>
      <w:pPr>
        <w:ind w:left="48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09E5094">
      <w:start w:val="1"/>
      <w:numFmt w:val="lowerLetter"/>
      <w:lvlText w:val="%8"/>
      <w:lvlJc w:val="left"/>
      <w:pPr>
        <w:ind w:left="56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F48F08E">
      <w:start w:val="1"/>
      <w:numFmt w:val="lowerRoman"/>
      <w:lvlText w:val="%9"/>
      <w:lvlJc w:val="left"/>
      <w:pPr>
        <w:ind w:left="63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7D125FDE"/>
    <w:multiLevelType w:val="hybridMultilevel"/>
    <w:tmpl w:val="0E3EAA50"/>
    <w:lvl w:ilvl="0" w:tplc="411420C2">
      <w:start w:val="7"/>
      <w:numFmt w:val="decimal"/>
      <w:lvlText w:val="%1."/>
      <w:lvlJc w:val="left"/>
      <w:pPr>
        <w:ind w:left="14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D30B2D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2FCF87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B5EEFF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208838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F4430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C98D49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410A1C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2DEC2C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0"/>
  </w:num>
  <w:num w:numId="3">
    <w:abstractNumId w:val="3"/>
  </w:num>
  <w:num w:numId="4">
    <w:abstractNumId w:val="4"/>
  </w:num>
  <w:num w:numId="5">
    <w:abstractNumId w:val="6"/>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16B0"/>
    <w:rsid w:val="002116B0"/>
    <w:rsid w:val="00AA00C2"/>
    <w:rsid w:val="00FF7F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562F175-ABF8-4ADE-B892-156432CF4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44" w:line="265" w:lineRule="auto"/>
      <w:ind w:left="10"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385" w:line="265" w:lineRule="auto"/>
      <w:ind w:left="10" w:right="5" w:hanging="10"/>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pPr>
      <w:keepNext/>
      <w:keepLines/>
      <w:spacing w:after="385" w:line="265" w:lineRule="auto"/>
      <w:ind w:left="10" w:right="5" w:hanging="10"/>
      <w:outlineLvl w:val="1"/>
    </w:pPr>
    <w:rPr>
      <w:rFonts w:ascii="Times New Roman" w:eastAsia="Times New Roman" w:hAnsi="Times New Roman" w:cs="Times New Roman"/>
      <w:b/>
      <w:color w:val="000000"/>
      <w:sz w:val="24"/>
    </w:rPr>
  </w:style>
  <w:style w:type="paragraph" w:styleId="Heading3">
    <w:name w:val="heading 3"/>
    <w:next w:val="Normal"/>
    <w:link w:val="Heading3Char"/>
    <w:uiPriority w:val="9"/>
    <w:unhideWhenUsed/>
    <w:qFormat/>
    <w:pPr>
      <w:keepNext/>
      <w:keepLines/>
      <w:spacing w:after="391" w:line="263" w:lineRule="auto"/>
      <w:ind w:left="10" w:hanging="10"/>
      <w:outlineLvl w:val="2"/>
    </w:pPr>
    <w:rPr>
      <w:rFonts w:ascii="Times New Roman" w:eastAsia="Times New Roman" w:hAnsi="Times New Roman" w:cs="Times New Roman"/>
      <w:b/>
      <w:color w:val="000000"/>
      <w:sz w:val="28"/>
    </w:rPr>
  </w:style>
  <w:style w:type="paragraph" w:styleId="Heading4">
    <w:name w:val="heading 4"/>
    <w:next w:val="Normal"/>
    <w:link w:val="Heading4Char"/>
    <w:uiPriority w:val="9"/>
    <w:unhideWhenUsed/>
    <w:qFormat/>
    <w:pPr>
      <w:keepNext/>
      <w:keepLines/>
      <w:spacing w:after="391" w:line="263" w:lineRule="auto"/>
      <w:ind w:left="10" w:hanging="10"/>
      <w:outlineLvl w:val="3"/>
    </w:pPr>
    <w:rPr>
      <w:rFonts w:ascii="Times New Roman" w:eastAsia="Times New Roman" w:hAnsi="Times New Roman" w:cs="Times New Roman"/>
      <w:b/>
      <w:color w:val="000000"/>
      <w:sz w:val="28"/>
    </w:rPr>
  </w:style>
  <w:style w:type="paragraph" w:styleId="Heading5">
    <w:name w:val="heading 5"/>
    <w:next w:val="Normal"/>
    <w:link w:val="Heading5Char"/>
    <w:uiPriority w:val="9"/>
    <w:unhideWhenUsed/>
    <w:qFormat/>
    <w:pPr>
      <w:keepNext/>
      <w:keepLines/>
      <w:spacing w:after="385" w:line="265" w:lineRule="auto"/>
      <w:ind w:left="10" w:right="5" w:hanging="10"/>
      <w:outlineLvl w:val="4"/>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Pr>
      <w:rFonts w:ascii="Times New Roman" w:eastAsia="Times New Roman" w:hAnsi="Times New Roman" w:cs="Times New Roman"/>
      <w:b/>
      <w:color w:val="000000"/>
      <w:sz w:val="28"/>
    </w:rPr>
  </w:style>
  <w:style w:type="character" w:customStyle="1" w:styleId="Heading5Char">
    <w:name w:val="Heading 5 Char"/>
    <w:link w:val="Heading5"/>
    <w:rPr>
      <w:rFonts w:ascii="Times New Roman" w:eastAsia="Times New Roman" w:hAnsi="Times New Roman" w:cs="Times New Roman"/>
      <w:b/>
      <w:color w:val="000000"/>
      <w:sz w:val="24"/>
    </w:rPr>
  </w:style>
  <w:style w:type="character" w:customStyle="1" w:styleId="Heading1Char">
    <w:name w:val="Heading 1 Char"/>
    <w:link w:val="Heading1"/>
    <w:rPr>
      <w:rFonts w:ascii="Times New Roman" w:eastAsia="Times New Roman" w:hAnsi="Times New Roman" w:cs="Times New Roman"/>
      <w:b/>
      <w:color w:val="000000"/>
      <w:sz w:val="24"/>
    </w:rPr>
  </w:style>
  <w:style w:type="character" w:customStyle="1" w:styleId="Heading2Char">
    <w:name w:val="Heading 2 Char"/>
    <w:link w:val="Heading2"/>
    <w:rPr>
      <w:rFonts w:ascii="Times New Roman" w:eastAsia="Times New Roman" w:hAnsi="Times New Roman" w:cs="Times New Roman"/>
      <w:b/>
      <w:color w:val="000000"/>
      <w:sz w:val="24"/>
    </w:rPr>
  </w:style>
  <w:style w:type="character" w:customStyle="1" w:styleId="Heading3Char">
    <w:name w:val="Heading 3 Char"/>
    <w:link w:val="Heading3"/>
    <w:rPr>
      <w:rFonts w:ascii="Times New Roman" w:eastAsia="Times New Roman" w:hAnsi="Times New Roman" w:cs="Times New Roman"/>
      <w:b/>
      <w:color w:val="000000"/>
      <w:sz w:val="28"/>
    </w:rPr>
  </w:style>
  <w:style w:type="paragraph" w:styleId="TOC1">
    <w:name w:val="toc 1"/>
    <w:hidden/>
    <w:pPr>
      <w:spacing w:after="0" w:line="265" w:lineRule="auto"/>
      <w:ind w:left="25" w:right="27" w:hanging="10"/>
      <w:jc w:val="both"/>
    </w:pPr>
    <w:rPr>
      <w:rFonts w:ascii="Times New Roman" w:eastAsia="Times New Roman" w:hAnsi="Times New Roman" w:cs="Times New Roman"/>
      <w:color w:val="000000"/>
      <w:sz w:val="24"/>
    </w:rPr>
  </w:style>
  <w:style w:type="paragraph" w:styleId="TOC2">
    <w:name w:val="toc 2"/>
    <w:hidden/>
    <w:pPr>
      <w:spacing w:after="396" w:line="482" w:lineRule="auto"/>
      <w:ind w:left="15" w:right="482" w:firstLine="238"/>
    </w:pPr>
    <w:rPr>
      <w:rFonts w:ascii="Times New Roman" w:eastAsia="Times New Roman" w:hAnsi="Times New Roman" w:cs="Times New Roman"/>
      <w:color w:val="000000"/>
      <w:sz w:val="24"/>
    </w:rPr>
  </w:style>
  <w:style w:type="paragraph" w:styleId="TOC3">
    <w:name w:val="toc 3"/>
    <w:hidden/>
    <w:pPr>
      <w:spacing w:after="215" w:line="265" w:lineRule="auto"/>
      <w:ind w:left="263" w:right="27" w:hanging="10"/>
      <w:jc w:val="both"/>
    </w:pPr>
    <w:rPr>
      <w:rFonts w:ascii="Times New Roman" w:eastAsia="Times New Roman" w:hAnsi="Times New Roman" w:cs="Times New Roman"/>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21" Type="http://schemas.openxmlformats.org/officeDocument/2006/relationships/image" Target="media/image9.png"/><Relationship Id="rId42" Type="http://schemas.openxmlformats.org/officeDocument/2006/relationships/footer" Target="footer4.xml"/><Relationship Id="rId47" Type="http://schemas.openxmlformats.org/officeDocument/2006/relationships/image" Target="media/image29.jpg"/><Relationship Id="rId63" Type="http://schemas.openxmlformats.org/officeDocument/2006/relationships/header" Target="header10.xml"/><Relationship Id="rId68" Type="http://schemas.openxmlformats.org/officeDocument/2006/relationships/footer" Target="footer12.xml"/><Relationship Id="rId84" Type="http://schemas.openxmlformats.org/officeDocument/2006/relationships/footer" Target="footer16.xml"/><Relationship Id="rId89" Type="http://schemas.openxmlformats.org/officeDocument/2006/relationships/header" Target="header19.xml"/><Relationship Id="rId16" Type="http://schemas.openxmlformats.org/officeDocument/2006/relationships/image" Target="media/image4.png"/><Relationship Id="rId11" Type="http://schemas.openxmlformats.org/officeDocument/2006/relationships/header" Target="header3.xml"/><Relationship Id="rId32" Type="http://schemas.openxmlformats.org/officeDocument/2006/relationships/image" Target="media/image20.png"/><Relationship Id="rId37" Type="http://schemas.openxmlformats.org/officeDocument/2006/relationships/image" Target="media/image25.png"/><Relationship Id="rId53" Type="http://schemas.openxmlformats.org/officeDocument/2006/relationships/header" Target="header9.xml"/><Relationship Id="rId58" Type="http://schemas.openxmlformats.org/officeDocument/2006/relationships/image" Target="media/image34.jpg"/><Relationship Id="rId74" Type="http://schemas.openxmlformats.org/officeDocument/2006/relationships/header" Target="header14.xml"/><Relationship Id="rId79" Type="http://schemas.openxmlformats.org/officeDocument/2006/relationships/image" Target="media/image43.png"/><Relationship Id="rId102" Type="http://schemas.openxmlformats.org/officeDocument/2006/relationships/fontTable" Target="fontTable.xml"/><Relationship Id="rId5" Type="http://schemas.openxmlformats.org/officeDocument/2006/relationships/footnotes" Target="footnotes.xml"/><Relationship Id="rId90" Type="http://schemas.openxmlformats.org/officeDocument/2006/relationships/header" Target="header20.xml"/><Relationship Id="rId95" Type="http://schemas.openxmlformats.org/officeDocument/2006/relationships/image" Target="media/image47.png"/><Relationship Id="rId22" Type="http://schemas.openxmlformats.org/officeDocument/2006/relationships/image" Target="media/image10.png"/><Relationship Id="rId27" Type="http://schemas.openxmlformats.org/officeDocument/2006/relationships/image" Target="media/image15.png"/><Relationship Id="rId43" Type="http://schemas.openxmlformats.org/officeDocument/2006/relationships/footer" Target="footer5.xml"/><Relationship Id="rId48" Type="http://schemas.openxmlformats.org/officeDocument/2006/relationships/image" Target="media/image30.jpg"/><Relationship Id="rId64" Type="http://schemas.openxmlformats.org/officeDocument/2006/relationships/header" Target="header11.xml"/><Relationship Id="rId69" Type="http://schemas.openxmlformats.org/officeDocument/2006/relationships/image" Target="media/image39.jpg"/><Relationship Id="rId80" Type="http://schemas.openxmlformats.org/officeDocument/2006/relationships/image" Target="media/image44.png"/><Relationship Id="rId85" Type="http://schemas.openxmlformats.org/officeDocument/2006/relationships/footer" Target="footer17.xml"/><Relationship Id="rId12" Type="http://schemas.openxmlformats.org/officeDocument/2006/relationships/footer" Target="footer3.xm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jpg"/><Relationship Id="rId46" Type="http://schemas.openxmlformats.org/officeDocument/2006/relationships/image" Target="media/image28.jpg"/><Relationship Id="rId59" Type="http://schemas.openxmlformats.org/officeDocument/2006/relationships/image" Target="media/image35.png"/><Relationship Id="rId67" Type="http://schemas.openxmlformats.org/officeDocument/2006/relationships/header" Target="header12.xml"/><Relationship Id="rId103" Type="http://schemas.openxmlformats.org/officeDocument/2006/relationships/theme" Target="theme/theme1.xml"/><Relationship Id="rId20" Type="http://schemas.openxmlformats.org/officeDocument/2006/relationships/image" Target="media/image8.png"/><Relationship Id="rId41" Type="http://schemas.openxmlformats.org/officeDocument/2006/relationships/header" Target="header5.xml"/><Relationship Id="rId54" Type="http://schemas.openxmlformats.org/officeDocument/2006/relationships/footer" Target="footer9.xml"/><Relationship Id="rId62" Type="http://schemas.openxmlformats.org/officeDocument/2006/relationships/image" Target="media/image38.jpg"/><Relationship Id="rId70" Type="http://schemas.openxmlformats.org/officeDocument/2006/relationships/image" Target="media/image40.jpg"/><Relationship Id="rId75" Type="http://schemas.openxmlformats.org/officeDocument/2006/relationships/footer" Target="footer13.xml"/><Relationship Id="rId83" Type="http://schemas.openxmlformats.org/officeDocument/2006/relationships/header" Target="header17.xml"/><Relationship Id="rId88" Type="http://schemas.openxmlformats.org/officeDocument/2006/relationships/image" Target="media/image46.jpg"/><Relationship Id="rId91" Type="http://schemas.openxmlformats.org/officeDocument/2006/relationships/footer" Target="footer19.xml"/><Relationship Id="rId96" Type="http://schemas.openxmlformats.org/officeDocument/2006/relationships/header" Target="header2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header" Target="header7.xml"/><Relationship Id="rId57" Type="http://schemas.openxmlformats.org/officeDocument/2006/relationships/image" Target="media/image33.jpg"/><Relationship Id="rId10" Type="http://schemas.openxmlformats.org/officeDocument/2006/relationships/footer" Target="footer2.xml"/><Relationship Id="rId31" Type="http://schemas.openxmlformats.org/officeDocument/2006/relationships/image" Target="media/image19.png"/><Relationship Id="rId44" Type="http://schemas.openxmlformats.org/officeDocument/2006/relationships/header" Target="header6.xml"/><Relationship Id="rId52" Type="http://schemas.openxmlformats.org/officeDocument/2006/relationships/footer" Target="footer8.xml"/><Relationship Id="rId60" Type="http://schemas.openxmlformats.org/officeDocument/2006/relationships/image" Target="media/image36.png"/><Relationship Id="rId65" Type="http://schemas.openxmlformats.org/officeDocument/2006/relationships/footer" Target="footer10.xml"/><Relationship Id="rId73" Type="http://schemas.openxmlformats.org/officeDocument/2006/relationships/header" Target="header13.xml"/><Relationship Id="rId78" Type="http://schemas.openxmlformats.org/officeDocument/2006/relationships/footer" Target="footer15.xml"/><Relationship Id="rId81" Type="http://schemas.openxmlformats.org/officeDocument/2006/relationships/image" Target="media/image45.png"/><Relationship Id="rId86" Type="http://schemas.openxmlformats.org/officeDocument/2006/relationships/header" Target="header18.xml"/><Relationship Id="rId94" Type="http://schemas.openxmlformats.org/officeDocument/2006/relationships/footer" Target="footer21.xml"/><Relationship Id="rId99" Type="http://schemas.openxmlformats.org/officeDocument/2006/relationships/footer" Target="footer23.xml"/><Relationship Id="rId101" Type="http://schemas.openxmlformats.org/officeDocument/2006/relationships/footer" Target="footer24.xml"/><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image" Target="media/image1.jpg"/><Relationship Id="rId18" Type="http://schemas.openxmlformats.org/officeDocument/2006/relationships/image" Target="media/image6.png"/><Relationship Id="rId39" Type="http://schemas.openxmlformats.org/officeDocument/2006/relationships/image" Target="media/image27.jpg"/><Relationship Id="rId34" Type="http://schemas.openxmlformats.org/officeDocument/2006/relationships/image" Target="media/image22.png"/><Relationship Id="rId50" Type="http://schemas.openxmlformats.org/officeDocument/2006/relationships/header" Target="header8.xml"/><Relationship Id="rId55" Type="http://schemas.openxmlformats.org/officeDocument/2006/relationships/image" Target="media/image31.jpg"/><Relationship Id="rId76" Type="http://schemas.openxmlformats.org/officeDocument/2006/relationships/footer" Target="footer14.xml"/><Relationship Id="rId97" Type="http://schemas.openxmlformats.org/officeDocument/2006/relationships/header" Target="header23.xml"/><Relationship Id="rId7" Type="http://schemas.openxmlformats.org/officeDocument/2006/relationships/header" Target="header1.xml"/><Relationship Id="rId71" Type="http://schemas.openxmlformats.org/officeDocument/2006/relationships/image" Target="media/image41.jpg"/><Relationship Id="rId92" Type="http://schemas.openxmlformats.org/officeDocument/2006/relationships/footer" Target="footer20.xml"/><Relationship Id="rId2" Type="http://schemas.openxmlformats.org/officeDocument/2006/relationships/styles" Target="styles.xml"/><Relationship Id="rId29" Type="http://schemas.openxmlformats.org/officeDocument/2006/relationships/image" Target="media/image17.png"/><Relationship Id="rId24" Type="http://schemas.openxmlformats.org/officeDocument/2006/relationships/image" Target="media/image12.png"/><Relationship Id="rId40" Type="http://schemas.openxmlformats.org/officeDocument/2006/relationships/header" Target="header4.xml"/><Relationship Id="rId45" Type="http://schemas.openxmlformats.org/officeDocument/2006/relationships/footer" Target="footer6.xml"/><Relationship Id="rId66" Type="http://schemas.openxmlformats.org/officeDocument/2006/relationships/footer" Target="footer11.xml"/><Relationship Id="rId87" Type="http://schemas.openxmlformats.org/officeDocument/2006/relationships/footer" Target="footer18.xml"/><Relationship Id="rId61" Type="http://schemas.openxmlformats.org/officeDocument/2006/relationships/image" Target="media/image37.png"/><Relationship Id="rId82" Type="http://schemas.openxmlformats.org/officeDocument/2006/relationships/header" Target="header16.xml"/><Relationship Id="rId19" Type="http://schemas.openxmlformats.org/officeDocument/2006/relationships/image" Target="media/image7.png"/><Relationship Id="rId14" Type="http://schemas.openxmlformats.org/officeDocument/2006/relationships/image" Target="media/image2.jpg"/><Relationship Id="rId30" Type="http://schemas.openxmlformats.org/officeDocument/2006/relationships/image" Target="media/image18.png"/><Relationship Id="rId35" Type="http://schemas.openxmlformats.org/officeDocument/2006/relationships/image" Target="media/image23.png"/><Relationship Id="rId56" Type="http://schemas.openxmlformats.org/officeDocument/2006/relationships/image" Target="media/image32.jpg"/><Relationship Id="rId77" Type="http://schemas.openxmlformats.org/officeDocument/2006/relationships/header" Target="header15.xml"/><Relationship Id="rId100" Type="http://schemas.openxmlformats.org/officeDocument/2006/relationships/header" Target="header24.xml"/><Relationship Id="rId8" Type="http://schemas.openxmlformats.org/officeDocument/2006/relationships/header" Target="header2.xml"/><Relationship Id="rId51" Type="http://schemas.openxmlformats.org/officeDocument/2006/relationships/footer" Target="footer7.xml"/><Relationship Id="rId72" Type="http://schemas.openxmlformats.org/officeDocument/2006/relationships/image" Target="media/image42.jpg"/><Relationship Id="rId93" Type="http://schemas.openxmlformats.org/officeDocument/2006/relationships/header" Target="header21.xml"/><Relationship Id="rId98" Type="http://schemas.openxmlformats.org/officeDocument/2006/relationships/footer" Target="footer22.xm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84</Pages>
  <Words>17480</Words>
  <Characters>99639</Characters>
  <Application>Microsoft Office Word</Application>
  <DocSecurity>0</DocSecurity>
  <Lines>830</Lines>
  <Paragraphs>233</Paragraphs>
  <ScaleCrop>false</ScaleCrop>
  <Company/>
  <LinksUpToDate>false</LinksUpToDate>
  <CharactersWithSpaces>116886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Lydiah Nyambok</dc:creator>
  <cp:keywords/>
  <cp:lastModifiedBy>laptopcare</cp:lastModifiedBy>
  <cp:revision>2</cp:revision>
  <dcterms:created xsi:type="dcterms:W3CDTF">2022-01-06T09:30:00Z</dcterms:created>
  <dcterms:modified xsi:type="dcterms:W3CDTF">2022-01-06T09:30:00Z</dcterms:modified>
</cp:coreProperties>
</file>