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p>
    <w:p w:rsidR="00C661EC" w:rsidRPr="00B310C1" w:rsidRDefault="00C661EC" w:rsidP="0026364B">
      <w:pPr>
        <w:spacing w:after="0" w:line="480" w:lineRule="auto"/>
        <w:jc w:val="center"/>
        <w:rPr>
          <w:rFonts w:ascii="Times New Roman" w:hAnsi="Times New Roman" w:cs="Times New Roman"/>
          <w:sz w:val="24"/>
          <w:szCs w:val="24"/>
        </w:rPr>
      </w:pPr>
      <w:r w:rsidRPr="00B310C1">
        <w:rPr>
          <w:rFonts w:ascii="Times New Roman" w:hAnsi="Times New Roman" w:cs="Times New Roman"/>
          <w:sz w:val="24"/>
          <w:szCs w:val="24"/>
        </w:rPr>
        <w:t>Psychological and Socio-Economic Factors influencing Recidivism Risk of US Ex-Prisoners</w:t>
      </w:r>
    </w:p>
    <w:p w:rsidR="00C661EC" w:rsidRPr="00B310C1" w:rsidRDefault="00C661EC" w:rsidP="0026364B">
      <w:pPr>
        <w:spacing w:after="0" w:line="480" w:lineRule="auto"/>
        <w:jc w:val="center"/>
        <w:rPr>
          <w:rFonts w:ascii="Times New Roman" w:hAnsi="Times New Roman" w:cs="Times New Roman"/>
          <w:sz w:val="24"/>
          <w:szCs w:val="24"/>
        </w:rPr>
      </w:pPr>
      <w:r w:rsidRPr="00B310C1">
        <w:rPr>
          <w:rFonts w:ascii="Times New Roman" w:hAnsi="Times New Roman" w:cs="Times New Roman"/>
          <w:sz w:val="24"/>
          <w:szCs w:val="24"/>
        </w:rPr>
        <w:t>Student Name</w:t>
      </w:r>
    </w:p>
    <w:p w:rsidR="00C661EC" w:rsidRPr="00B310C1" w:rsidRDefault="00C661EC" w:rsidP="0026364B">
      <w:pPr>
        <w:spacing w:after="0" w:line="480" w:lineRule="auto"/>
        <w:jc w:val="center"/>
        <w:rPr>
          <w:rFonts w:ascii="Times New Roman" w:hAnsi="Times New Roman" w:cs="Times New Roman"/>
          <w:sz w:val="24"/>
          <w:szCs w:val="24"/>
        </w:rPr>
      </w:pPr>
      <w:r w:rsidRPr="00B310C1">
        <w:rPr>
          <w:rFonts w:ascii="Times New Roman" w:hAnsi="Times New Roman" w:cs="Times New Roman"/>
          <w:sz w:val="24"/>
          <w:szCs w:val="24"/>
        </w:rPr>
        <w:t>Name of Institution</w:t>
      </w:r>
    </w:p>
    <w:p w:rsidR="00C661EC" w:rsidRPr="00B310C1" w:rsidRDefault="00C661EC" w:rsidP="0026364B">
      <w:pPr>
        <w:spacing w:line="480" w:lineRule="auto"/>
        <w:rPr>
          <w:rFonts w:ascii="Times New Roman" w:hAnsi="Times New Roman" w:cs="Times New Roman"/>
          <w:sz w:val="24"/>
          <w:szCs w:val="24"/>
        </w:rPr>
      </w:pPr>
      <w:r w:rsidRPr="00B310C1">
        <w:rPr>
          <w:rFonts w:ascii="Times New Roman" w:hAnsi="Times New Roman" w:cs="Times New Roman"/>
          <w:sz w:val="24"/>
          <w:szCs w:val="24"/>
        </w:rPr>
        <w:br w:type="page"/>
      </w:r>
    </w:p>
    <w:p w:rsidR="00680660" w:rsidRPr="00B310C1" w:rsidRDefault="00680660" w:rsidP="0026364B">
      <w:pPr>
        <w:spacing w:after="0" w:line="480" w:lineRule="auto"/>
        <w:jc w:val="center"/>
        <w:rPr>
          <w:rFonts w:ascii="Times New Roman" w:hAnsi="Times New Roman" w:cs="Times New Roman"/>
          <w:sz w:val="24"/>
          <w:szCs w:val="24"/>
        </w:rPr>
      </w:pPr>
      <w:r w:rsidRPr="00B310C1">
        <w:rPr>
          <w:rFonts w:ascii="Times New Roman" w:hAnsi="Times New Roman" w:cs="Times New Roman"/>
          <w:sz w:val="24"/>
          <w:szCs w:val="24"/>
        </w:rPr>
        <w:lastRenderedPageBreak/>
        <w:t>Psychological and Socio-Economic Factors influencing Recidivism Risk of US Ex-Prisoners</w:t>
      </w:r>
    </w:p>
    <w:p w:rsidR="00D2053E" w:rsidRPr="00B310C1" w:rsidRDefault="00D2053E" w:rsidP="0026364B">
      <w:pPr>
        <w:pStyle w:val="Heading1"/>
        <w:spacing w:line="480" w:lineRule="auto"/>
        <w:jc w:val="center"/>
        <w:rPr>
          <w:rFonts w:ascii="Times New Roman" w:hAnsi="Times New Roman" w:cs="Times New Roman"/>
          <w:b/>
          <w:color w:val="000000" w:themeColor="text1"/>
          <w:sz w:val="24"/>
          <w:szCs w:val="24"/>
        </w:rPr>
      </w:pPr>
      <w:r w:rsidRPr="00B310C1">
        <w:rPr>
          <w:rFonts w:ascii="Times New Roman" w:hAnsi="Times New Roman" w:cs="Times New Roman"/>
          <w:b/>
          <w:color w:val="000000" w:themeColor="text1"/>
          <w:sz w:val="24"/>
          <w:szCs w:val="24"/>
        </w:rPr>
        <w:t>Chapter 2: Literature Review</w:t>
      </w:r>
    </w:p>
    <w:p w:rsidR="00D2053E" w:rsidRPr="00B310C1" w:rsidRDefault="00D2053E" w:rsidP="0026364B">
      <w:pPr>
        <w:spacing w:after="0" w:line="480" w:lineRule="auto"/>
        <w:rPr>
          <w:rFonts w:ascii="Times New Roman" w:hAnsi="Times New Roman" w:cs="Times New Roman"/>
          <w:sz w:val="24"/>
          <w:szCs w:val="24"/>
        </w:rPr>
      </w:pPr>
      <w:r w:rsidRPr="00B310C1">
        <w:rPr>
          <w:rStyle w:val="Heading2Char"/>
          <w:rFonts w:ascii="Times New Roman" w:hAnsi="Times New Roman" w:cs="Times New Roman"/>
          <w:b/>
          <w:color w:val="000000" w:themeColor="text1"/>
          <w:sz w:val="24"/>
          <w:szCs w:val="24"/>
        </w:rPr>
        <w:t>2.1 Psychological Factors</w:t>
      </w:r>
    </w:p>
    <w:p w:rsidR="005A1438" w:rsidRPr="00B310C1" w:rsidRDefault="009E4133" w:rsidP="004B02C2">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 xml:space="preserve">The risk factors presented in the recidivism literature can be divided into two groups with slight overlap: psychological factors and </w:t>
      </w:r>
      <w:r w:rsidR="00750846" w:rsidRPr="00B310C1">
        <w:rPr>
          <w:rFonts w:ascii="Times New Roman" w:hAnsi="Times New Roman" w:cs="Times New Roman"/>
          <w:sz w:val="24"/>
          <w:szCs w:val="24"/>
        </w:rPr>
        <w:t>socio-economic factors. E</w:t>
      </w:r>
      <w:r w:rsidRPr="00B310C1">
        <w:rPr>
          <w:rFonts w:ascii="Times New Roman" w:hAnsi="Times New Roman" w:cs="Times New Roman"/>
          <w:sz w:val="24"/>
          <w:szCs w:val="24"/>
        </w:rPr>
        <w:t xml:space="preserve">mpirical </w:t>
      </w:r>
      <w:r w:rsidR="00750846" w:rsidRPr="00B310C1">
        <w:rPr>
          <w:rFonts w:ascii="Times New Roman" w:hAnsi="Times New Roman" w:cs="Times New Roman"/>
          <w:sz w:val="24"/>
          <w:szCs w:val="24"/>
        </w:rPr>
        <w:t xml:space="preserve">research </w:t>
      </w:r>
      <w:r w:rsidR="00541746" w:rsidRPr="00B310C1">
        <w:rPr>
          <w:rFonts w:ascii="Times New Roman" w:hAnsi="Times New Roman" w:cs="Times New Roman"/>
          <w:sz w:val="24"/>
          <w:szCs w:val="24"/>
        </w:rPr>
        <w:t xml:space="preserve">looking </w:t>
      </w:r>
      <w:r w:rsidR="00750846" w:rsidRPr="00B310C1">
        <w:rPr>
          <w:rFonts w:ascii="Times New Roman" w:hAnsi="Times New Roman" w:cs="Times New Roman"/>
          <w:sz w:val="24"/>
          <w:szCs w:val="24"/>
        </w:rPr>
        <w:t xml:space="preserve">into </w:t>
      </w:r>
      <w:r w:rsidR="00541746" w:rsidRPr="00B310C1">
        <w:rPr>
          <w:rFonts w:ascii="Times New Roman" w:hAnsi="Times New Roman" w:cs="Times New Roman"/>
          <w:sz w:val="24"/>
          <w:szCs w:val="24"/>
        </w:rPr>
        <w:t xml:space="preserve">the psychological factors that predict recidivism </w:t>
      </w:r>
      <w:r w:rsidR="00750846" w:rsidRPr="00B310C1">
        <w:rPr>
          <w:rFonts w:ascii="Times New Roman" w:hAnsi="Times New Roman" w:cs="Times New Roman"/>
          <w:sz w:val="24"/>
          <w:szCs w:val="24"/>
        </w:rPr>
        <w:t xml:space="preserve">is vast and explores a multitude of psychological constructs and sub-constructs as potential influencers of recidivism. The overarching psychological factors identified in the literature search were </w:t>
      </w:r>
      <w:r w:rsidR="00541746" w:rsidRPr="00B310C1">
        <w:rPr>
          <w:rFonts w:ascii="Times New Roman" w:hAnsi="Times New Roman" w:cs="Times New Roman"/>
          <w:sz w:val="24"/>
          <w:szCs w:val="24"/>
        </w:rPr>
        <w:t>psychopathy and anti-social cognition. By definition, psychopathy, and a</w:t>
      </w:r>
      <w:r w:rsidR="005A1438" w:rsidRPr="00B310C1">
        <w:rPr>
          <w:rFonts w:ascii="Times New Roman" w:hAnsi="Times New Roman" w:cs="Times New Roman"/>
          <w:sz w:val="24"/>
          <w:szCs w:val="24"/>
        </w:rPr>
        <w:t>nti-social cognition and its underlying variables are</w:t>
      </w:r>
      <w:r w:rsidR="00C661EC" w:rsidRPr="00B310C1">
        <w:rPr>
          <w:rFonts w:ascii="Times New Roman" w:hAnsi="Times New Roman" w:cs="Times New Roman"/>
          <w:sz w:val="24"/>
          <w:szCs w:val="24"/>
        </w:rPr>
        <w:t xml:space="preserve"> highly</w:t>
      </w:r>
      <w:r w:rsidR="005A1438" w:rsidRPr="00B310C1">
        <w:rPr>
          <w:rFonts w:ascii="Times New Roman" w:hAnsi="Times New Roman" w:cs="Times New Roman"/>
          <w:sz w:val="24"/>
          <w:szCs w:val="24"/>
        </w:rPr>
        <w:t xml:space="preserve"> relevant to criminal behavior</w:t>
      </w:r>
      <w:r w:rsidR="00C661EC" w:rsidRPr="00B310C1">
        <w:rPr>
          <w:rFonts w:ascii="Times New Roman" w:hAnsi="Times New Roman" w:cs="Times New Roman"/>
          <w:sz w:val="24"/>
          <w:szCs w:val="24"/>
        </w:rPr>
        <w:t xml:space="preserve"> and the criminal justice system</w:t>
      </w:r>
      <w:r w:rsidR="005A1438" w:rsidRPr="00B310C1">
        <w:rPr>
          <w:rFonts w:ascii="Times New Roman" w:hAnsi="Times New Roman" w:cs="Times New Roman"/>
          <w:sz w:val="24"/>
          <w:szCs w:val="24"/>
        </w:rPr>
        <w:t xml:space="preserve">. </w:t>
      </w:r>
      <w:r w:rsidR="00541746" w:rsidRPr="00B310C1">
        <w:rPr>
          <w:rFonts w:ascii="Times New Roman" w:hAnsi="Times New Roman" w:cs="Times New Roman"/>
          <w:sz w:val="24"/>
          <w:szCs w:val="24"/>
        </w:rPr>
        <w:t xml:space="preserve">The predictive value of offenders’ scores on instruments measuring psychopathy and criminal thought process- an underlying variable of anti-social cognition </w:t>
      </w:r>
      <w:r w:rsidR="00C661EC" w:rsidRPr="00B310C1">
        <w:rPr>
          <w:rFonts w:ascii="Times New Roman" w:hAnsi="Times New Roman" w:cs="Times New Roman"/>
          <w:sz w:val="24"/>
          <w:szCs w:val="24"/>
        </w:rPr>
        <w:t xml:space="preserve">will be discussed extensively </w:t>
      </w:r>
      <w:r w:rsidR="005A1438" w:rsidRPr="00B310C1">
        <w:rPr>
          <w:rFonts w:ascii="Times New Roman" w:hAnsi="Times New Roman" w:cs="Times New Roman"/>
          <w:sz w:val="24"/>
          <w:szCs w:val="24"/>
        </w:rPr>
        <w:t>in the current review.</w:t>
      </w:r>
    </w:p>
    <w:p w:rsidR="00CB66C8" w:rsidRPr="00B310C1" w:rsidRDefault="004B02C2" w:rsidP="0026364B">
      <w:pPr>
        <w:spacing w:after="0" w:line="480" w:lineRule="auto"/>
        <w:rPr>
          <w:rFonts w:ascii="Times New Roman" w:hAnsi="Times New Roman" w:cs="Times New Roman"/>
          <w:sz w:val="24"/>
          <w:szCs w:val="24"/>
        </w:rPr>
      </w:pPr>
      <w:r w:rsidRPr="00B310C1">
        <w:rPr>
          <w:rStyle w:val="Heading3Char"/>
          <w:rFonts w:ascii="Times New Roman" w:hAnsi="Times New Roman" w:cs="Times New Roman"/>
          <w:b/>
          <w:color w:val="000000" w:themeColor="text1"/>
        </w:rPr>
        <w:t>2.1.1 Psychopathy</w:t>
      </w:r>
    </w:p>
    <w:p w:rsidR="00402CC7" w:rsidRPr="00B310C1" w:rsidRDefault="00B54663" w:rsidP="00B5154D">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A majority of researchers looking into the influence of psychopathy on criminal behavior use Hare’s model of psychopathy as the framework of their studies</w:t>
      </w:r>
      <w:r w:rsidR="004B02C2" w:rsidRPr="00B310C1">
        <w:rPr>
          <w:rFonts w:ascii="Times New Roman" w:hAnsi="Times New Roman" w:cs="Times New Roman"/>
          <w:sz w:val="24"/>
          <w:szCs w:val="24"/>
        </w:rPr>
        <w:t xml:space="preserve"> (Anderson, Walsh &amp; Kosson, 2018; </w:t>
      </w:r>
      <w:r w:rsidR="004B02C2" w:rsidRPr="00B310C1">
        <w:rPr>
          <w:rFonts w:ascii="Times New Roman" w:eastAsia="Times New Roman" w:hAnsi="Times New Roman" w:cs="Times New Roman"/>
          <w:sz w:val="24"/>
          <w:szCs w:val="24"/>
        </w:rPr>
        <w:t>DeMatteo et al., 2020)</w:t>
      </w:r>
      <w:r w:rsidRPr="00B310C1">
        <w:rPr>
          <w:rFonts w:ascii="Times New Roman" w:hAnsi="Times New Roman" w:cs="Times New Roman"/>
          <w:sz w:val="24"/>
          <w:szCs w:val="24"/>
        </w:rPr>
        <w:t>. The model conceptualizes psychopathy as a construct with personality and a</w:t>
      </w:r>
      <w:r w:rsidR="004E1F7D" w:rsidRPr="00B310C1">
        <w:rPr>
          <w:rFonts w:ascii="Times New Roman" w:hAnsi="Times New Roman" w:cs="Times New Roman"/>
          <w:sz w:val="24"/>
          <w:szCs w:val="24"/>
        </w:rPr>
        <w:t>ffective components—captured in the first factor of Hare’s Psychopathy Checklist - Revised (PCL-R) – and lifestyle and behavior components, captured in the second factor of Hare’s PCL-R</w:t>
      </w:r>
      <w:r w:rsidR="00C27589" w:rsidRPr="00B310C1">
        <w:rPr>
          <w:rFonts w:ascii="Times New Roman" w:hAnsi="Times New Roman" w:cs="Times New Roman"/>
          <w:sz w:val="24"/>
          <w:szCs w:val="24"/>
        </w:rPr>
        <w:t xml:space="preserve"> (Hare et al., 1990</w:t>
      </w:r>
      <w:r w:rsidR="00402CC7" w:rsidRPr="00B310C1">
        <w:rPr>
          <w:rFonts w:ascii="Times New Roman" w:hAnsi="Times New Roman" w:cs="Times New Roman"/>
          <w:sz w:val="24"/>
          <w:szCs w:val="24"/>
        </w:rPr>
        <w:t>)</w:t>
      </w:r>
      <w:r w:rsidR="004E1F7D" w:rsidRPr="00B310C1">
        <w:rPr>
          <w:rFonts w:ascii="Times New Roman" w:hAnsi="Times New Roman" w:cs="Times New Roman"/>
          <w:sz w:val="24"/>
          <w:szCs w:val="24"/>
        </w:rPr>
        <w:t>.</w:t>
      </w:r>
      <w:r w:rsidR="00DA374F" w:rsidRPr="00B310C1">
        <w:rPr>
          <w:rFonts w:ascii="Times New Roman" w:hAnsi="Times New Roman" w:cs="Times New Roman"/>
          <w:sz w:val="24"/>
          <w:szCs w:val="24"/>
        </w:rPr>
        <w:t xml:space="preserve"> Persons scoring highly across all Factor 1 components exhibit </w:t>
      </w:r>
      <w:r w:rsidR="00DC18AB" w:rsidRPr="00B310C1">
        <w:rPr>
          <w:rFonts w:ascii="Times New Roman" w:hAnsi="Times New Roman" w:cs="Times New Roman"/>
          <w:sz w:val="24"/>
          <w:szCs w:val="24"/>
        </w:rPr>
        <w:t>poor interpersonal</w:t>
      </w:r>
      <w:r w:rsidR="00981088" w:rsidRPr="00B310C1">
        <w:rPr>
          <w:rFonts w:ascii="Times New Roman" w:hAnsi="Times New Roman" w:cs="Times New Roman"/>
          <w:sz w:val="24"/>
          <w:szCs w:val="24"/>
        </w:rPr>
        <w:t xml:space="preserve"> behavior such as </w:t>
      </w:r>
      <w:r w:rsidR="00DC18AB" w:rsidRPr="00B310C1">
        <w:rPr>
          <w:rFonts w:ascii="Times New Roman" w:hAnsi="Times New Roman" w:cs="Times New Roman"/>
          <w:sz w:val="24"/>
          <w:szCs w:val="24"/>
        </w:rPr>
        <w:t>grandiosity and superficiality, and poor affective</w:t>
      </w:r>
      <w:r w:rsidR="00DA374F" w:rsidRPr="00B310C1">
        <w:rPr>
          <w:rFonts w:ascii="Times New Roman" w:hAnsi="Times New Roman" w:cs="Times New Roman"/>
          <w:sz w:val="24"/>
          <w:szCs w:val="24"/>
        </w:rPr>
        <w:t xml:space="preserve"> </w:t>
      </w:r>
      <w:r w:rsidR="00DC18AB" w:rsidRPr="00B310C1">
        <w:rPr>
          <w:rFonts w:ascii="Times New Roman" w:hAnsi="Times New Roman" w:cs="Times New Roman"/>
          <w:sz w:val="24"/>
          <w:szCs w:val="24"/>
        </w:rPr>
        <w:t xml:space="preserve">behaviors such as </w:t>
      </w:r>
      <w:r w:rsidR="00DA374F" w:rsidRPr="00B310C1">
        <w:rPr>
          <w:rFonts w:ascii="Times New Roman" w:hAnsi="Times New Roman" w:cs="Times New Roman"/>
          <w:sz w:val="24"/>
          <w:szCs w:val="24"/>
        </w:rPr>
        <w:t>callousness</w:t>
      </w:r>
      <w:r w:rsidR="00981088" w:rsidRPr="00B310C1">
        <w:rPr>
          <w:rFonts w:ascii="Times New Roman" w:hAnsi="Times New Roman" w:cs="Times New Roman"/>
          <w:sz w:val="24"/>
          <w:szCs w:val="24"/>
        </w:rPr>
        <w:t xml:space="preserve"> (Hare et al., 1990</w:t>
      </w:r>
      <w:r w:rsidR="00402CC7" w:rsidRPr="00B310C1">
        <w:rPr>
          <w:rFonts w:ascii="Times New Roman" w:hAnsi="Times New Roman" w:cs="Times New Roman"/>
          <w:sz w:val="24"/>
          <w:szCs w:val="24"/>
        </w:rPr>
        <w:t>)</w:t>
      </w:r>
      <w:r w:rsidR="00DC18AB" w:rsidRPr="00B310C1">
        <w:rPr>
          <w:rFonts w:ascii="Times New Roman" w:hAnsi="Times New Roman" w:cs="Times New Roman"/>
          <w:sz w:val="24"/>
          <w:szCs w:val="24"/>
        </w:rPr>
        <w:t xml:space="preserve">. Factor 2 components consist of Lifestyle and Antisocial items with persons scoring highly on the former exhibiting impulsivity </w:t>
      </w:r>
      <w:r w:rsidR="00DC18AB" w:rsidRPr="00B310C1">
        <w:rPr>
          <w:rFonts w:ascii="Times New Roman" w:hAnsi="Times New Roman" w:cs="Times New Roman"/>
          <w:sz w:val="24"/>
          <w:szCs w:val="24"/>
        </w:rPr>
        <w:lastRenderedPageBreak/>
        <w:t>and parasitic orientation while persons with high scores on the antisocial behavior subscale exhibit poor behavioral control and early onset behavioral problems</w:t>
      </w:r>
      <w:r w:rsidR="00A341FA" w:rsidRPr="00B310C1">
        <w:rPr>
          <w:rFonts w:ascii="Times New Roman" w:hAnsi="Times New Roman" w:cs="Times New Roman"/>
          <w:sz w:val="24"/>
          <w:szCs w:val="24"/>
        </w:rPr>
        <w:t xml:space="preserve"> (Hare et al., 1990</w:t>
      </w:r>
      <w:r w:rsidR="00402CC7" w:rsidRPr="00B310C1">
        <w:rPr>
          <w:rFonts w:ascii="Times New Roman" w:hAnsi="Times New Roman" w:cs="Times New Roman"/>
          <w:sz w:val="24"/>
          <w:szCs w:val="24"/>
        </w:rPr>
        <w:t>)</w:t>
      </w:r>
      <w:r w:rsidR="00DC18AB" w:rsidRPr="00B310C1">
        <w:rPr>
          <w:rFonts w:ascii="Times New Roman" w:hAnsi="Times New Roman" w:cs="Times New Roman"/>
          <w:sz w:val="24"/>
          <w:szCs w:val="24"/>
        </w:rPr>
        <w:t>.</w:t>
      </w:r>
      <w:r w:rsidR="00B35D78" w:rsidRPr="00B310C1">
        <w:rPr>
          <w:rFonts w:ascii="Times New Roman" w:hAnsi="Times New Roman" w:cs="Times New Roman"/>
          <w:sz w:val="24"/>
          <w:szCs w:val="24"/>
        </w:rPr>
        <w:t xml:space="preserve"> The findings of empirical research comparing the validity of Factor 1 and Factor 2 scores in predicting offender consistently show that </w:t>
      </w:r>
      <w:r w:rsidR="00B5154D" w:rsidRPr="00B310C1">
        <w:rPr>
          <w:rFonts w:ascii="Times New Roman" w:hAnsi="Times New Roman" w:cs="Times New Roman"/>
          <w:sz w:val="24"/>
          <w:szCs w:val="24"/>
        </w:rPr>
        <w:t xml:space="preserve">scoring highly on </w:t>
      </w:r>
      <w:r w:rsidR="00B35D78" w:rsidRPr="00B310C1">
        <w:rPr>
          <w:rFonts w:ascii="Times New Roman" w:hAnsi="Times New Roman" w:cs="Times New Roman"/>
          <w:sz w:val="24"/>
          <w:szCs w:val="24"/>
        </w:rPr>
        <w:t xml:space="preserve">Factor </w:t>
      </w:r>
      <w:r w:rsidR="00B5154D" w:rsidRPr="00B310C1">
        <w:rPr>
          <w:rFonts w:ascii="Times New Roman" w:hAnsi="Times New Roman" w:cs="Times New Roman"/>
          <w:sz w:val="24"/>
          <w:szCs w:val="24"/>
        </w:rPr>
        <w:t xml:space="preserve">2 items was highly predictive of recidivism risk compared to scoring highly in Factor 1 scores with the latter factor failing to achieve incremental validity in some studies </w:t>
      </w:r>
      <w:r w:rsidR="00C40ACC" w:rsidRPr="00B310C1">
        <w:rPr>
          <w:rFonts w:ascii="Times New Roman" w:hAnsi="Times New Roman" w:cs="Times New Roman"/>
          <w:sz w:val="24"/>
          <w:szCs w:val="24"/>
        </w:rPr>
        <w:t>(</w:t>
      </w:r>
      <w:r w:rsidR="00C03B4B" w:rsidRPr="00B310C1">
        <w:rPr>
          <w:rFonts w:ascii="Times New Roman" w:hAnsi="Times New Roman" w:cs="Times New Roman"/>
          <w:sz w:val="24"/>
          <w:szCs w:val="24"/>
        </w:rPr>
        <w:t xml:space="preserve">Gardner, Boccaccini &amp; Murrie, 2018; </w:t>
      </w:r>
      <w:r w:rsidR="00F26E15" w:rsidRPr="00B310C1">
        <w:rPr>
          <w:rFonts w:ascii="Times New Roman" w:hAnsi="Times New Roman" w:cs="Times New Roman"/>
          <w:sz w:val="24"/>
          <w:szCs w:val="24"/>
        </w:rPr>
        <w:t>Guy et al., 2015</w:t>
      </w:r>
      <w:r w:rsidR="00C40ACC" w:rsidRPr="00B310C1">
        <w:rPr>
          <w:rFonts w:ascii="Times New Roman" w:hAnsi="Times New Roman" w:cs="Times New Roman"/>
          <w:sz w:val="24"/>
          <w:szCs w:val="24"/>
        </w:rPr>
        <w:t>).</w:t>
      </w:r>
    </w:p>
    <w:p w:rsidR="00DA374F" w:rsidRPr="00B310C1" w:rsidRDefault="003921BB" w:rsidP="0026364B">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Researchers have shown</w:t>
      </w:r>
      <w:r w:rsidR="00DA374F" w:rsidRPr="00B310C1">
        <w:rPr>
          <w:rFonts w:ascii="Times New Roman" w:hAnsi="Times New Roman" w:cs="Times New Roman"/>
          <w:sz w:val="24"/>
          <w:szCs w:val="24"/>
        </w:rPr>
        <w:t xml:space="preserve"> that the extent to which an individual exhibits psychopathic traits is directly correlated to the length of their criminal career</w:t>
      </w:r>
      <w:r w:rsidRPr="00B310C1">
        <w:rPr>
          <w:rFonts w:ascii="Times New Roman" w:hAnsi="Times New Roman" w:cs="Times New Roman"/>
          <w:sz w:val="24"/>
          <w:szCs w:val="24"/>
        </w:rPr>
        <w:t xml:space="preserve"> with psychopathic ex-criminals showing a higher tendency to recidivate (</w:t>
      </w:r>
      <w:r w:rsidR="00A341FA" w:rsidRPr="00B310C1">
        <w:rPr>
          <w:rFonts w:ascii="Times New Roman" w:hAnsi="Times New Roman" w:cs="Times New Roman"/>
          <w:sz w:val="24"/>
          <w:szCs w:val="24"/>
        </w:rPr>
        <w:t xml:space="preserve">Harris, </w:t>
      </w:r>
      <w:r w:rsidRPr="00B310C1">
        <w:rPr>
          <w:rFonts w:ascii="Times New Roman" w:hAnsi="Times New Roman" w:cs="Times New Roman"/>
          <w:sz w:val="24"/>
          <w:szCs w:val="24"/>
        </w:rPr>
        <w:t>Boccaccini &amp; Rice, 2016; Leung, Looman &amp; Abracen, 2019)</w:t>
      </w:r>
      <w:r w:rsidR="00DA374F" w:rsidRPr="00B310C1">
        <w:rPr>
          <w:rFonts w:ascii="Times New Roman" w:hAnsi="Times New Roman" w:cs="Times New Roman"/>
          <w:sz w:val="24"/>
          <w:szCs w:val="24"/>
        </w:rPr>
        <w:t xml:space="preserve">. </w:t>
      </w:r>
      <w:r w:rsidRPr="00B310C1">
        <w:rPr>
          <w:rFonts w:ascii="Times New Roman" w:hAnsi="Times New Roman" w:cs="Times New Roman"/>
          <w:sz w:val="24"/>
          <w:szCs w:val="24"/>
        </w:rPr>
        <w:t>Leung et al. (2019) collected data from a sample of 111 individuals with a history of sexual offense who exceeded the cut-off score in Hare’s PCL-R.</w:t>
      </w:r>
      <w:r w:rsidR="007C35D2" w:rsidRPr="00B310C1">
        <w:rPr>
          <w:rFonts w:ascii="Times New Roman" w:hAnsi="Times New Roman" w:cs="Times New Roman"/>
          <w:sz w:val="24"/>
          <w:szCs w:val="24"/>
        </w:rPr>
        <w:t xml:space="preserve"> The researchers reported a low percentage of recidivating offenders (35%)</w:t>
      </w:r>
      <w:r w:rsidR="009013CE" w:rsidRPr="00B310C1">
        <w:rPr>
          <w:rFonts w:ascii="Times New Roman" w:hAnsi="Times New Roman" w:cs="Times New Roman"/>
          <w:sz w:val="24"/>
          <w:szCs w:val="24"/>
        </w:rPr>
        <w:t xml:space="preserve"> (Leung et al., 2019)</w:t>
      </w:r>
      <w:r w:rsidR="007C35D2" w:rsidRPr="00B310C1">
        <w:rPr>
          <w:rFonts w:ascii="Times New Roman" w:hAnsi="Times New Roman" w:cs="Times New Roman"/>
          <w:sz w:val="24"/>
          <w:szCs w:val="24"/>
        </w:rPr>
        <w:t xml:space="preserve">. </w:t>
      </w:r>
      <w:r w:rsidR="003934EC" w:rsidRPr="00B310C1">
        <w:rPr>
          <w:rFonts w:ascii="Times New Roman" w:hAnsi="Times New Roman" w:cs="Times New Roman"/>
          <w:sz w:val="24"/>
          <w:szCs w:val="24"/>
        </w:rPr>
        <w:t>T</w:t>
      </w:r>
      <w:r w:rsidR="00D978C9" w:rsidRPr="00B310C1">
        <w:rPr>
          <w:rFonts w:ascii="Times New Roman" w:hAnsi="Times New Roman" w:cs="Times New Roman"/>
          <w:sz w:val="24"/>
          <w:szCs w:val="24"/>
        </w:rPr>
        <w:t>he results of a logistic regression conducted by the researchers to identify the factors distinguishing recidivating participants from their</w:t>
      </w:r>
      <w:r w:rsidR="003934EC" w:rsidRPr="00B310C1">
        <w:rPr>
          <w:rFonts w:ascii="Times New Roman" w:hAnsi="Times New Roman" w:cs="Times New Roman"/>
          <w:sz w:val="24"/>
          <w:szCs w:val="24"/>
        </w:rPr>
        <w:t xml:space="preserve"> non-recidivating counterparts showed that </w:t>
      </w:r>
      <w:r w:rsidR="00D978C9" w:rsidRPr="00B310C1">
        <w:rPr>
          <w:rFonts w:ascii="Times New Roman" w:hAnsi="Times New Roman" w:cs="Times New Roman"/>
          <w:sz w:val="24"/>
          <w:szCs w:val="24"/>
        </w:rPr>
        <w:t>older age, lesser criminal history and being married at the conception of the study reduced the risk of recidivism</w:t>
      </w:r>
      <w:r w:rsidR="009013CE" w:rsidRPr="00B310C1">
        <w:rPr>
          <w:rFonts w:ascii="Times New Roman" w:hAnsi="Times New Roman" w:cs="Times New Roman"/>
          <w:sz w:val="24"/>
          <w:szCs w:val="24"/>
        </w:rPr>
        <w:t xml:space="preserve"> (Leung et al., 2019)</w:t>
      </w:r>
      <w:r w:rsidR="00D978C9" w:rsidRPr="00B310C1">
        <w:rPr>
          <w:rFonts w:ascii="Times New Roman" w:hAnsi="Times New Roman" w:cs="Times New Roman"/>
          <w:sz w:val="24"/>
          <w:szCs w:val="24"/>
        </w:rPr>
        <w:t>. Their findings indicate that even in a population of indi</w:t>
      </w:r>
      <w:r w:rsidR="009013CE" w:rsidRPr="00B310C1">
        <w:rPr>
          <w:rFonts w:ascii="Times New Roman" w:hAnsi="Times New Roman" w:cs="Times New Roman"/>
          <w:sz w:val="24"/>
          <w:szCs w:val="24"/>
        </w:rPr>
        <w:t>viduals high in psychopathy,</w:t>
      </w:r>
      <w:r w:rsidR="00D978C9" w:rsidRPr="00B310C1">
        <w:rPr>
          <w:rFonts w:ascii="Times New Roman" w:hAnsi="Times New Roman" w:cs="Times New Roman"/>
          <w:sz w:val="24"/>
          <w:szCs w:val="24"/>
        </w:rPr>
        <w:t xml:space="preserve"> recidivism is not absolute and varies</w:t>
      </w:r>
      <w:r w:rsidR="00021113" w:rsidRPr="00B310C1">
        <w:rPr>
          <w:rFonts w:ascii="Times New Roman" w:hAnsi="Times New Roman" w:cs="Times New Roman"/>
          <w:sz w:val="24"/>
          <w:szCs w:val="24"/>
        </w:rPr>
        <w:t xml:space="preserve"> with factors relevant to the general population</w:t>
      </w:r>
      <w:r w:rsidR="00D978C9" w:rsidRPr="00B310C1">
        <w:rPr>
          <w:rFonts w:ascii="Times New Roman" w:hAnsi="Times New Roman" w:cs="Times New Roman"/>
          <w:sz w:val="24"/>
          <w:szCs w:val="24"/>
        </w:rPr>
        <w:t>.</w:t>
      </w:r>
    </w:p>
    <w:p w:rsidR="007A59DD" w:rsidRPr="00B310C1" w:rsidRDefault="00E75838" w:rsidP="0013552C">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Most of the early research correlating psychopathy and recidivism focused on identifying the psychopathic traits most responsible fo</w:t>
      </w:r>
      <w:r w:rsidR="00650689" w:rsidRPr="00B310C1">
        <w:rPr>
          <w:rFonts w:ascii="Times New Roman" w:hAnsi="Times New Roman" w:cs="Times New Roman"/>
          <w:sz w:val="24"/>
          <w:szCs w:val="24"/>
        </w:rPr>
        <w:t>r high recidivating risk.</w:t>
      </w:r>
      <w:r w:rsidRPr="00B310C1">
        <w:rPr>
          <w:rFonts w:ascii="Times New Roman" w:hAnsi="Times New Roman" w:cs="Times New Roman"/>
          <w:sz w:val="24"/>
          <w:szCs w:val="24"/>
        </w:rPr>
        <w:t xml:space="preserve"> In recent years, however, the </w:t>
      </w:r>
      <w:r w:rsidR="0048092D" w:rsidRPr="00B310C1">
        <w:rPr>
          <w:rFonts w:ascii="Times New Roman" w:hAnsi="Times New Roman" w:cs="Times New Roman"/>
          <w:sz w:val="24"/>
          <w:szCs w:val="24"/>
        </w:rPr>
        <w:t>emphasis has shifted to the population of non-recidivating offenders in the population of individuals high on psychopathy. In their study aiming at</w:t>
      </w:r>
      <w:r w:rsidRPr="00B310C1">
        <w:rPr>
          <w:rFonts w:ascii="Times New Roman" w:hAnsi="Times New Roman" w:cs="Times New Roman"/>
          <w:sz w:val="24"/>
          <w:szCs w:val="24"/>
        </w:rPr>
        <w:t xml:space="preserve"> determining the characteristics of non-recidivating psychopathic offenders that </w:t>
      </w:r>
      <w:r w:rsidR="00F0522A" w:rsidRPr="00B310C1">
        <w:rPr>
          <w:rFonts w:ascii="Times New Roman" w:hAnsi="Times New Roman" w:cs="Times New Roman"/>
          <w:sz w:val="24"/>
          <w:szCs w:val="24"/>
        </w:rPr>
        <w:t xml:space="preserve">distinguished them from their recidivating counterparts, </w:t>
      </w:r>
      <w:r w:rsidR="00F0522A" w:rsidRPr="00B310C1">
        <w:rPr>
          <w:rFonts w:ascii="Times New Roman" w:hAnsi="Times New Roman" w:cs="Times New Roman"/>
          <w:sz w:val="24"/>
          <w:szCs w:val="24"/>
        </w:rPr>
        <w:lastRenderedPageBreak/>
        <w:t>Burt et al. (2016)</w:t>
      </w:r>
      <w:r w:rsidR="006259C7" w:rsidRPr="00B310C1">
        <w:rPr>
          <w:rFonts w:ascii="Times New Roman" w:hAnsi="Times New Roman" w:cs="Times New Roman"/>
          <w:sz w:val="24"/>
          <w:szCs w:val="24"/>
        </w:rPr>
        <w:t xml:space="preserve"> </w:t>
      </w:r>
      <w:r w:rsidR="00F0522A" w:rsidRPr="00B310C1">
        <w:rPr>
          <w:rFonts w:ascii="Times New Roman" w:hAnsi="Times New Roman" w:cs="Times New Roman"/>
          <w:sz w:val="24"/>
          <w:szCs w:val="24"/>
        </w:rPr>
        <w:t>found that offenders</w:t>
      </w:r>
      <w:r w:rsidR="00712E1E" w:rsidRPr="00B310C1">
        <w:rPr>
          <w:rFonts w:ascii="Times New Roman" w:hAnsi="Times New Roman" w:cs="Times New Roman"/>
          <w:sz w:val="24"/>
          <w:szCs w:val="24"/>
        </w:rPr>
        <w:t>’</w:t>
      </w:r>
      <w:r w:rsidR="00F0522A" w:rsidRPr="00B310C1">
        <w:rPr>
          <w:rFonts w:ascii="Times New Roman" w:hAnsi="Times New Roman" w:cs="Times New Roman"/>
          <w:sz w:val="24"/>
          <w:szCs w:val="24"/>
        </w:rPr>
        <w:t xml:space="preserve"> differential performance on Hare’s Factor 1 and Factor 2 scores were significant determinants of the probability of recidivating</w:t>
      </w:r>
      <w:r w:rsidR="00712E1E" w:rsidRPr="00B310C1">
        <w:rPr>
          <w:rFonts w:ascii="Times New Roman" w:hAnsi="Times New Roman" w:cs="Times New Roman"/>
          <w:sz w:val="24"/>
          <w:szCs w:val="24"/>
        </w:rPr>
        <w:t>.</w:t>
      </w:r>
      <w:r w:rsidR="00EF5289" w:rsidRPr="00B310C1">
        <w:rPr>
          <w:rFonts w:ascii="Times New Roman" w:hAnsi="Times New Roman" w:cs="Times New Roman"/>
          <w:sz w:val="24"/>
          <w:szCs w:val="24"/>
        </w:rPr>
        <w:t xml:space="preserve"> </w:t>
      </w:r>
      <w:r w:rsidR="00021113" w:rsidRPr="00B310C1">
        <w:rPr>
          <w:rFonts w:ascii="Times New Roman" w:hAnsi="Times New Roman" w:cs="Times New Roman"/>
          <w:sz w:val="24"/>
          <w:szCs w:val="24"/>
        </w:rPr>
        <w:t xml:space="preserve">The researchers reported that while the between-group differences in the overall PCL-R scores were insignificant, non-repeat offenders </w:t>
      </w:r>
      <w:r w:rsidR="000A1788" w:rsidRPr="00B310C1">
        <w:rPr>
          <w:rFonts w:ascii="Times New Roman" w:hAnsi="Times New Roman" w:cs="Times New Roman"/>
          <w:sz w:val="24"/>
          <w:szCs w:val="24"/>
        </w:rPr>
        <w:t>scored higher on Factor 1 items and lower on Factor 2 items compared to repeat offenders.</w:t>
      </w:r>
      <w:r w:rsidR="00C40ACC" w:rsidRPr="00B310C1">
        <w:rPr>
          <w:rFonts w:ascii="Times New Roman" w:hAnsi="Times New Roman" w:cs="Times New Roman"/>
          <w:sz w:val="24"/>
          <w:szCs w:val="24"/>
        </w:rPr>
        <w:t xml:space="preserve"> Their findings coincide with the </w:t>
      </w:r>
      <w:r w:rsidR="0013552C" w:rsidRPr="00B310C1">
        <w:rPr>
          <w:rFonts w:ascii="Times New Roman" w:hAnsi="Times New Roman" w:cs="Times New Roman"/>
          <w:sz w:val="24"/>
          <w:szCs w:val="24"/>
        </w:rPr>
        <w:t>association between Factor 2 scores and recidivating risk reported</w:t>
      </w:r>
      <w:r w:rsidR="00F26E15" w:rsidRPr="00B310C1">
        <w:rPr>
          <w:rFonts w:ascii="Times New Roman" w:hAnsi="Times New Roman" w:cs="Times New Roman"/>
          <w:sz w:val="24"/>
          <w:szCs w:val="24"/>
        </w:rPr>
        <w:t xml:space="preserve"> in the general population (Gardner et al., 2018</w:t>
      </w:r>
      <w:r w:rsidR="0013552C" w:rsidRPr="00B310C1">
        <w:rPr>
          <w:rFonts w:ascii="Times New Roman" w:hAnsi="Times New Roman" w:cs="Times New Roman"/>
          <w:sz w:val="24"/>
          <w:szCs w:val="24"/>
        </w:rPr>
        <w:t>).</w:t>
      </w:r>
      <w:r w:rsidR="000A1788" w:rsidRPr="00B310C1">
        <w:rPr>
          <w:rFonts w:ascii="Times New Roman" w:hAnsi="Times New Roman" w:cs="Times New Roman"/>
          <w:sz w:val="24"/>
          <w:szCs w:val="24"/>
        </w:rPr>
        <w:t xml:space="preserve"> Burt et al. (2016) hypothesized that </w:t>
      </w:r>
      <w:r w:rsidR="005B101F" w:rsidRPr="00B310C1">
        <w:rPr>
          <w:rFonts w:ascii="Times New Roman" w:hAnsi="Times New Roman" w:cs="Times New Roman"/>
          <w:sz w:val="24"/>
          <w:szCs w:val="24"/>
        </w:rPr>
        <w:t xml:space="preserve">interpersonal and affective psychopathic traits were instrumental in deterring further criminal activities since offenders with high Factor 1 and low Factor 2 scores </w:t>
      </w:r>
      <w:r w:rsidR="00EF076E" w:rsidRPr="00B310C1">
        <w:rPr>
          <w:rFonts w:ascii="Times New Roman" w:hAnsi="Times New Roman" w:cs="Times New Roman"/>
          <w:sz w:val="24"/>
          <w:szCs w:val="24"/>
        </w:rPr>
        <w:t>participated in criminal activity as a means to an end and the provision of non-criminal means of attaining the end would reduce the rate of participation in crime.</w:t>
      </w:r>
      <w:r w:rsidR="006D4A80" w:rsidRPr="00B310C1">
        <w:rPr>
          <w:rFonts w:ascii="Times New Roman" w:hAnsi="Times New Roman" w:cs="Times New Roman"/>
          <w:sz w:val="24"/>
          <w:szCs w:val="24"/>
        </w:rPr>
        <w:t xml:space="preserve"> On the other hand, offenders scoring high on Factor 2 items exhibit</w:t>
      </w:r>
      <w:r w:rsidR="007A59DD" w:rsidRPr="00B310C1">
        <w:rPr>
          <w:rFonts w:ascii="Times New Roman" w:hAnsi="Times New Roman" w:cs="Times New Roman"/>
          <w:sz w:val="24"/>
          <w:szCs w:val="24"/>
        </w:rPr>
        <w:t xml:space="preserve"> poor behavioral control and aggressive behavior increasing their risk of recidivating</w:t>
      </w:r>
      <w:r w:rsidR="006D4A80" w:rsidRPr="00B310C1">
        <w:rPr>
          <w:rFonts w:ascii="Times New Roman" w:hAnsi="Times New Roman" w:cs="Times New Roman"/>
          <w:sz w:val="24"/>
          <w:szCs w:val="24"/>
        </w:rPr>
        <w:t>.</w:t>
      </w:r>
      <w:r w:rsidR="007A59DD" w:rsidRPr="00B310C1">
        <w:rPr>
          <w:rFonts w:ascii="Times New Roman" w:hAnsi="Times New Roman" w:cs="Times New Roman"/>
          <w:sz w:val="24"/>
          <w:szCs w:val="24"/>
        </w:rPr>
        <w:t xml:space="preserve"> </w:t>
      </w:r>
    </w:p>
    <w:p w:rsidR="00B35D78" w:rsidRPr="00B310C1" w:rsidRDefault="006D4A80" w:rsidP="00B4131D">
      <w:pPr>
        <w:spacing w:after="0" w:line="480" w:lineRule="auto"/>
        <w:ind w:firstLine="720"/>
        <w:rPr>
          <w:rFonts w:ascii="Times New Roman" w:eastAsia="Times New Roman" w:hAnsi="Times New Roman" w:cs="Times New Roman"/>
          <w:sz w:val="24"/>
          <w:szCs w:val="24"/>
        </w:rPr>
      </w:pPr>
      <w:r w:rsidRPr="00B310C1">
        <w:rPr>
          <w:rFonts w:ascii="Times New Roman" w:hAnsi="Times New Roman" w:cs="Times New Roman"/>
          <w:sz w:val="24"/>
          <w:szCs w:val="24"/>
        </w:rPr>
        <w:t xml:space="preserve">These </w:t>
      </w:r>
      <w:r w:rsidR="00EF5289" w:rsidRPr="00B310C1">
        <w:rPr>
          <w:rFonts w:ascii="Times New Roman" w:hAnsi="Times New Roman" w:cs="Times New Roman"/>
          <w:sz w:val="24"/>
          <w:szCs w:val="24"/>
        </w:rPr>
        <w:t>finding</w:t>
      </w:r>
      <w:r w:rsidRPr="00B310C1">
        <w:rPr>
          <w:rFonts w:ascii="Times New Roman" w:hAnsi="Times New Roman" w:cs="Times New Roman"/>
          <w:sz w:val="24"/>
          <w:szCs w:val="24"/>
        </w:rPr>
        <w:t>s were</w:t>
      </w:r>
      <w:r w:rsidR="00EF5289" w:rsidRPr="00B310C1">
        <w:rPr>
          <w:rFonts w:ascii="Times New Roman" w:hAnsi="Times New Roman" w:cs="Times New Roman"/>
          <w:sz w:val="24"/>
          <w:szCs w:val="24"/>
        </w:rPr>
        <w:t xml:space="preserve"> in contrast to Leung et al.’s (2018) findings which showed that the PCL-R factor scores had little predictive value of participants’ recidivism.</w:t>
      </w:r>
      <w:r w:rsidR="007A59DD" w:rsidRPr="00B310C1">
        <w:rPr>
          <w:rFonts w:ascii="Times New Roman" w:hAnsi="Times New Roman" w:cs="Times New Roman"/>
          <w:sz w:val="24"/>
          <w:szCs w:val="24"/>
        </w:rPr>
        <w:t xml:space="preserve"> </w:t>
      </w:r>
      <w:r w:rsidR="00B0477C" w:rsidRPr="00B310C1">
        <w:rPr>
          <w:rFonts w:ascii="Times New Roman" w:hAnsi="Times New Roman" w:cs="Times New Roman"/>
          <w:sz w:val="24"/>
          <w:szCs w:val="24"/>
        </w:rPr>
        <w:t xml:space="preserve">Similar to Leung et al. (2019), Burt et al. (2016) also reported that non-recidivating offenders were older than recidivating offenders thus supporting the burnout hypothesis which suggests that age is negatively correlated with recidivating risk. </w:t>
      </w:r>
      <w:r w:rsidR="00836D60" w:rsidRPr="00B310C1">
        <w:rPr>
          <w:rFonts w:ascii="Times New Roman" w:eastAsia="Times New Roman" w:hAnsi="Times New Roman" w:cs="Times New Roman"/>
          <w:sz w:val="24"/>
          <w:szCs w:val="24"/>
        </w:rPr>
        <w:t>The shortcomings of four-facet model have been discussed widely in literature and the advisability of the model’s use in criminology res</w:t>
      </w:r>
      <w:r w:rsidR="00C11C47" w:rsidRPr="00B310C1">
        <w:rPr>
          <w:rFonts w:ascii="Times New Roman" w:eastAsia="Times New Roman" w:hAnsi="Times New Roman" w:cs="Times New Roman"/>
          <w:sz w:val="24"/>
          <w:szCs w:val="24"/>
        </w:rPr>
        <w:t>earch questioned.</w:t>
      </w:r>
      <w:r w:rsidR="00E21439" w:rsidRPr="00B310C1">
        <w:rPr>
          <w:rFonts w:ascii="Times New Roman" w:eastAsia="Times New Roman" w:hAnsi="Times New Roman" w:cs="Times New Roman"/>
          <w:sz w:val="24"/>
          <w:szCs w:val="24"/>
        </w:rPr>
        <w:t xml:space="preserve"> </w:t>
      </w:r>
      <w:r w:rsidR="005A6C6F" w:rsidRPr="00B310C1">
        <w:rPr>
          <w:rFonts w:ascii="Times New Roman" w:eastAsia="Times New Roman" w:hAnsi="Times New Roman" w:cs="Times New Roman"/>
          <w:sz w:val="24"/>
          <w:szCs w:val="24"/>
        </w:rPr>
        <w:t>For instance, i</w:t>
      </w:r>
      <w:r w:rsidR="00E21439" w:rsidRPr="00B310C1">
        <w:rPr>
          <w:rFonts w:ascii="Times New Roman" w:eastAsia="Times New Roman" w:hAnsi="Times New Roman" w:cs="Times New Roman"/>
          <w:sz w:val="24"/>
          <w:szCs w:val="24"/>
        </w:rPr>
        <w:t>n their study of the PCL-R f</w:t>
      </w:r>
      <w:r w:rsidR="008B1FCB" w:rsidRPr="00B310C1">
        <w:rPr>
          <w:rFonts w:ascii="Times New Roman" w:eastAsia="Times New Roman" w:hAnsi="Times New Roman" w:cs="Times New Roman"/>
          <w:sz w:val="24"/>
          <w:szCs w:val="24"/>
        </w:rPr>
        <w:t xml:space="preserve">actors that predict clinician’s opinions of an offender’s recidivism risk, </w:t>
      </w:r>
      <w:r w:rsidR="00602713" w:rsidRPr="00B310C1">
        <w:rPr>
          <w:rFonts w:ascii="Times New Roman" w:eastAsia="Times New Roman" w:hAnsi="Times New Roman" w:cs="Times New Roman"/>
          <w:sz w:val="24"/>
          <w:szCs w:val="24"/>
        </w:rPr>
        <w:t xml:space="preserve">Gardner et al. </w:t>
      </w:r>
      <w:r w:rsidR="008B1FCB" w:rsidRPr="00B310C1">
        <w:rPr>
          <w:rFonts w:ascii="Times New Roman" w:eastAsia="Times New Roman" w:hAnsi="Times New Roman" w:cs="Times New Roman"/>
          <w:sz w:val="24"/>
          <w:szCs w:val="24"/>
        </w:rPr>
        <w:t xml:space="preserve">(2018) reported discrepancies between the factors evidenced to predict criminal behavior </w:t>
      </w:r>
      <w:r w:rsidR="00602713" w:rsidRPr="00B310C1">
        <w:rPr>
          <w:rFonts w:ascii="Times New Roman" w:eastAsia="Times New Roman" w:hAnsi="Times New Roman" w:cs="Times New Roman"/>
          <w:sz w:val="24"/>
          <w:szCs w:val="24"/>
        </w:rPr>
        <w:t xml:space="preserve">in scientific research </w:t>
      </w:r>
      <w:r w:rsidR="008B1FCB" w:rsidRPr="00B310C1">
        <w:rPr>
          <w:rFonts w:ascii="Times New Roman" w:eastAsia="Times New Roman" w:hAnsi="Times New Roman" w:cs="Times New Roman"/>
          <w:sz w:val="24"/>
          <w:szCs w:val="24"/>
        </w:rPr>
        <w:t>and the factors emphasized by evaluators and community members in mock juries</w:t>
      </w:r>
      <w:r w:rsidR="00C21B5A" w:rsidRPr="00B310C1">
        <w:rPr>
          <w:rFonts w:ascii="Times New Roman" w:eastAsia="Times New Roman" w:hAnsi="Times New Roman" w:cs="Times New Roman"/>
          <w:sz w:val="24"/>
          <w:szCs w:val="24"/>
        </w:rPr>
        <w:t xml:space="preserve">. </w:t>
      </w:r>
      <w:r w:rsidR="009C338A" w:rsidRPr="00B310C1">
        <w:rPr>
          <w:rFonts w:ascii="Times New Roman" w:eastAsia="Times New Roman" w:hAnsi="Times New Roman" w:cs="Times New Roman"/>
          <w:sz w:val="24"/>
          <w:szCs w:val="24"/>
        </w:rPr>
        <w:t xml:space="preserve">Their analysis of the PCL-R and Static-99R scores assigned to sexual offenders by forensic evaluators and community members recruited in </w:t>
      </w:r>
      <w:r w:rsidR="009C338A" w:rsidRPr="00B310C1">
        <w:rPr>
          <w:rFonts w:ascii="Times New Roman" w:eastAsia="Times New Roman" w:hAnsi="Times New Roman" w:cs="Times New Roman"/>
          <w:sz w:val="24"/>
          <w:szCs w:val="24"/>
        </w:rPr>
        <w:lastRenderedPageBreak/>
        <w:t>a mock-jury showed that</w:t>
      </w:r>
      <w:r w:rsidR="00E30089" w:rsidRPr="00B310C1">
        <w:rPr>
          <w:rFonts w:ascii="Times New Roman" w:eastAsia="Times New Roman" w:hAnsi="Times New Roman" w:cs="Times New Roman"/>
          <w:sz w:val="24"/>
          <w:szCs w:val="24"/>
        </w:rPr>
        <w:t xml:space="preserve"> the mock jury’s percep</w:t>
      </w:r>
      <w:r w:rsidR="00B4131D">
        <w:rPr>
          <w:rFonts w:ascii="Times New Roman" w:eastAsia="Times New Roman" w:hAnsi="Times New Roman" w:cs="Times New Roman"/>
          <w:sz w:val="24"/>
          <w:szCs w:val="24"/>
        </w:rPr>
        <w:t>tion of antisocial behaviors</w:t>
      </w:r>
      <w:r w:rsidR="00E30089" w:rsidRPr="00B310C1">
        <w:rPr>
          <w:rFonts w:ascii="Times New Roman" w:eastAsia="Times New Roman" w:hAnsi="Times New Roman" w:cs="Times New Roman"/>
          <w:sz w:val="24"/>
          <w:szCs w:val="24"/>
        </w:rPr>
        <w:t xml:space="preserve"> had little influence on support for death penalty verdicts while perception of Factor 1 traits especially remorselessness significantly influenced the jury’s support for harsh punishment.</w:t>
      </w:r>
      <w:r w:rsidR="00086AFC" w:rsidRPr="00B310C1">
        <w:rPr>
          <w:rFonts w:ascii="Times New Roman" w:eastAsia="Times New Roman" w:hAnsi="Times New Roman" w:cs="Times New Roman"/>
          <w:sz w:val="24"/>
          <w:szCs w:val="24"/>
        </w:rPr>
        <w:t xml:space="preserve"> In a study with simila</w:t>
      </w:r>
      <w:r w:rsidR="00F2209B" w:rsidRPr="00B310C1">
        <w:rPr>
          <w:rFonts w:ascii="Times New Roman" w:eastAsia="Times New Roman" w:hAnsi="Times New Roman" w:cs="Times New Roman"/>
          <w:sz w:val="24"/>
          <w:szCs w:val="24"/>
        </w:rPr>
        <w:t>r objectives, Boccaccini et al.</w:t>
      </w:r>
      <w:r w:rsidR="00086AFC" w:rsidRPr="00B310C1">
        <w:rPr>
          <w:rFonts w:ascii="Times New Roman" w:eastAsia="Times New Roman" w:hAnsi="Times New Roman" w:cs="Times New Roman"/>
          <w:sz w:val="24"/>
          <w:szCs w:val="24"/>
        </w:rPr>
        <w:t xml:space="preserve"> 2017 surveyed forensic evaluators opinions of the PCL-R factors that were most predictive of sexual offenses</w:t>
      </w:r>
      <w:r w:rsidR="00FF6792" w:rsidRPr="00B310C1">
        <w:rPr>
          <w:rFonts w:ascii="Times New Roman" w:eastAsia="Times New Roman" w:hAnsi="Times New Roman" w:cs="Times New Roman"/>
          <w:sz w:val="24"/>
          <w:szCs w:val="24"/>
        </w:rPr>
        <w:t>. 20% of the evaluators correctly identified Factor 2 while 7.4% specifically identified the fourth facet of Factor 2 scores. 9% of the respondents identified an incorrect facet of the PCL-R while 59% were of the opinion that the total score was the best predictor of future sexual offenses (Boccaccini et al., 2017)</w:t>
      </w:r>
      <w:r w:rsidR="001F18DD" w:rsidRPr="00B310C1">
        <w:rPr>
          <w:rFonts w:ascii="Times New Roman" w:eastAsia="Times New Roman" w:hAnsi="Times New Roman" w:cs="Times New Roman"/>
          <w:sz w:val="24"/>
          <w:szCs w:val="24"/>
        </w:rPr>
        <w:t>.</w:t>
      </w:r>
      <w:r w:rsidR="00B4131D">
        <w:rPr>
          <w:rFonts w:ascii="Times New Roman" w:eastAsia="Times New Roman" w:hAnsi="Times New Roman" w:cs="Times New Roman"/>
          <w:sz w:val="24"/>
          <w:szCs w:val="24"/>
        </w:rPr>
        <w:t xml:space="preserve"> </w:t>
      </w:r>
      <w:r w:rsidR="00B4131D" w:rsidRPr="00B310C1">
        <w:rPr>
          <w:rFonts w:ascii="Times New Roman" w:eastAsia="Times New Roman" w:hAnsi="Times New Roman" w:cs="Times New Roman"/>
          <w:sz w:val="24"/>
          <w:szCs w:val="24"/>
        </w:rPr>
        <w:t>The findings of Gardner et al. (2018) were cited in DeMatteo</w:t>
      </w:r>
      <w:r w:rsidR="00B4131D">
        <w:rPr>
          <w:rFonts w:ascii="Times New Roman" w:eastAsia="Times New Roman" w:hAnsi="Times New Roman" w:cs="Times New Roman"/>
          <w:sz w:val="24"/>
          <w:szCs w:val="24"/>
        </w:rPr>
        <w:t xml:space="preserve"> et al.’s (2020) experts’ statement on </w:t>
      </w:r>
      <w:r w:rsidR="00B4131D" w:rsidRPr="00B310C1">
        <w:rPr>
          <w:rFonts w:ascii="Times New Roman" w:eastAsia="Times New Roman" w:hAnsi="Times New Roman" w:cs="Times New Roman"/>
          <w:sz w:val="24"/>
          <w:szCs w:val="24"/>
        </w:rPr>
        <w:t>the use of Hare’s PCL-R in capital sentencing as an instrument to measure the risk of institutional violence. The</w:t>
      </w:r>
      <w:r w:rsidR="00B4131D">
        <w:rPr>
          <w:rFonts w:ascii="Times New Roman" w:eastAsia="Times New Roman" w:hAnsi="Times New Roman" w:cs="Times New Roman"/>
          <w:sz w:val="24"/>
          <w:szCs w:val="24"/>
        </w:rPr>
        <w:t xml:space="preserve"> experts argued against the use of PCL-R scores to predict serious institutional violence using the findings presented by empirical researchers indicating relative unreliability of the PCL-R in predicting the probability of committing grievous violence in high-security institutions (DeMatteo et al., 2020). </w:t>
      </w:r>
      <w:r w:rsidR="00B4131D" w:rsidRPr="00B310C1">
        <w:rPr>
          <w:rFonts w:ascii="Times New Roman" w:eastAsia="Times New Roman" w:hAnsi="Times New Roman" w:cs="Times New Roman"/>
          <w:sz w:val="24"/>
          <w:szCs w:val="24"/>
        </w:rPr>
        <w:t xml:space="preserve">The research </w:t>
      </w:r>
      <w:r w:rsidR="00B4131D">
        <w:rPr>
          <w:rFonts w:ascii="Times New Roman" w:eastAsia="Times New Roman" w:hAnsi="Times New Roman" w:cs="Times New Roman"/>
          <w:sz w:val="24"/>
          <w:szCs w:val="24"/>
        </w:rPr>
        <w:t xml:space="preserve">includes in this review </w:t>
      </w:r>
      <w:r w:rsidR="00B4131D" w:rsidRPr="00B310C1">
        <w:rPr>
          <w:rFonts w:ascii="Times New Roman" w:eastAsia="Times New Roman" w:hAnsi="Times New Roman" w:cs="Times New Roman"/>
          <w:sz w:val="24"/>
          <w:szCs w:val="24"/>
        </w:rPr>
        <w:t>indicates that psychopathy is a relevant factor in predicting recidivism risk and special interventions must be tailored for offenders’ scoring high on psychopathy ratings. On the other hand, the research also indicates that there exists significant bias i</w:t>
      </w:r>
      <w:r w:rsidR="00B4131D">
        <w:rPr>
          <w:rFonts w:ascii="Times New Roman" w:eastAsia="Times New Roman" w:hAnsi="Times New Roman" w:cs="Times New Roman"/>
          <w:sz w:val="24"/>
          <w:szCs w:val="24"/>
        </w:rPr>
        <w:t>n the use of Hare’s PLC to determine prison time and prison conditions</w:t>
      </w:r>
      <w:r w:rsidR="00B4131D" w:rsidRPr="00B310C1">
        <w:rPr>
          <w:rFonts w:ascii="Times New Roman" w:eastAsia="Times New Roman" w:hAnsi="Times New Roman" w:cs="Times New Roman"/>
          <w:sz w:val="24"/>
          <w:szCs w:val="24"/>
        </w:rPr>
        <w:t xml:space="preserve">. </w:t>
      </w:r>
    </w:p>
    <w:p w:rsidR="00D2053E" w:rsidRPr="00B310C1" w:rsidRDefault="00D2053E" w:rsidP="0026364B">
      <w:pPr>
        <w:spacing w:after="0" w:line="480" w:lineRule="auto"/>
        <w:rPr>
          <w:rFonts w:ascii="Times New Roman" w:hAnsi="Times New Roman" w:cs="Times New Roman"/>
          <w:sz w:val="24"/>
          <w:szCs w:val="24"/>
        </w:rPr>
      </w:pPr>
      <w:r w:rsidRPr="00B310C1">
        <w:rPr>
          <w:rStyle w:val="Heading3Char"/>
          <w:rFonts w:ascii="Times New Roman" w:eastAsia="Times New Roman" w:hAnsi="Times New Roman" w:cs="Times New Roman"/>
          <w:b/>
          <w:color w:val="000000" w:themeColor="text1"/>
        </w:rPr>
        <w:t>2</w:t>
      </w:r>
      <w:r w:rsidRPr="00B310C1">
        <w:rPr>
          <w:rStyle w:val="Heading3Char"/>
          <w:rFonts w:ascii="Times New Roman" w:hAnsi="Times New Roman" w:cs="Times New Roman"/>
          <w:b/>
          <w:color w:val="000000" w:themeColor="text1"/>
        </w:rPr>
        <w:t xml:space="preserve">.1.2 </w:t>
      </w:r>
      <w:r w:rsidR="00926446" w:rsidRPr="00B310C1">
        <w:rPr>
          <w:rStyle w:val="Heading3Char"/>
          <w:rFonts w:ascii="Times New Roman" w:hAnsi="Times New Roman" w:cs="Times New Roman"/>
          <w:b/>
          <w:color w:val="000000" w:themeColor="text1"/>
        </w:rPr>
        <w:t>Criminal Thought Process</w:t>
      </w:r>
    </w:p>
    <w:p w:rsidR="005F5A53" w:rsidRPr="00B310C1" w:rsidRDefault="006D5E0E" w:rsidP="0026364B">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 xml:space="preserve">Early research into the correlates of antisocial beliefs and criminal behavior showed that prisoners were more likely to possess delinquent thoughts, </w:t>
      </w:r>
      <w:r w:rsidR="009408A3" w:rsidRPr="00B310C1">
        <w:rPr>
          <w:rFonts w:ascii="Times New Roman" w:hAnsi="Times New Roman" w:cs="Times New Roman"/>
          <w:sz w:val="24"/>
          <w:szCs w:val="24"/>
        </w:rPr>
        <w:t xml:space="preserve">and </w:t>
      </w:r>
      <w:r w:rsidRPr="00B310C1">
        <w:rPr>
          <w:rFonts w:ascii="Times New Roman" w:hAnsi="Times New Roman" w:cs="Times New Roman"/>
          <w:sz w:val="24"/>
          <w:szCs w:val="24"/>
        </w:rPr>
        <w:t>anti-social identities and be</w:t>
      </w:r>
      <w:r w:rsidR="009408A3" w:rsidRPr="00B310C1">
        <w:rPr>
          <w:rFonts w:ascii="Times New Roman" w:hAnsi="Times New Roman" w:cs="Times New Roman"/>
          <w:sz w:val="24"/>
          <w:szCs w:val="24"/>
        </w:rPr>
        <w:t>liefs compared to the general p</w:t>
      </w:r>
      <w:r w:rsidR="009E01CC" w:rsidRPr="00B310C1">
        <w:rPr>
          <w:rFonts w:ascii="Times New Roman" w:hAnsi="Times New Roman" w:cs="Times New Roman"/>
          <w:sz w:val="24"/>
          <w:szCs w:val="24"/>
        </w:rPr>
        <w:t>opulation of non-offenders (Walters &amp; DeLisi, 2016</w:t>
      </w:r>
      <w:r w:rsidR="009408A3" w:rsidRPr="00B310C1">
        <w:rPr>
          <w:rFonts w:ascii="Times New Roman" w:hAnsi="Times New Roman" w:cs="Times New Roman"/>
          <w:sz w:val="24"/>
          <w:szCs w:val="24"/>
        </w:rPr>
        <w:t>).</w:t>
      </w:r>
      <w:r w:rsidR="00CC1F17" w:rsidRPr="00B310C1">
        <w:rPr>
          <w:rFonts w:ascii="Times New Roman" w:hAnsi="Times New Roman" w:cs="Times New Roman"/>
          <w:sz w:val="24"/>
          <w:szCs w:val="24"/>
        </w:rPr>
        <w:t xml:space="preserve"> I</w:t>
      </w:r>
      <w:r w:rsidR="009408A3" w:rsidRPr="00B310C1">
        <w:rPr>
          <w:rFonts w:ascii="Times New Roman" w:hAnsi="Times New Roman" w:cs="Times New Roman"/>
          <w:sz w:val="24"/>
          <w:szCs w:val="24"/>
        </w:rPr>
        <w:t>n recent years,</w:t>
      </w:r>
      <w:r w:rsidR="00CC1F17" w:rsidRPr="00B310C1">
        <w:rPr>
          <w:rFonts w:ascii="Times New Roman" w:hAnsi="Times New Roman" w:cs="Times New Roman"/>
          <w:sz w:val="24"/>
          <w:szCs w:val="24"/>
        </w:rPr>
        <w:t xml:space="preserve"> </w:t>
      </w:r>
      <w:r w:rsidR="009408A3" w:rsidRPr="00B310C1">
        <w:rPr>
          <w:rFonts w:ascii="Times New Roman" w:hAnsi="Times New Roman" w:cs="Times New Roman"/>
          <w:sz w:val="24"/>
          <w:szCs w:val="24"/>
        </w:rPr>
        <w:t xml:space="preserve">the research on the relationship </w:t>
      </w:r>
      <w:r w:rsidR="00CC1F17" w:rsidRPr="00B310C1">
        <w:rPr>
          <w:rFonts w:ascii="Times New Roman" w:hAnsi="Times New Roman" w:cs="Times New Roman"/>
          <w:sz w:val="24"/>
          <w:szCs w:val="24"/>
        </w:rPr>
        <w:t xml:space="preserve">between anti-social cognition </w:t>
      </w:r>
      <w:r w:rsidR="009408A3" w:rsidRPr="00B310C1">
        <w:rPr>
          <w:rFonts w:ascii="Times New Roman" w:hAnsi="Times New Roman" w:cs="Times New Roman"/>
          <w:sz w:val="24"/>
          <w:szCs w:val="24"/>
        </w:rPr>
        <w:t>and criminal behavi</w:t>
      </w:r>
      <w:r w:rsidR="00CC1F17" w:rsidRPr="00B310C1">
        <w:rPr>
          <w:rFonts w:ascii="Times New Roman" w:hAnsi="Times New Roman" w:cs="Times New Roman"/>
          <w:sz w:val="24"/>
          <w:szCs w:val="24"/>
        </w:rPr>
        <w:t xml:space="preserve">or has </w:t>
      </w:r>
      <w:r w:rsidR="00CC1F17" w:rsidRPr="00B310C1">
        <w:rPr>
          <w:rFonts w:ascii="Times New Roman" w:hAnsi="Times New Roman" w:cs="Times New Roman"/>
          <w:sz w:val="24"/>
          <w:szCs w:val="24"/>
        </w:rPr>
        <w:lastRenderedPageBreak/>
        <w:t>distinguished between criminal thought process and criminal thought content</w:t>
      </w:r>
      <w:r w:rsidR="009E01CC" w:rsidRPr="00B310C1">
        <w:rPr>
          <w:rFonts w:ascii="Times New Roman" w:hAnsi="Times New Roman" w:cs="Times New Roman"/>
          <w:sz w:val="24"/>
          <w:szCs w:val="24"/>
        </w:rPr>
        <w:t xml:space="preserve"> (Walters &amp; Cohen, 2016</w:t>
      </w:r>
      <w:r w:rsidR="00FA5567" w:rsidRPr="00B310C1">
        <w:rPr>
          <w:rFonts w:ascii="Times New Roman" w:hAnsi="Times New Roman" w:cs="Times New Roman"/>
          <w:sz w:val="24"/>
          <w:szCs w:val="24"/>
        </w:rPr>
        <w:t>)</w:t>
      </w:r>
      <w:r w:rsidR="00CC1F17" w:rsidRPr="00B310C1">
        <w:rPr>
          <w:rFonts w:ascii="Times New Roman" w:hAnsi="Times New Roman" w:cs="Times New Roman"/>
          <w:sz w:val="24"/>
          <w:szCs w:val="24"/>
        </w:rPr>
        <w:t>.</w:t>
      </w:r>
      <w:r w:rsidR="00A77AF0" w:rsidRPr="00B310C1">
        <w:rPr>
          <w:rFonts w:ascii="Times New Roman" w:hAnsi="Times New Roman" w:cs="Times New Roman"/>
          <w:sz w:val="24"/>
          <w:szCs w:val="24"/>
        </w:rPr>
        <w:t xml:space="preserve"> </w:t>
      </w:r>
      <w:r w:rsidR="00877F5C" w:rsidRPr="00B310C1">
        <w:rPr>
          <w:rFonts w:ascii="Times New Roman" w:hAnsi="Times New Roman" w:cs="Times New Roman"/>
          <w:sz w:val="24"/>
          <w:szCs w:val="24"/>
        </w:rPr>
        <w:t>Walters (2016</w:t>
      </w:r>
      <w:r w:rsidR="004C0E50" w:rsidRPr="00B310C1">
        <w:rPr>
          <w:rFonts w:ascii="Times New Roman" w:hAnsi="Times New Roman" w:cs="Times New Roman"/>
          <w:sz w:val="24"/>
          <w:szCs w:val="24"/>
        </w:rPr>
        <w:t xml:space="preserve">) proposed criminal thought process as one of the dimensions of antisocial cognition alongside criminal thought </w:t>
      </w:r>
      <w:r w:rsidR="00877F5C" w:rsidRPr="00B310C1">
        <w:rPr>
          <w:rFonts w:ascii="Times New Roman" w:hAnsi="Times New Roman" w:cs="Times New Roman"/>
          <w:sz w:val="24"/>
          <w:szCs w:val="24"/>
        </w:rPr>
        <w:t>content. Walters (2016</w:t>
      </w:r>
      <w:r w:rsidR="00D8017E" w:rsidRPr="00B310C1">
        <w:rPr>
          <w:rFonts w:ascii="Times New Roman" w:hAnsi="Times New Roman" w:cs="Times New Roman"/>
          <w:sz w:val="24"/>
          <w:szCs w:val="24"/>
        </w:rPr>
        <w:t>) proposed</w:t>
      </w:r>
      <w:r w:rsidR="004C0E50" w:rsidRPr="00B310C1">
        <w:rPr>
          <w:rFonts w:ascii="Times New Roman" w:hAnsi="Times New Roman" w:cs="Times New Roman"/>
          <w:sz w:val="24"/>
          <w:szCs w:val="24"/>
        </w:rPr>
        <w:t xml:space="preserve"> two distinct criminal thought processes – reactive thinking and proactive thinking – </w:t>
      </w:r>
      <w:r w:rsidR="00D8017E" w:rsidRPr="00B310C1">
        <w:rPr>
          <w:rFonts w:ascii="Times New Roman" w:hAnsi="Times New Roman" w:cs="Times New Roman"/>
          <w:sz w:val="24"/>
          <w:szCs w:val="24"/>
        </w:rPr>
        <w:t>and looked into the extent to which each of the two thought processes predicted the rate of recidivism. Proactive crimin</w:t>
      </w:r>
      <w:r w:rsidR="00DF45BF" w:rsidRPr="00B310C1">
        <w:rPr>
          <w:rFonts w:ascii="Times New Roman" w:hAnsi="Times New Roman" w:cs="Times New Roman"/>
          <w:sz w:val="24"/>
          <w:szCs w:val="24"/>
        </w:rPr>
        <w:t>al thinking is considerably more planned, organized, and calculated compared to reactive thinking which is characterized by impulsivity, emotionality an</w:t>
      </w:r>
      <w:r w:rsidR="002B7BFA" w:rsidRPr="00B310C1">
        <w:rPr>
          <w:rFonts w:ascii="Times New Roman" w:hAnsi="Times New Roman" w:cs="Times New Roman"/>
          <w:sz w:val="24"/>
          <w:szCs w:val="24"/>
        </w:rPr>
        <w:t>d disorganization (Walters, 2016</w:t>
      </w:r>
      <w:r w:rsidR="00DF45BF" w:rsidRPr="00B310C1">
        <w:rPr>
          <w:rFonts w:ascii="Times New Roman" w:hAnsi="Times New Roman" w:cs="Times New Roman"/>
          <w:sz w:val="24"/>
          <w:szCs w:val="24"/>
        </w:rPr>
        <w:t>).</w:t>
      </w:r>
      <w:r w:rsidR="007827DC" w:rsidRPr="00B310C1">
        <w:rPr>
          <w:rFonts w:ascii="Times New Roman" w:hAnsi="Times New Roman" w:cs="Times New Roman"/>
          <w:sz w:val="24"/>
          <w:szCs w:val="24"/>
        </w:rPr>
        <w:t xml:space="preserve"> While both proactive and reactive criminal thinking were significant predictors of recidivism, the latter was incrementally validity relative to the latter which failed to achieve incremental validity whilst using age, ethnicity an</w:t>
      </w:r>
      <w:r w:rsidR="002B7BFA" w:rsidRPr="00B310C1">
        <w:rPr>
          <w:rFonts w:ascii="Times New Roman" w:hAnsi="Times New Roman" w:cs="Times New Roman"/>
          <w:sz w:val="24"/>
          <w:szCs w:val="24"/>
        </w:rPr>
        <w:t>d employm</w:t>
      </w:r>
      <w:r w:rsidR="003074BC" w:rsidRPr="00B310C1">
        <w:rPr>
          <w:rFonts w:ascii="Times New Roman" w:hAnsi="Times New Roman" w:cs="Times New Roman"/>
          <w:sz w:val="24"/>
          <w:szCs w:val="24"/>
        </w:rPr>
        <w:t>ent as covariates (Walters, 2016</w:t>
      </w:r>
      <w:r w:rsidR="007827DC" w:rsidRPr="00B310C1">
        <w:rPr>
          <w:rFonts w:ascii="Times New Roman" w:hAnsi="Times New Roman" w:cs="Times New Roman"/>
          <w:sz w:val="24"/>
          <w:szCs w:val="24"/>
        </w:rPr>
        <w:t xml:space="preserve">). </w:t>
      </w:r>
    </w:p>
    <w:p w:rsidR="00D2053E" w:rsidRPr="00B310C1" w:rsidRDefault="00D2053E" w:rsidP="0026364B">
      <w:pPr>
        <w:spacing w:after="0" w:line="480" w:lineRule="auto"/>
        <w:rPr>
          <w:rFonts w:ascii="Times New Roman" w:hAnsi="Times New Roman" w:cs="Times New Roman"/>
          <w:sz w:val="24"/>
          <w:szCs w:val="24"/>
        </w:rPr>
      </w:pPr>
      <w:r w:rsidRPr="00B310C1">
        <w:rPr>
          <w:rStyle w:val="Heading2Char"/>
          <w:rFonts w:ascii="Times New Roman" w:hAnsi="Times New Roman" w:cs="Times New Roman"/>
          <w:b/>
          <w:color w:val="000000" w:themeColor="text1"/>
          <w:sz w:val="24"/>
          <w:szCs w:val="24"/>
        </w:rPr>
        <w:t xml:space="preserve">2.2 Socio-Economic Factors </w:t>
      </w:r>
    </w:p>
    <w:p w:rsidR="00D75653" w:rsidRPr="00B310C1" w:rsidRDefault="00E6422D" w:rsidP="0026364B">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Empirical research</w:t>
      </w:r>
      <w:r w:rsidR="00875975" w:rsidRPr="00B310C1">
        <w:rPr>
          <w:rFonts w:ascii="Times New Roman" w:hAnsi="Times New Roman" w:cs="Times New Roman"/>
          <w:sz w:val="24"/>
          <w:szCs w:val="24"/>
        </w:rPr>
        <w:t xml:space="preserve"> has shown that unemployment, homelessness and the lack of access to stable income are the main drivers for recidivism</w:t>
      </w:r>
      <w:r w:rsidRPr="00B310C1">
        <w:rPr>
          <w:rFonts w:ascii="Times New Roman" w:hAnsi="Times New Roman" w:cs="Times New Roman"/>
          <w:sz w:val="24"/>
          <w:szCs w:val="24"/>
        </w:rPr>
        <w:t xml:space="preserve"> even </w:t>
      </w:r>
      <w:r w:rsidR="004C7A62" w:rsidRPr="00B310C1">
        <w:rPr>
          <w:rFonts w:ascii="Times New Roman" w:hAnsi="Times New Roman" w:cs="Times New Roman"/>
          <w:sz w:val="24"/>
          <w:szCs w:val="24"/>
        </w:rPr>
        <w:t>more so than the aforementioned internal motivations; psychopathy and criminal thought process</w:t>
      </w:r>
      <w:r w:rsidR="00C20204" w:rsidRPr="00B310C1">
        <w:rPr>
          <w:rFonts w:ascii="Times New Roman" w:hAnsi="Times New Roman" w:cs="Times New Roman"/>
          <w:sz w:val="24"/>
          <w:szCs w:val="24"/>
        </w:rPr>
        <w:t xml:space="preserve"> (</w:t>
      </w:r>
      <w:r w:rsidR="000142DD" w:rsidRPr="00B310C1">
        <w:rPr>
          <w:rFonts w:ascii="Times New Roman" w:hAnsi="Times New Roman" w:cs="Times New Roman"/>
          <w:sz w:val="24"/>
          <w:szCs w:val="24"/>
        </w:rPr>
        <w:t xml:space="preserve">Clifasefi et al., 2017; </w:t>
      </w:r>
      <w:r w:rsidR="00C20204" w:rsidRPr="00B310C1">
        <w:rPr>
          <w:rFonts w:ascii="Times New Roman" w:hAnsi="Times New Roman" w:cs="Times New Roman"/>
          <w:sz w:val="24"/>
          <w:szCs w:val="24"/>
        </w:rPr>
        <w:t>Lockwood et al., 2015</w:t>
      </w:r>
      <w:r w:rsidRPr="00B310C1">
        <w:rPr>
          <w:rFonts w:ascii="Times New Roman" w:hAnsi="Times New Roman" w:cs="Times New Roman"/>
          <w:sz w:val="24"/>
          <w:szCs w:val="24"/>
        </w:rPr>
        <w:t>)</w:t>
      </w:r>
      <w:r w:rsidR="00875975" w:rsidRPr="00B310C1">
        <w:rPr>
          <w:rFonts w:ascii="Times New Roman" w:hAnsi="Times New Roman" w:cs="Times New Roman"/>
          <w:sz w:val="24"/>
          <w:szCs w:val="24"/>
        </w:rPr>
        <w:t>. While psychological factors influence individuals’ initial arrests, socio-economic factors have greater bearing on the recidivism rate as they determine whether ex-prisoners will be successfully reintegrated into the community and discouraged from engaging in further criminal activities.</w:t>
      </w:r>
      <w:r w:rsidR="002816A4" w:rsidRPr="00B310C1">
        <w:rPr>
          <w:rFonts w:ascii="Times New Roman" w:hAnsi="Times New Roman" w:cs="Times New Roman"/>
          <w:sz w:val="24"/>
          <w:szCs w:val="24"/>
        </w:rPr>
        <w:t xml:space="preserve"> </w:t>
      </w:r>
      <w:r w:rsidR="00E5725D" w:rsidRPr="00B310C1">
        <w:rPr>
          <w:rFonts w:ascii="Times New Roman" w:hAnsi="Times New Roman" w:cs="Times New Roman"/>
          <w:sz w:val="24"/>
          <w:szCs w:val="24"/>
        </w:rPr>
        <w:t>Shay and McKay’s (1942) social reorganization theory argues that criminal behavior is best explained by social factors rather than internal factors. Recidivism risk factors researchers have extended the theory to recidivist research which is based on the understanding that the likelihood of recidivating is</w:t>
      </w:r>
      <w:r w:rsidR="00461FAD" w:rsidRPr="00B310C1">
        <w:rPr>
          <w:rFonts w:ascii="Times New Roman" w:hAnsi="Times New Roman" w:cs="Times New Roman"/>
          <w:sz w:val="24"/>
          <w:szCs w:val="24"/>
        </w:rPr>
        <w:t xml:space="preserve"> to a great extent influenced by the social and economic forces in their immediate physica</w:t>
      </w:r>
      <w:r w:rsidR="00E5725D" w:rsidRPr="00B310C1">
        <w:rPr>
          <w:rFonts w:ascii="Times New Roman" w:hAnsi="Times New Roman" w:cs="Times New Roman"/>
          <w:sz w:val="24"/>
          <w:szCs w:val="24"/>
        </w:rPr>
        <w:t>l environment and the abstract</w:t>
      </w:r>
      <w:r w:rsidR="00461FAD" w:rsidRPr="00B310C1">
        <w:rPr>
          <w:rFonts w:ascii="Times New Roman" w:hAnsi="Times New Roman" w:cs="Times New Roman"/>
          <w:sz w:val="24"/>
          <w:szCs w:val="24"/>
        </w:rPr>
        <w:t xml:space="preserve"> </w:t>
      </w:r>
      <w:r w:rsidR="00E5725D" w:rsidRPr="00B310C1">
        <w:rPr>
          <w:rFonts w:ascii="Times New Roman" w:hAnsi="Times New Roman" w:cs="Times New Roman"/>
          <w:sz w:val="24"/>
          <w:szCs w:val="24"/>
        </w:rPr>
        <w:t xml:space="preserve">political and social factors (Houser, McCord &amp; Nicholson, </w:t>
      </w:r>
      <w:r w:rsidR="000D2897" w:rsidRPr="00B310C1">
        <w:rPr>
          <w:rFonts w:ascii="Times New Roman" w:hAnsi="Times New Roman" w:cs="Times New Roman"/>
          <w:sz w:val="24"/>
          <w:szCs w:val="24"/>
        </w:rPr>
        <w:t>2018</w:t>
      </w:r>
      <w:r w:rsidR="00461FAD" w:rsidRPr="00B310C1">
        <w:rPr>
          <w:rFonts w:ascii="Times New Roman" w:hAnsi="Times New Roman" w:cs="Times New Roman"/>
          <w:sz w:val="24"/>
          <w:szCs w:val="24"/>
        </w:rPr>
        <w:t>).</w:t>
      </w:r>
    </w:p>
    <w:p w:rsidR="00A30B17" w:rsidRPr="00B310C1" w:rsidRDefault="00A30B17" w:rsidP="0026364B">
      <w:pPr>
        <w:pStyle w:val="Heading3"/>
        <w:spacing w:line="480" w:lineRule="auto"/>
        <w:rPr>
          <w:rFonts w:ascii="Times New Roman" w:hAnsi="Times New Roman" w:cs="Times New Roman"/>
          <w:b/>
          <w:color w:val="000000" w:themeColor="text1"/>
        </w:rPr>
      </w:pPr>
      <w:r w:rsidRPr="00B310C1">
        <w:rPr>
          <w:rFonts w:ascii="Times New Roman" w:hAnsi="Times New Roman" w:cs="Times New Roman"/>
          <w:b/>
          <w:color w:val="000000" w:themeColor="text1"/>
        </w:rPr>
        <w:lastRenderedPageBreak/>
        <w:t>2.2.1 Employment</w:t>
      </w:r>
    </w:p>
    <w:p w:rsidR="004B4FE4" w:rsidRDefault="00D92B98" w:rsidP="00D92B98">
      <w:pPr>
        <w:spacing w:after="0" w:line="480" w:lineRule="auto"/>
        <w:ind w:firstLine="720"/>
        <w:rPr>
          <w:rFonts w:ascii="Times New Roman" w:hAnsi="Times New Roman" w:cs="Times New Roman"/>
          <w:color w:val="222222"/>
          <w:sz w:val="24"/>
          <w:szCs w:val="24"/>
          <w:shd w:val="clear" w:color="auto" w:fill="FFFFFF"/>
        </w:rPr>
      </w:pPr>
      <w:r w:rsidRPr="00B310C1">
        <w:rPr>
          <w:rFonts w:ascii="Times New Roman" w:hAnsi="Times New Roman" w:cs="Times New Roman"/>
          <w:sz w:val="24"/>
          <w:szCs w:val="24"/>
        </w:rPr>
        <w:t xml:space="preserve">Research has consistently shown that the presence of stable structural components such as employment and housing immediately following employment reduces the risk of recidivism (Bunting et al., 2017; Duwe &amp; Clark, 2017; Ramakers et al., 2017). Researchers have presented access to employment with stable income and benefits as an effective shield from illegal income-generating activities for non-violent ex-offenders incarcerated for drug and property crimes (Duwe &amp; Clark, 2017). Many US states have recognized the impact of socio-economic factors on recidivism risk and designed interventions to reduce the likelihood of ex-offender re-arrest and minimize the costs of maintaining the growing prison population (Clifasefi, Lonczak &amp; Collins, 2017; Kopak &amp; Frost, 2017). Seattle’s Law Enforcement Assisted Diversion (LEAD) program is an example of such an intervention. The program is </w:t>
      </w:r>
      <w:r w:rsidRPr="00B310C1">
        <w:rPr>
          <w:rFonts w:ascii="Times New Roman" w:hAnsi="Times New Roman" w:cs="Times New Roman"/>
          <w:color w:val="222222"/>
          <w:sz w:val="24"/>
          <w:szCs w:val="24"/>
          <w:shd w:val="clear" w:color="auto" w:fill="FFFFFF"/>
        </w:rPr>
        <w:t xml:space="preserve">designed to counter the three main factors – unemployment, lack of access to stable income and benefits, and homelessness – preventing repeat drug offenders’ re-integration in the community by providing legal assistance and case management to low-level drug and prostitution offenders rather than prosecuting them. </w:t>
      </w:r>
    </w:p>
    <w:p w:rsidR="00AA5648" w:rsidRDefault="00D92B98" w:rsidP="004B4FE4">
      <w:pPr>
        <w:spacing w:after="0" w:line="480" w:lineRule="auto"/>
        <w:ind w:firstLine="720"/>
        <w:rPr>
          <w:rFonts w:ascii="Times New Roman" w:hAnsi="Times New Roman" w:cs="Times New Roman"/>
          <w:color w:val="222222"/>
          <w:sz w:val="24"/>
          <w:szCs w:val="24"/>
          <w:shd w:val="clear" w:color="auto" w:fill="FFFFFF"/>
        </w:rPr>
      </w:pPr>
      <w:r w:rsidRPr="00B310C1">
        <w:rPr>
          <w:rFonts w:ascii="Times New Roman" w:hAnsi="Times New Roman" w:cs="Times New Roman"/>
          <w:color w:val="222222"/>
          <w:sz w:val="24"/>
          <w:szCs w:val="24"/>
          <w:shd w:val="clear" w:color="auto" w:fill="FFFFFF"/>
        </w:rPr>
        <w:t>Clifasefi et al. (2017) looked into the efficacy of Seattle’s Law Enforcement Assisted Diversion (LEAD) program in reducing recidivism rates within the state. The researchers recruited low-level drug offenders referred to the LEAD program who received assistance in securing stable employment and housing and assessed the significance of changes in participants’ quality of life before and after referral to the LEAD program. Their findings indicated that participants’ access to stable income and benefits and housing significantly increased post-inclusion in the LEAD program</w:t>
      </w:r>
      <w:r w:rsidR="004B4FE4">
        <w:rPr>
          <w:rFonts w:ascii="Times New Roman" w:hAnsi="Times New Roman" w:cs="Times New Roman"/>
          <w:color w:val="222222"/>
          <w:sz w:val="24"/>
          <w:szCs w:val="24"/>
          <w:shd w:val="clear" w:color="auto" w:fill="FFFFFF"/>
        </w:rPr>
        <w:t xml:space="preserve">. </w:t>
      </w:r>
      <w:r w:rsidRPr="00B310C1">
        <w:rPr>
          <w:rFonts w:ascii="Times New Roman" w:hAnsi="Times New Roman" w:cs="Times New Roman"/>
          <w:color w:val="222222"/>
          <w:sz w:val="24"/>
          <w:szCs w:val="24"/>
          <w:shd w:val="clear" w:color="auto" w:fill="FFFFFF"/>
        </w:rPr>
        <w:t xml:space="preserve">Bunting et al. (2020) and Ramakers et al. (2017) used a modified approach in their exploration of the association between employment and recidivism: unlike a majority of previous studies which used the employed-unemployed </w:t>
      </w:r>
      <w:r w:rsidRPr="00B310C1">
        <w:rPr>
          <w:rFonts w:ascii="Times New Roman" w:hAnsi="Times New Roman" w:cs="Times New Roman"/>
          <w:color w:val="222222"/>
          <w:sz w:val="24"/>
          <w:szCs w:val="24"/>
          <w:shd w:val="clear" w:color="auto" w:fill="FFFFFF"/>
        </w:rPr>
        <w:lastRenderedPageBreak/>
        <w:t xml:space="preserve">dichotomy as the explanatory variable for recidivism risk, the researchers expanded their description of the employment variable. </w:t>
      </w:r>
    </w:p>
    <w:p w:rsidR="00D92B98" w:rsidRPr="00B310C1" w:rsidRDefault="00D92B98" w:rsidP="00AA5648">
      <w:pPr>
        <w:spacing w:after="0" w:line="480" w:lineRule="auto"/>
        <w:ind w:firstLine="720"/>
        <w:rPr>
          <w:rFonts w:ascii="Times New Roman" w:hAnsi="Times New Roman" w:cs="Times New Roman"/>
          <w:color w:val="222222"/>
          <w:sz w:val="24"/>
          <w:szCs w:val="24"/>
          <w:shd w:val="clear" w:color="auto" w:fill="FFFFFF"/>
        </w:rPr>
      </w:pPr>
      <w:r w:rsidRPr="00B310C1">
        <w:rPr>
          <w:rFonts w:ascii="Times New Roman" w:hAnsi="Times New Roman" w:cs="Times New Roman"/>
          <w:color w:val="222222"/>
          <w:sz w:val="24"/>
          <w:szCs w:val="24"/>
          <w:shd w:val="clear" w:color="auto" w:fill="FFFFFF"/>
        </w:rPr>
        <w:t xml:space="preserve">Bunting et al. (2020) used the longitudinal study design to examine the extent to which employment influenced re-arrest and the average number of days remaining in the community with employment status divided into four categories: unemployed, disabled, full-time, and part-time. The researchers used </w:t>
      </w:r>
      <w:r w:rsidRPr="00B310C1">
        <w:rPr>
          <w:rFonts w:ascii="Times New Roman" w:hAnsi="Times New Roman" w:cs="Times New Roman"/>
          <w:sz w:val="24"/>
          <w:szCs w:val="24"/>
        </w:rPr>
        <w:t xml:space="preserve">time series analysis account to determine the time to incarceration which was used as a measure of recidivism risk (Bunting et al., 2020). </w:t>
      </w:r>
      <w:r w:rsidRPr="00B310C1">
        <w:rPr>
          <w:rFonts w:ascii="Times New Roman" w:hAnsi="Times New Roman" w:cs="Times New Roman"/>
          <w:color w:val="222222"/>
          <w:sz w:val="24"/>
          <w:szCs w:val="24"/>
          <w:shd w:val="clear" w:color="auto" w:fill="FFFFFF"/>
        </w:rPr>
        <w:t>The proportion of participants re-incarcerated at the end of the follow-up period was 25.24%. The re-arrest rate was highest (48.41%) and the average number of days remaining in the community was lowest (260.69 days) in the unemployed group while the re-arrest rate was lowest (12.5%) and the average number of days remaining in the community was highest (346.45 days) in the disabled group. The re-arrest rate in the full-time employed and part-time employed rates were comparable at 81.17% and 82.61% respectively.</w:t>
      </w:r>
    </w:p>
    <w:p w:rsidR="00DC3395" w:rsidRPr="00B310C1" w:rsidRDefault="00D92B98" w:rsidP="00AA5648">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 xml:space="preserve">The authors conducted post-hoc contrasts of the ANOVA analysis comparing mean days in the community across the three groups which showed a statistically significant difference between the disabled group and each of the two groups (Bunting et al., 2020). The difference in the mean number of days between the full-time and part-time groups was statistically significant (Bunting et al., 2020). </w:t>
      </w:r>
      <w:r w:rsidRPr="00B310C1">
        <w:rPr>
          <w:rFonts w:ascii="Times New Roman" w:hAnsi="Times New Roman" w:cs="Times New Roman"/>
          <w:color w:val="222222"/>
          <w:sz w:val="24"/>
          <w:szCs w:val="24"/>
          <w:shd w:val="clear" w:color="auto" w:fill="FFFFFF"/>
        </w:rPr>
        <w:t xml:space="preserve">The findings of Ramakers et al. (2017) study on the employment characteristics that minimize were comparable to those of Bunting et al. (2020). The authors followed a group of 714 ex-prisoners for a year and investigated the association between employment characteristics and recidivism rate in this population of ex-prisoners (Ramakers et al., 2017). The researchers found that jobs that offered a higher level of stability (full-time rather than part-time) and a higher occupational level decreased the re-arrest rate in the population of </w:t>
      </w:r>
      <w:r w:rsidRPr="00B310C1">
        <w:rPr>
          <w:rFonts w:ascii="Times New Roman" w:hAnsi="Times New Roman" w:cs="Times New Roman"/>
          <w:color w:val="222222"/>
          <w:sz w:val="24"/>
          <w:szCs w:val="24"/>
          <w:shd w:val="clear" w:color="auto" w:fill="FFFFFF"/>
        </w:rPr>
        <w:lastRenderedPageBreak/>
        <w:t>high-risk offenders (Ramakers et al., 2017). The relationship between occupational level and recidivism risk supports the theory that an increased stake in conformity reduces the likelihood of recidivism (</w:t>
      </w:r>
      <w:r w:rsidRPr="00B310C1">
        <w:rPr>
          <w:rFonts w:ascii="Times New Roman" w:eastAsia="Times New Roman" w:hAnsi="Times New Roman" w:cs="Times New Roman"/>
          <w:sz w:val="24"/>
          <w:szCs w:val="24"/>
        </w:rPr>
        <w:t>Atkin-Plunk &amp; Armstrong, 2018</w:t>
      </w:r>
      <w:r w:rsidRPr="00B310C1">
        <w:rPr>
          <w:rFonts w:ascii="Times New Roman" w:hAnsi="Times New Roman" w:cs="Times New Roman"/>
          <w:color w:val="222222"/>
          <w:sz w:val="24"/>
          <w:szCs w:val="24"/>
          <w:shd w:val="clear" w:color="auto" w:fill="FFFFFF"/>
        </w:rPr>
        <w:t>). Homelessness was evidenced to be a leading risk factor in across unemployment groups (Bunting et al., 2020; Ramakers et al., 2017): this factor should, therefore, be addressed by state parole programs to improve reentry outcomes for all persons across employment categories (Bunting et al., 2020).</w:t>
      </w:r>
    </w:p>
    <w:p w:rsidR="008B72A6" w:rsidRDefault="0013670F" w:rsidP="0026364B">
      <w:pPr>
        <w:pStyle w:val="Heading3"/>
        <w:spacing w:line="480" w:lineRule="auto"/>
        <w:rPr>
          <w:rFonts w:ascii="Times New Roman" w:hAnsi="Times New Roman" w:cs="Times New Roman"/>
          <w:b/>
          <w:color w:val="000000" w:themeColor="text1"/>
        </w:rPr>
      </w:pPr>
      <w:r w:rsidRPr="00B310C1">
        <w:rPr>
          <w:rFonts w:ascii="Times New Roman" w:hAnsi="Times New Roman" w:cs="Times New Roman"/>
          <w:b/>
          <w:color w:val="000000" w:themeColor="text1"/>
        </w:rPr>
        <w:t>2</w:t>
      </w:r>
      <w:r w:rsidR="00A30B17" w:rsidRPr="00B310C1">
        <w:rPr>
          <w:rFonts w:ascii="Times New Roman" w:hAnsi="Times New Roman" w:cs="Times New Roman"/>
          <w:b/>
          <w:color w:val="000000" w:themeColor="text1"/>
        </w:rPr>
        <w:t>.2.2</w:t>
      </w:r>
      <w:r w:rsidR="005F216A" w:rsidRPr="00B310C1">
        <w:rPr>
          <w:rFonts w:ascii="Times New Roman" w:hAnsi="Times New Roman" w:cs="Times New Roman"/>
          <w:b/>
          <w:color w:val="000000" w:themeColor="text1"/>
        </w:rPr>
        <w:t>.</w:t>
      </w:r>
      <w:r w:rsidR="005F697C" w:rsidRPr="00B310C1">
        <w:rPr>
          <w:rFonts w:ascii="Times New Roman" w:hAnsi="Times New Roman" w:cs="Times New Roman"/>
          <w:b/>
          <w:color w:val="000000" w:themeColor="text1"/>
        </w:rPr>
        <w:t xml:space="preserve"> </w:t>
      </w:r>
      <w:r w:rsidR="008B72A6" w:rsidRPr="00B310C1">
        <w:rPr>
          <w:rFonts w:ascii="Times New Roman" w:hAnsi="Times New Roman" w:cs="Times New Roman"/>
          <w:b/>
          <w:color w:val="000000" w:themeColor="text1"/>
        </w:rPr>
        <w:t>Proximity to local crime hotspots</w:t>
      </w:r>
    </w:p>
    <w:p w:rsidR="00770886" w:rsidRPr="00B310C1" w:rsidRDefault="00770886" w:rsidP="00770886">
      <w:pPr>
        <w:spacing w:after="0" w:line="480" w:lineRule="auto"/>
        <w:ind w:firstLine="720"/>
        <w:rPr>
          <w:rFonts w:ascii="Times New Roman" w:hAnsi="Times New Roman" w:cs="Times New Roman"/>
          <w:color w:val="222222"/>
          <w:sz w:val="24"/>
          <w:szCs w:val="24"/>
          <w:shd w:val="clear" w:color="auto" w:fill="FFFFFF"/>
        </w:rPr>
      </w:pPr>
      <w:r w:rsidRPr="00B310C1">
        <w:rPr>
          <w:rFonts w:ascii="Times New Roman" w:hAnsi="Times New Roman" w:cs="Times New Roman"/>
          <w:color w:val="222222"/>
          <w:sz w:val="24"/>
          <w:szCs w:val="24"/>
          <w:shd w:val="clear" w:color="auto" w:fill="FFFFFF"/>
        </w:rPr>
        <w:t xml:space="preserve">The crime pattern theory suggests that the presence of opportunities to commit crime and exposure to negative peer pressure will influence individuals’ criminal behavior (Brantingham &amp; Brantingham, 1995). Criminology statistics indicate that crime is highly localized within the US with more than half of the male prisoners in the US returning to few community locales within Chicago following their release from prison. The localization of crime to core communities implies that a majority of prison releases return to live in close proximity to other offenders increasing the likelihood of recidivating. Quantitative researchers linking local crime hotspots to recidivism have used different measures for proximity to local crime hotspots with highly varied results. </w:t>
      </w:r>
      <w:r w:rsidRPr="00B310C1">
        <w:rPr>
          <w:rFonts w:ascii="Times New Roman" w:hAnsi="Times New Roman" w:cs="Times New Roman"/>
          <w:sz w:val="24"/>
          <w:szCs w:val="24"/>
        </w:rPr>
        <w:t xml:space="preserve">Miller et al.’s (2016) study seeking to establish a relationship between proximity to drug markets and re-arrest rates found no relationship between the two variables. Following the re-operationalization of the study variables and the change in study objectives to determine </w:t>
      </w:r>
      <w:r w:rsidRPr="00B310C1">
        <w:rPr>
          <w:rFonts w:ascii="Times New Roman" w:hAnsi="Times New Roman" w:cs="Times New Roman"/>
          <w:color w:val="222222"/>
          <w:sz w:val="24"/>
          <w:szCs w:val="24"/>
          <w:shd w:val="clear" w:color="auto" w:fill="FFFFFF"/>
        </w:rPr>
        <w:t xml:space="preserve">the value of proximity of parolee’s residences from violent crime hotspots in predicting the number of drug, property, and violent crime cases, Miller, Caplan and Ostermann’s (2016) found modest evidence supporting the hypothesis that proximity to a local crime hotspot increased the probability of re-arrest. Ex-offenders have also been shown to be less likely to recidivate if </w:t>
      </w:r>
      <w:r w:rsidRPr="00B310C1">
        <w:rPr>
          <w:rFonts w:ascii="Times New Roman" w:hAnsi="Times New Roman" w:cs="Times New Roman"/>
          <w:color w:val="222222"/>
          <w:sz w:val="24"/>
          <w:szCs w:val="24"/>
          <w:shd w:val="clear" w:color="auto" w:fill="FFFFFF"/>
        </w:rPr>
        <w:lastRenderedPageBreak/>
        <w:t>relocated from their residences (Houser et al., 2018). These findings support interventions that aim at removing offenders from their pre-imprisonment environments.</w:t>
      </w:r>
    </w:p>
    <w:p w:rsidR="00770886" w:rsidRDefault="00770886" w:rsidP="00770886">
      <w:pPr>
        <w:spacing w:after="0" w:line="480" w:lineRule="auto"/>
        <w:ind w:firstLine="720"/>
        <w:rPr>
          <w:rFonts w:ascii="Times New Roman" w:hAnsi="Times New Roman" w:cs="Times New Roman"/>
          <w:sz w:val="24"/>
          <w:szCs w:val="24"/>
        </w:rPr>
      </w:pPr>
      <w:r w:rsidRPr="00B310C1">
        <w:rPr>
          <w:rFonts w:ascii="Times New Roman" w:hAnsi="Times New Roman" w:cs="Times New Roman"/>
          <w:sz w:val="24"/>
          <w:szCs w:val="24"/>
        </w:rPr>
        <w:t>While research and crime pattern theory supports the proximity to local crime hotspots as a recidivism risk factor, it is worthwhile to note that the factor is closely entwined with the dual factors of offenders’ income level and ethnicity as showcased by the significant interaction between proximity to local crime hotspot and insignificant main effect of proximity to local crime hotspots as reported</w:t>
      </w:r>
      <w:r>
        <w:rPr>
          <w:rFonts w:ascii="Times New Roman" w:hAnsi="Times New Roman" w:cs="Times New Roman"/>
          <w:sz w:val="24"/>
          <w:szCs w:val="24"/>
        </w:rPr>
        <w:t xml:space="preserve"> in McNeeley’s (2018) study. McNeeley (2018) looked into the extent to which ecological factors, such as proximity to local crime hotspots, influenced recidivism risk whilst controlling for gender, race, and housing type. Using longitudinal residence and re-arrest data collected from inmates released from Minnesota state jails in 2009, the researcher conducted logistic regression analyses to determine whether neighborhood factors predicted re-arrest rates across the demographic subcategories (McNeeley, 2018). The results indicated that a significant association between the re-arrest rates and neighborhood characteristics for Black and Latino ex-offenders but not for White ex-offenders (McNeeley, 2018).  From McNeeley’s (2018) findings, ethnicity is a protective/risk factor in the relationship between recidivism and proximity to local crime hotspots.</w:t>
      </w:r>
    </w:p>
    <w:p w:rsidR="003F4D53" w:rsidRPr="00E37DD9" w:rsidRDefault="00770886" w:rsidP="00E37DD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differential impact of ecological factors on recidivism risk was also explored in the study by Huebner and Pleggenkuhle (2015). The researchers stratified their sample by gender and looked at the association between ex-offenders’ residential location and recidivism risk in the two strata. As with McNeeley (2018), the researchers reported a correlation between proximity to local crime hotspots and in the male stratum but not in the female stratum. Huebner and Pleggenkuhle (2015) and McNeeley’s (2018) findings support the tenets of social disorganization research which suggest the differential socialization of women to spend more </w:t>
      </w:r>
      <w:r>
        <w:rPr>
          <w:rFonts w:ascii="Times New Roman" w:hAnsi="Times New Roman" w:cs="Times New Roman"/>
          <w:sz w:val="24"/>
          <w:szCs w:val="24"/>
        </w:rPr>
        <w:lastRenderedPageBreak/>
        <w:t>time within the household and men to spend more time in the community makes neighborhood factors more relevant to male ex-offenders’ recidivism outcomes. While the results presented by a section of researchers have shown a robust association between recidivism and proximity to local crime hotspots in the subgroup of minorities and male ex-offenders, some researchers have reported an insignificant relationship between the two variables. Wright et al. (2015) used self-report re-arrest data from the Pathways to Desistance to establish a relationship between neighborhood factors and recidivism and reported no relationship between the two variables. This study was, however, cross-sectional compared to the two longitudinal studies that reported the existence of a correl</w:t>
      </w:r>
      <w:r w:rsidR="00491517">
        <w:rPr>
          <w:rFonts w:ascii="Times New Roman" w:hAnsi="Times New Roman" w:cs="Times New Roman"/>
          <w:sz w:val="24"/>
          <w:szCs w:val="24"/>
        </w:rPr>
        <w:t>ation between the two variables: the dissimilarities in the research findings could, therefore, have arisen from the study design differences.</w:t>
      </w:r>
    </w:p>
    <w:p w:rsidR="00CA4AFE" w:rsidRDefault="00A30B17" w:rsidP="0026364B">
      <w:pPr>
        <w:pStyle w:val="Heading3"/>
        <w:spacing w:line="480" w:lineRule="auto"/>
        <w:rPr>
          <w:rFonts w:ascii="Times New Roman" w:hAnsi="Times New Roman" w:cs="Times New Roman"/>
          <w:b/>
          <w:color w:val="000000" w:themeColor="text1"/>
        </w:rPr>
      </w:pPr>
      <w:r w:rsidRPr="00B310C1">
        <w:rPr>
          <w:rFonts w:ascii="Times New Roman" w:hAnsi="Times New Roman" w:cs="Times New Roman"/>
          <w:b/>
          <w:color w:val="000000" w:themeColor="text1"/>
        </w:rPr>
        <w:t>2.2.3</w:t>
      </w:r>
      <w:r w:rsidR="00457F9B" w:rsidRPr="00B310C1">
        <w:rPr>
          <w:rFonts w:ascii="Times New Roman" w:hAnsi="Times New Roman" w:cs="Times New Roman"/>
          <w:b/>
          <w:color w:val="000000" w:themeColor="text1"/>
        </w:rPr>
        <w:t>.</w:t>
      </w:r>
      <w:r w:rsidR="0013670F" w:rsidRPr="00B310C1">
        <w:rPr>
          <w:rFonts w:ascii="Times New Roman" w:hAnsi="Times New Roman" w:cs="Times New Roman"/>
          <w:b/>
          <w:color w:val="000000" w:themeColor="text1"/>
        </w:rPr>
        <w:t xml:space="preserve"> </w:t>
      </w:r>
      <w:r w:rsidR="0029180D" w:rsidRPr="00B310C1">
        <w:rPr>
          <w:rFonts w:ascii="Times New Roman" w:hAnsi="Times New Roman" w:cs="Times New Roman"/>
          <w:b/>
          <w:color w:val="000000" w:themeColor="text1"/>
        </w:rPr>
        <w:t>Ethnicity</w:t>
      </w:r>
    </w:p>
    <w:p w:rsidR="009420B0" w:rsidRDefault="009420B0" w:rsidP="009420B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Crime </w:t>
      </w:r>
      <w:r w:rsidRPr="00AC2DA9">
        <w:rPr>
          <w:rFonts w:ascii="Times New Roman" w:hAnsi="Times New Roman" w:cs="Times New Roman"/>
          <w:sz w:val="24"/>
          <w:szCs w:val="24"/>
        </w:rPr>
        <w:t>trend statistics indicate that the risk of recidivating varies across ethnic groups with ex-prisoners’ from ethnic minorities being exposed to higher recidivism risk (Carson &amp; Anderson, 2016; Anderson et al.,</w:t>
      </w:r>
      <w:r>
        <w:rPr>
          <w:rFonts w:ascii="Times New Roman" w:hAnsi="Times New Roman" w:cs="Times New Roman"/>
          <w:sz w:val="24"/>
          <w:szCs w:val="24"/>
        </w:rPr>
        <w:t xml:space="preserve"> </w:t>
      </w:r>
      <w:r w:rsidRPr="00AC2DA9">
        <w:rPr>
          <w:rFonts w:ascii="Times New Roman" w:hAnsi="Times New Roman" w:cs="Times New Roman"/>
          <w:sz w:val="24"/>
          <w:szCs w:val="24"/>
        </w:rPr>
        <w:t>2018; Durose, Cooper &amp; Snyder, 2014). In their descriptive study of the characteristics of recidivating prisoners, Durose et al. (2014) followed 404,638 ex-prisoners released from state prisons in 2005 for a five-year period. The researchers reported higher recidivism rates among minorities: 80% and 75% of Black and Hispanic ex-prisoners were re-arrested during the follow-up period compared to 73% of White offender recidivating in the same period (Durose et al., 2014).</w:t>
      </w:r>
      <w:r>
        <w:rPr>
          <w:rFonts w:ascii="Times New Roman" w:hAnsi="Times New Roman" w:cs="Times New Roman"/>
          <w:sz w:val="24"/>
          <w:szCs w:val="24"/>
        </w:rPr>
        <w:t xml:space="preserve"> The higher recidivism risk in minority communities has been shown to have collateral consequences ranging from cumulative social and economic disadvantage, over-surveillance, stereotypical criminalization of residents, and the subsequent risk of heavy sentencing for minor crimes (Lopez-Aguado, 2016).</w:t>
      </w:r>
    </w:p>
    <w:p w:rsidR="009420B0" w:rsidRPr="00AC2DA9" w:rsidRDefault="009420B0" w:rsidP="009420B0">
      <w:pPr>
        <w:spacing w:after="0" w:line="480" w:lineRule="auto"/>
        <w:ind w:firstLine="720"/>
        <w:rPr>
          <w:rFonts w:ascii="Times New Roman" w:hAnsi="Times New Roman" w:cs="Times New Roman"/>
          <w:sz w:val="24"/>
          <w:szCs w:val="24"/>
        </w:rPr>
      </w:pPr>
      <w:r w:rsidRPr="00AC2DA9">
        <w:rPr>
          <w:rFonts w:ascii="Times New Roman" w:hAnsi="Times New Roman" w:cs="Times New Roman"/>
          <w:sz w:val="24"/>
          <w:szCs w:val="24"/>
        </w:rPr>
        <w:lastRenderedPageBreak/>
        <w:t xml:space="preserve"> A variety of perspectives have been advanced to explain the disproportionately high re-arrest rates among minorities. Criminologists have presented the prisonization of minorities and the over-surveillance of Black and Latina communities as the leading causes of the higher recidivism rates in the Black and Latina ethnic groups (Lopez-Aguado, 2016 &amp; Markman et al., 2016). Prisonization is described as the socialization of inmates to embody the traits and behaviors of prisoners and is thus considered as a criminalization process (Lopez-Aguado, 2016). Researchers have argued that the prisonization of members of a mass-incarcerated community with without the application of interventions to reverse the criminalization process after release diminishes the possibility of re-integration into society for most members of the community spurring the recidivism rates. The</w:t>
      </w:r>
      <w:r>
        <w:rPr>
          <w:rFonts w:ascii="Times New Roman" w:hAnsi="Times New Roman" w:cs="Times New Roman"/>
          <w:sz w:val="24"/>
          <w:szCs w:val="24"/>
        </w:rPr>
        <w:t xml:space="preserve"> high re-arrest rate in the population of Black and Latina ex-offenders</w:t>
      </w:r>
      <w:r w:rsidRPr="00AC2DA9">
        <w:rPr>
          <w:rFonts w:ascii="Times New Roman" w:hAnsi="Times New Roman" w:cs="Times New Roman"/>
          <w:sz w:val="24"/>
          <w:szCs w:val="24"/>
        </w:rPr>
        <w:t xml:space="preserve"> is </w:t>
      </w:r>
      <w:r>
        <w:rPr>
          <w:rFonts w:ascii="Times New Roman" w:hAnsi="Times New Roman" w:cs="Times New Roman"/>
          <w:sz w:val="24"/>
          <w:szCs w:val="24"/>
        </w:rPr>
        <w:t>further stimulated</w:t>
      </w:r>
      <w:r w:rsidRPr="00AC2DA9">
        <w:rPr>
          <w:rFonts w:ascii="Times New Roman" w:hAnsi="Times New Roman" w:cs="Times New Roman"/>
          <w:sz w:val="24"/>
          <w:szCs w:val="24"/>
        </w:rPr>
        <w:t xml:space="preserve"> by the </w:t>
      </w:r>
      <w:r>
        <w:rPr>
          <w:rFonts w:ascii="Times New Roman" w:hAnsi="Times New Roman" w:cs="Times New Roman"/>
          <w:sz w:val="24"/>
          <w:szCs w:val="24"/>
        </w:rPr>
        <w:t xml:space="preserve">stereotypes on the criminal nature of these minorities that permeate law enforcement groups </w:t>
      </w:r>
      <w:r w:rsidRPr="00AC2DA9">
        <w:rPr>
          <w:rFonts w:ascii="Times New Roman" w:hAnsi="Times New Roman" w:cs="Times New Roman"/>
          <w:sz w:val="24"/>
          <w:szCs w:val="24"/>
        </w:rPr>
        <w:t>result</w:t>
      </w:r>
      <w:r>
        <w:rPr>
          <w:rFonts w:ascii="Times New Roman" w:hAnsi="Times New Roman" w:cs="Times New Roman"/>
          <w:sz w:val="24"/>
          <w:szCs w:val="24"/>
        </w:rPr>
        <w:t>ing</w:t>
      </w:r>
      <w:r w:rsidRPr="00AC2DA9">
        <w:rPr>
          <w:rFonts w:ascii="Times New Roman" w:hAnsi="Times New Roman" w:cs="Times New Roman"/>
          <w:sz w:val="24"/>
          <w:szCs w:val="24"/>
        </w:rPr>
        <w:t xml:space="preserve"> in the over-surveillance of minority groups and subsequent re-arrest for minor infractions such as violation of parole regulations in what is referred to as back-end sentencing (Berry et al., 2018; Lopez-Aguado, 2016)</w:t>
      </w:r>
    </w:p>
    <w:p w:rsidR="009420B0" w:rsidRPr="009420B0" w:rsidRDefault="009420B0" w:rsidP="009420B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Using the retrospective entry cohort design, Berry et al. (2017) identified 22,650 prisoners released North Carolina’s state prisons between June 2000 and July 2001 and retrospectively analyzed the influence of gender and ethnicity on the participant’s recidivism status eight years after their release. The findings of the study showed a higher recidivism rate for Black men (58.2%) in the 8-year period despite the population having the lowest number of prior convictions and current offenses and the lowest rate of drug addiction and alcohol problems, which are evidenced dynamic recidivism risk factors (Berry et al., 2018). Black men scored higher than Black women, White men, and While women for two risk factors: age at first arrest and marital status. In a study whose objectives overlapped with Berry et al.’s (2018), </w:t>
      </w:r>
      <w:r w:rsidRPr="00AC2DA9">
        <w:rPr>
          <w:rFonts w:ascii="Times New Roman" w:hAnsi="Times New Roman" w:cs="Times New Roman"/>
          <w:sz w:val="24"/>
          <w:szCs w:val="24"/>
        </w:rPr>
        <w:lastRenderedPageBreak/>
        <w:t>Lockwood et al. (2015) looked into the differential impact of education level and race on ex-prisoners’ employment prospects and recidivism rat</w:t>
      </w:r>
      <w:r>
        <w:rPr>
          <w:rFonts w:ascii="Times New Roman" w:hAnsi="Times New Roman" w:cs="Times New Roman"/>
          <w:sz w:val="24"/>
          <w:szCs w:val="24"/>
        </w:rPr>
        <w:t>e. The researchers</w:t>
      </w:r>
      <w:r w:rsidRPr="00AC2DA9">
        <w:rPr>
          <w:rFonts w:ascii="Times New Roman" w:hAnsi="Times New Roman" w:cs="Times New Roman"/>
          <w:sz w:val="24"/>
          <w:szCs w:val="24"/>
        </w:rPr>
        <w:t xml:space="preserve"> followed 6,394 ex-prisoners for a period of 5-years, collecting employment, income, and re-arrest data which were then analyzed using multi-level logistic regression analyses</w:t>
      </w:r>
      <w:r>
        <w:rPr>
          <w:rFonts w:ascii="Times New Roman" w:hAnsi="Times New Roman" w:cs="Times New Roman"/>
          <w:sz w:val="24"/>
          <w:szCs w:val="24"/>
        </w:rPr>
        <w:t xml:space="preserve"> (Lockwood et al., 2015)</w:t>
      </w:r>
      <w:r w:rsidRPr="00AC2DA9">
        <w:rPr>
          <w:rFonts w:ascii="Times New Roman" w:hAnsi="Times New Roman" w:cs="Times New Roman"/>
          <w:sz w:val="24"/>
          <w:szCs w:val="24"/>
        </w:rPr>
        <w:t xml:space="preserve">. Employment status and education level were shown to be the most significant predictors of recidivism across the sample. When controlling for education level, the researchers found that Black ex-prisoners had higher unemployment and recidivism rates than their White counterparts. </w:t>
      </w:r>
    </w:p>
    <w:p w:rsidR="00A30B17" w:rsidRPr="00B310C1" w:rsidRDefault="00752547" w:rsidP="0026364B">
      <w:pPr>
        <w:pStyle w:val="Heading3"/>
        <w:spacing w:line="480" w:lineRule="auto"/>
        <w:rPr>
          <w:rFonts w:ascii="Times New Roman" w:hAnsi="Times New Roman" w:cs="Times New Roman"/>
          <w:b/>
          <w:color w:val="000000" w:themeColor="text1"/>
        </w:rPr>
      </w:pPr>
      <w:r>
        <w:rPr>
          <w:rFonts w:ascii="Times New Roman" w:hAnsi="Times New Roman" w:cs="Times New Roman"/>
          <w:b/>
          <w:color w:val="000000" w:themeColor="text1"/>
        </w:rPr>
        <w:t>2.2.4</w:t>
      </w:r>
      <w:r w:rsidR="00A30B17" w:rsidRPr="00B310C1">
        <w:rPr>
          <w:rFonts w:ascii="Times New Roman" w:hAnsi="Times New Roman" w:cs="Times New Roman"/>
          <w:b/>
          <w:color w:val="000000" w:themeColor="text1"/>
        </w:rPr>
        <w:t>. Familial Attachment</w:t>
      </w:r>
    </w:p>
    <w:p w:rsidR="00291F8B" w:rsidRPr="00B310C1" w:rsidRDefault="00002ABC" w:rsidP="00002ABC">
      <w:pPr>
        <w:spacing w:line="480" w:lineRule="auto"/>
        <w:ind w:firstLine="720"/>
        <w:rPr>
          <w:rFonts w:ascii="Times New Roman" w:hAnsi="Times New Roman" w:cs="Times New Roman"/>
          <w:color w:val="222222"/>
          <w:sz w:val="24"/>
          <w:szCs w:val="24"/>
          <w:shd w:val="clear" w:color="auto" w:fill="FFFFFF"/>
        </w:rPr>
      </w:pPr>
      <w:r w:rsidRPr="00B310C1">
        <w:rPr>
          <w:rFonts w:ascii="Times New Roman" w:hAnsi="Times New Roman" w:cs="Times New Roman"/>
          <w:color w:val="222222"/>
          <w:sz w:val="24"/>
          <w:szCs w:val="24"/>
          <w:shd w:val="clear" w:color="auto" w:fill="FFFFFF"/>
        </w:rPr>
        <w:t xml:space="preserve">The life-course theory suggests that early childhood experiences and an individual’s attachment to their family in their early years and into adulthood influences their choices including the choice to engage in criminal activity. Studies looking into crime initiation and </w:t>
      </w:r>
      <w:r w:rsidR="001B0C61">
        <w:rPr>
          <w:rFonts w:ascii="Times New Roman" w:hAnsi="Times New Roman" w:cs="Times New Roman"/>
          <w:color w:val="222222"/>
          <w:sz w:val="24"/>
          <w:szCs w:val="24"/>
          <w:shd w:val="clear" w:color="auto" w:fill="FFFFFF"/>
        </w:rPr>
        <w:t xml:space="preserve">recidivism have provided vast </w:t>
      </w:r>
      <w:r w:rsidR="00E1144F">
        <w:rPr>
          <w:rFonts w:ascii="Times New Roman" w:hAnsi="Times New Roman" w:cs="Times New Roman"/>
          <w:color w:val="222222"/>
          <w:sz w:val="24"/>
          <w:szCs w:val="24"/>
          <w:shd w:val="clear" w:color="auto" w:fill="FFFFFF"/>
        </w:rPr>
        <w:t>evidence indicating</w:t>
      </w:r>
      <w:r w:rsidRPr="00B310C1">
        <w:rPr>
          <w:rFonts w:ascii="Times New Roman" w:hAnsi="Times New Roman" w:cs="Times New Roman"/>
          <w:color w:val="222222"/>
          <w:sz w:val="24"/>
          <w:szCs w:val="24"/>
          <w:shd w:val="clear" w:color="auto" w:fill="FFFFFF"/>
        </w:rPr>
        <w:t xml:space="preserve"> that an increase in the level of familial attachment </w:t>
      </w:r>
      <w:r w:rsidR="00291F8B" w:rsidRPr="00B310C1">
        <w:rPr>
          <w:rFonts w:ascii="Times New Roman" w:hAnsi="Times New Roman" w:cs="Times New Roman"/>
          <w:color w:val="222222"/>
          <w:sz w:val="24"/>
          <w:szCs w:val="24"/>
          <w:shd w:val="clear" w:color="auto" w:fill="FFFFFF"/>
        </w:rPr>
        <w:t>deter</w:t>
      </w:r>
      <w:r w:rsidRPr="00B310C1">
        <w:rPr>
          <w:rFonts w:ascii="Times New Roman" w:hAnsi="Times New Roman" w:cs="Times New Roman"/>
          <w:color w:val="222222"/>
          <w:sz w:val="24"/>
          <w:szCs w:val="24"/>
          <w:shd w:val="clear" w:color="auto" w:fill="FFFFFF"/>
        </w:rPr>
        <w:t>s</w:t>
      </w:r>
      <w:r w:rsidR="00291F8B" w:rsidRPr="00B310C1">
        <w:rPr>
          <w:rFonts w:ascii="Times New Roman" w:hAnsi="Times New Roman" w:cs="Times New Roman"/>
          <w:color w:val="222222"/>
          <w:sz w:val="24"/>
          <w:szCs w:val="24"/>
          <w:shd w:val="clear" w:color="auto" w:fill="FFFFFF"/>
        </w:rPr>
        <w:t xml:space="preserve"> criminal behavior</w:t>
      </w:r>
      <w:r w:rsidR="00B02974">
        <w:rPr>
          <w:rFonts w:ascii="Times New Roman" w:hAnsi="Times New Roman" w:cs="Times New Roman"/>
          <w:color w:val="222222"/>
          <w:sz w:val="24"/>
          <w:szCs w:val="24"/>
          <w:shd w:val="clear" w:color="auto" w:fill="FFFFFF"/>
        </w:rPr>
        <w:t xml:space="preserve"> (</w:t>
      </w:r>
      <w:r w:rsidR="00B02974" w:rsidRPr="00275C7C">
        <w:rPr>
          <w:rFonts w:ascii="Times New Roman" w:eastAsia="Times New Roman" w:hAnsi="Times New Roman" w:cs="Times New Roman"/>
          <w:sz w:val="24"/>
          <w:szCs w:val="24"/>
        </w:rPr>
        <w:t>Atkin-Plunk</w:t>
      </w:r>
      <w:r w:rsidR="00B02974">
        <w:rPr>
          <w:rFonts w:ascii="Times New Roman" w:eastAsia="Times New Roman" w:hAnsi="Times New Roman" w:cs="Times New Roman"/>
          <w:sz w:val="24"/>
          <w:szCs w:val="24"/>
        </w:rPr>
        <w:t xml:space="preserve"> &amp; Armstrong, 2017</w:t>
      </w:r>
      <w:r w:rsidR="004620F7">
        <w:rPr>
          <w:rFonts w:ascii="Times New Roman" w:eastAsia="Times New Roman" w:hAnsi="Times New Roman" w:cs="Times New Roman"/>
          <w:sz w:val="24"/>
          <w:szCs w:val="24"/>
        </w:rPr>
        <w:t>; Brunton-Smith &amp; McCarthy, 2016</w:t>
      </w:r>
      <w:r w:rsidR="00E7688A" w:rsidRPr="00B310C1">
        <w:rPr>
          <w:rFonts w:ascii="Times New Roman" w:hAnsi="Times New Roman" w:cs="Times New Roman"/>
          <w:color w:val="222222"/>
          <w:sz w:val="24"/>
          <w:szCs w:val="24"/>
          <w:shd w:val="clear" w:color="auto" w:fill="FFFFFF"/>
        </w:rPr>
        <w:t>)</w:t>
      </w:r>
      <w:r w:rsidR="00291F8B" w:rsidRPr="00B310C1">
        <w:rPr>
          <w:rFonts w:ascii="Times New Roman" w:hAnsi="Times New Roman" w:cs="Times New Roman"/>
          <w:color w:val="222222"/>
          <w:sz w:val="24"/>
          <w:szCs w:val="24"/>
          <w:shd w:val="clear" w:color="auto" w:fill="FFFFFF"/>
        </w:rPr>
        <w:t xml:space="preserve">. </w:t>
      </w:r>
      <w:r w:rsidR="009B3BCB">
        <w:rPr>
          <w:rFonts w:ascii="Times New Roman" w:hAnsi="Times New Roman" w:cs="Times New Roman"/>
          <w:color w:val="222222"/>
          <w:sz w:val="24"/>
          <w:szCs w:val="24"/>
          <w:shd w:val="clear" w:color="auto" w:fill="FFFFFF"/>
        </w:rPr>
        <w:t xml:space="preserve">Researches have </w:t>
      </w:r>
      <w:r w:rsidR="000960C0" w:rsidRPr="00B310C1">
        <w:rPr>
          <w:rFonts w:ascii="Times New Roman" w:hAnsi="Times New Roman" w:cs="Times New Roman"/>
          <w:color w:val="222222"/>
          <w:sz w:val="24"/>
          <w:szCs w:val="24"/>
          <w:shd w:val="clear" w:color="auto" w:fill="FFFFFF"/>
        </w:rPr>
        <w:t xml:space="preserve">presented that the maintenance of prosocial ties with offenders during incarceration has multiple positive psychological outcomes; providing emotional support, increasing offenders’ commitment to family members, assisting </w:t>
      </w:r>
      <w:r w:rsidR="00FF2BA3" w:rsidRPr="00B310C1">
        <w:rPr>
          <w:rFonts w:ascii="Times New Roman" w:hAnsi="Times New Roman" w:cs="Times New Roman"/>
          <w:color w:val="222222"/>
          <w:sz w:val="24"/>
          <w:szCs w:val="24"/>
          <w:shd w:val="clear" w:color="auto" w:fill="FFFFFF"/>
        </w:rPr>
        <w:t>in processing and coping with negative incarceration experiences</w:t>
      </w:r>
      <w:r w:rsidR="000960C0" w:rsidRPr="00B310C1">
        <w:rPr>
          <w:rFonts w:ascii="Times New Roman" w:hAnsi="Times New Roman" w:cs="Times New Roman"/>
          <w:color w:val="222222"/>
          <w:sz w:val="24"/>
          <w:szCs w:val="24"/>
          <w:shd w:val="clear" w:color="auto" w:fill="FFFFFF"/>
        </w:rPr>
        <w:t>, and providing hope of successful reintegration into</w:t>
      </w:r>
      <w:r w:rsidR="00FF2BA3" w:rsidRPr="00B310C1">
        <w:rPr>
          <w:rFonts w:ascii="Times New Roman" w:hAnsi="Times New Roman" w:cs="Times New Roman"/>
          <w:color w:val="222222"/>
          <w:sz w:val="24"/>
          <w:szCs w:val="24"/>
          <w:shd w:val="clear" w:color="auto" w:fill="FFFFFF"/>
        </w:rPr>
        <w:t xml:space="preserve"> </w:t>
      </w:r>
      <w:r w:rsidR="000960C0" w:rsidRPr="00B310C1">
        <w:rPr>
          <w:rFonts w:ascii="Times New Roman" w:hAnsi="Times New Roman" w:cs="Times New Roman"/>
          <w:color w:val="222222"/>
          <w:sz w:val="24"/>
          <w:szCs w:val="24"/>
          <w:shd w:val="clear" w:color="auto" w:fill="FFFFFF"/>
        </w:rPr>
        <w:t xml:space="preserve">society on release </w:t>
      </w:r>
      <w:r w:rsidR="00FF2BA3" w:rsidRPr="00B310C1">
        <w:rPr>
          <w:rFonts w:ascii="Times New Roman" w:hAnsi="Times New Roman" w:cs="Times New Roman"/>
          <w:color w:val="222222"/>
          <w:sz w:val="24"/>
          <w:szCs w:val="24"/>
          <w:shd w:val="clear" w:color="auto" w:fill="FFFFFF"/>
        </w:rPr>
        <w:t xml:space="preserve">consequently </w:t>
      </w:r>
      <w:r w:rsidR="000960C0" w:rsidRPr="00B310C1">
        <w:rPr>
          <w:rFonts w:ascii="Times New Roman" w:hAnsi="Times New Roman" w:cs="Times New Roman"/>
          <w:color w:val="222222"/>
          <w:sz w:val="24"/>
          <w:szCs w:val="24"/>
          <w:shd w:val="clear" w:color="auto" w:fill="FFFFFF"/>
        </w:rPr>
        <w:t>encouraging positive behav</w:t>
      </w:r>
      <w:r w:rsidR="00E1697F">
        <w:rPr>
          <w:rFonts w:ascii="Times New Roman" w:hAnsi="Times New Roman" w:cs="Times New Roman"/>
          <w:color w:val="222222"/>
          <w:sz w:val="24"/>
          <w:szCs w:val="24"/>
          <w:shd w:val="clear" w:color="auto" w:fill="FFFFFF"/>
        </w:rPr>
        <w:t xml:space="preserve">ior while imprisoned (Atkin-Plunk &amp; Armstrong, 2017; </w:t>
      </w:r>
      <w:r w:rsidR="00B97C42">
        <w:rPr>
          <w:rFonts w:ascii="Times New Roman" w:hAnsi="Times New Roman" w:cs="Times New Roman"/>
          <w:color w:val="222222"/>
          <w:sz w:val="24"/>
          <w:szCs w:val="24"/>
          <w:shd w:val="clear" w:color="auto" w:fill="FFFFFF"/>
        </w:rPr>
        <w:t>Clark &amp; Duwe, 2017</w:t>
      </w:r>
      <w:r w:rsidR="000960C0" w:rsidRPr="00B310C1">
        <w:rPr>
          <w:rFonts w:ascii="Times New Roman" w:hAnsi="Times New Roman" w:cs="Times New Roman"/>
          <w:color w:val="222222"/>
          <w:sz w:val="24"/>
          <w:szCs w:val="24"/>
          <w:shd w:val="clear" w:color="auto" w:fill="FFFFFF"/>
        </w:rPr>
        <w:t>).</w:t>
      </w:r>
      <w:r w:rsidR="00B97C42">
        <w:rPr>
          <w:rFonts w:ascii="Times New Roman" w:hAnsi="Times New Roman" w:cs="Times New Roman"/>
          <w:color w:val="222222"/>
          <w:sz w:val="24"/>
          <w:szCs w:val="24"/>
          <w:shd w:val="clear" w:color="auto" w:fill="FFFFFF"/>
        </w:rPr>
        <w:t xml:space="preserve"> Walters and Cohen (2016)</w:t>
      </w:r>
      <w:r w:rsidR="00FF2BA3" w:rsidRPr="00B310C1">
        <w:rPr>
          <w:rFonts w:ascii="Times New Roman" w:hAnsi="Times New Roman" w:cs="Times New Roman"/>
          <w:color w:val="222222"/>
          <w:sz w:val="24"/>
          <w:szCs w:val="24"/>
          <w:shd w:val="clear" w:color="auto" w:fill="FFFFFF"/>
        </w:rPr>
        <w:t xml:space="preserve"> also argued that the risk of recidivism is established while incarcerated as individuals tend towards criminal thinking with regard to the period after their release. The evidence presented in literature indicates that individuals with a tendency towards criminal thinking might be </w:t>
      </w:r>
      <w:r w:rsidR="00FF2BA3" w:rsidRPr="00B310C1">
        <w:rPr>
          <w:rFonts w:ascii="Times New Roman" w:hAnsi="Times New Roman" w:cs="Times New Roman"/>
          <w:color w:val="222222"/>
          <w:sz w:val="24"/>
          <w:szCs w:val="24"/>
          <w:shd w:val="clear" w:color="auto" w:fill="FFFFFF"/>
        </w:rPr>
        <w:lastRenderedPageBreak/>
        <w:t>discouraged from their commitment to family and desire to reintegrate into society and ma</w:t>
      </w:r>
      <w:r w:rsidR="00B97C42">
        <w:rPr>
          <w:rFonts w:ascii="Times New Roman" w:hAnsi="Times New Roman" w:cs="Times New Roman"/>
          <w:color w:val="222222"/>
          <w:sz w:val="24"/>
          <w:szCs w:val="24"/>
          <w:shd w:val="clear" w:color="auto" w:fill="FFFFFF"/>
        </w:rPr>
        <w:t>intain ties with friends.</w:t>
      </w:r>
      <w:r w:rsidR="00FF2BA3" w:rsidRPr="00B310C1">
        <w:rPr>
          <w:rFonts w:ascii="Times New Roman" w:hAnsi="Times New Roman" w:cs="Times New Roman"/>
          <w:color w:val="222222"/>
          <w:sz w:val="24"/>
          <w:szCs w:val="24"/>
          <w:shd w:val="clear" w:color="auto" w:fill="FFFFFF"/>
        </w:rPr>
        <w:t xml:space="preserve"> </w:t>
      </w:r>
    </w:p>
    <w:p w:rsidR="00E053DC" w:rsidRPr="00B310C1" w:rsidRDefault="00712A53" w:rsidP="00C22C2C">
      <w:pPr>
        <w:spacing w:after="0" w:line="480" w:lineRule="auto"/>
        <w:ind w:firstLine="720"/>
        <w:rPr>
          <w:rFonts w:ascii="Times New Roman" w:hAnsi="Times New Roman" w:cs="Times New Roman"/>
          <w:b/>
          <w:color w:val="222222"/>
          <w:sz w:val="24"/>
          <w:szCs w:val="24"/>
          <w:shd w:val="clear" w:color="auto" w:fill="FFFFFF"/>
        </w:rPr>
      </w:pPr>
      <w:r>
        <w:rPr>
          <w:rFonts w:ascii="Times New Roman" w:hAnsi="Times New Roman" w:cs="Times New Roman"/>
          <w:color w:val="222222"/>
          <w:sz w:val="24"/>
          <w:szCs w:val="24"/>
          <w:shd w:val="clear" w:color="auto" w:fill="FFFFFF"/>
        </w:rPr>
        <w:t>In a study investigating the impact of ex-offenders’ early childhood experiences and their recidivism</w:t>
      </w:r>
      <w:r w:rsidR="00E053DC" w:rsidRPr="00B310C1">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risk, </w:t>
      </w:r>
      <w:r w:rsidR="00E053DC" w:rsidRPr="00B310C1">
        <w:rPr>
          <w:rFonts w:ascii="Times New Roman" w:hAnsi="Times New Roman" w:cs="Times New Roman"/>
          <w:color w:val="222222"/>
          <w:sz w:val="24"/>
          <w:szCs w:val="24"/>
          <w:shd w:val="clear" w:color="auto" w:fill="FFFFFF"/>
        </w:rPr>
        <w:t>Ba</w:t>
      </w:r>
      <w:r w:rsidR="002C253B">
        <w:rPr>
          <w:rFonts w:ascii="Times New Roman" w:hAnsi="Times New Roman" w:cs="Times New Roman"/>
          <w:color w:val="222222"/>
          <w:sz w:val="24"/>
          <w:szCs w:val="24"/>
          <w:shd w:val="clear" w:color="auto" w:fill="FFFFFF"/>
        </w:rPr>
        <w:t>glivio et al. (2016) reported on the</w:t>
      </w:r>
      <w:r w:rsidR="00E053DC" w:rsidRPr="00B310C1">
        <w:rPr>
          <w:rFonts w:ascii="Times New Roman" w:hAnsi="Times New Roman" w:cs="Times New Roman"/>
          <w:color w:val="222222"/>
          <w:sz w:val="24"/>
          <w:szCs w:val="24"/>
          <w:shd w:val="clear" w:color="auto" w:fill="FFFFFF"/>
        </w:rPr>
        <w:t xml:space="preserve"> differential impact of the timing of child welfare involvement and childhood trauma on the recidivism rates of juvenile offenders placed in juvenile justice residential programs, also referred to as deep-end juvenile offenders. The researchers used data from 12,955 active deep-end juvenile offenders in Florida between 2010 and 2013 in structural equation modelling. Their findings showed that while childhood trauma was not directly associated with recidivism, the timing of child welfare involvement was a significant explainer of youth recidivism with earlier child welfare involvement increasing the risk of youth recidivism. Additionally, the researchers found that child welfare involvement significantly influenced White and Hispanic </w:t>
      </w:r>
      <w:r w:rsidR="002C253B">
        <w:rPr>
          <w:rFonts w:ascii="Times New Roman" w:hAnsi="Times New Roman" w:cs="Times New Roman"/>
          <w:color w:val="222222"/>
          <w:sz w:val="24"/>
          <w:szCs w:val="24"/>
          <w:shd w:val="clear" w:color="auto" w:fill="FFFFFF"/>
        </w:rPr>
        <w:t>youth’s recidivism rates but had</w:t>
      </w:r>
      <w:r w:rsidR="00E053DC" w:rsidRPr="00B310C1">
        <w:rPr>
          <w:rFonts w:ascii="Times New Roman" w:hAnsi="Times New Roman" w:cs="Times New Roman"/>
          <w:color w:val="222222"/>
          <w:sz w:val="24"/>
          <w:szCs w:val="24"/>
          <w:shd w:val="clear" w:color="auto" w:fill="FFFFFF"/>
        </w:rPr>
        <w:t xml:space="preserve"> no effect on the recidivating of Black youth. </w:t>
      </w:r>
      <w:r w:rsidR="002C253B">
        <w:rPr>
          <w:rFonts w:ascii="Times New Roman" w:hAnsi="Times New Roman" w:cs="Times New Roman"/>
          <w:color w:val="222222"/>
          <w:sz w:val="24"/>
          <w:szCs w:val="24"/>
          <w:shd w:val="clear" w:color="auto" w:fill="FFFFFF"/>
        </w:rPr>
        <w:t>Their results suggest an interaction effect between early childhood experiences and ethnicity with African-American ethnicity being a risk factor that exacerbates recidivism risk regardless of the child welfare involvement stage.</w:t>
      </w:r>
    </w:p>
    <w:p w:rsidR="007F5832" w:rsidRDefault="00672F67" w:rsidP="00672F67">
      <w:pPr>
        <w:spacing w:after="0"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 section of studies on the role of</w:t>
      </w:r>
      <w:r w:rsidR="006C68ED" w:rsidRPr="00B310C1">
        <w:rPr>
          <w:rFonts w:ascii="Times New Roman" w:hAnsi="Times New Roman" w:cs="Times New Roman"/>
          <w:color w:val="222222"/>
          <w:sz w:val="24"/>
          <w:szCs w:val="24"/>
          <w:shd w:val="clear" w:color="auto" w:fill="FFFFFF"/>
        </w:rPr>
        <w:t xml:space="preserve"> in</w:t>
      </w:r>
      <w:r w:rsidR="00B828D1" w:rsidRPr="00B310C1">
        <w:rPr>
          <w:rFonts w:ascii="Times New Roman" w:hAnsi="Times New Roman" w:cs="Times New Roman"/>
          <w:color w:val="222222"/>
          <w:sz w:val="24"/>
          <w:szCs w:val="24"/>
          <w:shd w:val="clear" w:color="auto" w:fill="FFFFFF"/>
        </w:rPr>
        <w:t>creas</w:t>
      </w:r>
      <w:r>
        <w:rPr>
          <w:rFonts w:ascii="Times New Roman" w:hAnsi="Times New Roman" w:cs="Times New Roman"/>
          <w:color w:val="222222"/>
          <w:sz w:val="24"/>
          <w:szCs w:val="24"/>
          <w:shd w:val="clear" w:color="auto" w:fill="FFFFFF"/>
        </w:rPr>
        <w:t>ed stakes in conformity in ex-offenders’</w:t>
      </w:r>
      <w:r w:rsidR="00B828D1" w:rsidRPr="00B310C1">
        <w:rPr>
          <w:rFonts w:ascii="Times New Roman" w:hAnsi="Times New Roman" w:cs="Times New Roman"/>
          <w:color w:val="222222"/>
          <w:sz w:val="24"/>
          <w:szCs w:val="24"/>
          <w:shd w:val="clear" w:color="auto" w:fill="FFFFFF"/>
        </w:rPr>
        <w:t xml:space="preserve"> reintegration pr</w:t>
      </w:r>
      <w:r>
        <w:rPr>
          <w:rFonts w:ascii="Times New Roman" w:hAnsi="Times New Roman" w:cs="Times New Roman"/>
          <w:color w:val="222222"/>
          <w:sz w:val="24"/>
          <w:szCs w:val="24"/>
          <w:shd w:val="clear" w:color="auto" w:fill="FFFFFF"/>
        </w:rPr>
        <w:t xml:space="preserve">ocess has shown </w:t>
      </w:r>
      <w:r w:rsidRPr="00B310C1">
        <w:rPr>
          <w:rFonts w:ascii="Times New Roman" w:hAnsi="Times New Roman" w:cs="Times New Roman"/>
          <w:color w:val="222222"/>
          <w:sz w:val="24"/>
          <w:szCs w:val="24"/>
          <w:shd w:val="clear" w:color="auto" w:fill="FFFFFF"/>
        </w:rPr>
        <w:t>that individuals with higher stakes in conformity were less likely to recidivate</w:t>
      </w:r>
      <w:r w:rsidR="006C68ED" w:rsidRPr="00B310C1">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(Begun, Hodge &amp; Early, 2017). The presence of </w:t>
      </w:r>
      <w:r w:rsidR="006C68ED" w:rsidRPr="00B310C1">
        <w:rPr>
          <w:rFonts w:ascii="Times New Roman" w:hAnsi="Times New Roman" w:cs="Times New Roman"/>
          <w:color w:val="222222"/>
          <w:sz w:val="24"/>
          <w:szCs w:val="24"/>
          <w:shd w:val="clear" w:color="auto" w:fill="FFFFFF"/>
        </w:rPr>
        <w:t>strong prosocial ties, marriage, an</w:t>
      </w:r>
      <w:r>
        <w:rPr>
          <w:rFonts w:ascii="Times New Roman" w:hAnsi="Times New Roman" w:cs="Times New Roman"/>
          <w:color w:val="222222"/>
          <w:sz w:val="24"/>
          <w:szCs w:val="24"/>
          <w:shd w:val="clear" w:color="auto" w:fill="FFFFFF"/>
        </w:rPr>
        <w:t>d high educational attainment are commonly used</w:t>
      </w:r>
      <w:r w:rsidR="006C68ED" w:rsidRPr="00B310C1">
        <w:rPr>
          <w:rFonts w:ascii="Times New Roman" w:hAnsi="Times New Roman" w:cs="Times New Roman"/>
          <w:color w:val="222222"/>
          <w:sz w:val="24"/>
          <w:szCs w:val="24"/>
          <w:shd w:val="clear" w:color="auto" w:fill="FFFFFF"/>
        </w:rPr>
        <w:t xml:space="preserve"> indicators of high stakes in conformity</w:t>
      </w:r>
      <w:r>
        <w:rPr>
          <w:rFonts w:ascii="Times New Roman" w:hAnsi="Times New Roman" w:cs="Times New Roman"/>
          <w:color w:val="222222"/>
          <w:sz w:val="24"/>
          <w:szCs w:val="24"/>
          <w:shd w:val="clear" w:color="auto" w:fill="FFFFFF"/>
        </w:rPr>
        <w:t xml:space="preserve"> (Begun et al., 2017</w:t>
      </w:r>
      <w:r w:rsidR="006C68ED" w:rsidRPr="00B310C1">
        <w:rPr>
          <w:rFonts w:ascii="Times New Roman" w:hAnsi="Times New Roman" w:cs="Times New Roman"/>
          <w:color w:val="222222"/>
          <w:sz w:val="24"/>
          <w:szCs w:val="24"/>
          <w:shd w:val="clear" w:color="auto" w:fill="FFFFFF"/>
        </w:rPr>
        <w:t xml:space="preserve">). </w:t>
      </w:r>
      <w:r w:rsidR="00BF35F0" w:rsidRPr="00B310C1">
        <w:rPr>
          <w:rFonts w:ascii="Times New Roman" w:hAnsi="Times New Roman" w:cs="Times New Roman"/>
          <w:color w:val="222222"/>
          <w:sz w:val="24"/>
          <w:szCs w:val="24"/>
          <w:shd w:val="clear" w:color="auto" w:fill="FFFFFF"/>
        </w:rPr>
        <w:t>In terms of the subjects of the strong family ties, most studies have focused on the relationship between the number of spousal visits while incarcerated and found that the frequency of visits from a spouse was inversely correlated with the likelihood of recidivating on release.</w:t>
      </w:r>
      <w:r w:rsidR="00DF23C1">
        <w:rPr>
          <w:rFonts w:ascii="Times New Roman" w:hAnsi="Times New Roman" w:cs="Times New Roman"/>
          <w:color w:val="222222"/>
          <w:sz w:val="24"/>
          <w:szCs w:val="24"/>
          <w:shd w:val="clear" w:color="auto" w:fill="FFFFFF"/>
        </w:rPr>
        <w:t xml:space="preserve"> Atkin-Plunk and Armstrong (2018) </w:t>
      </w:r>
      <w:r w:rsidR="004746B8" w:rsidRPr="00B310C1">
        <w:rPr>
          <w:rFonts w:ascii="Times New Roman" w:hAnsi="Times New Roman" w:cs="Times New Roman"/>
          <w:color w:val="222222"/>
          <w:sz w:val="24"/>
          <w:szCs w:val="24"/>
          <w:shd w:val="clear" w:color="auto" w:fill="FFFFFF"/>
        </w:rPr>
        <w:t xml:space="preserve">hypothesized that the influence of frequency of </w:t>
      </w:r>
      <w:r w:rsidR="004746B8" w:rsidRPr="00B310C1">
        <w:rPr>
          <w:rFonts w:ascii="Times New Roman" w:hAnsi="Times New Roman" w:cs="Times New Roman"/>
          <w:color w:val="222222"/>
          <w:sz w:val="24"/>
          <w:szCs w:val="24"/>
          <w:shd w:val="clear" w:color="auto" w:fill="FFFFFF"/>
        </w:rPr>
        <w:lastRenderedPageBreak/>
        <w:t>spousal visits on recidivism risk would diminish when accounting for the quality of the offender’s and the spouse’s rel</w:t>
      </w:r>
      <w:r w:rsidR="00EC3AD0" w:rsidRPr="00B310C1">
        <w:rPr>
          <w:rFonts w:ascii="Times New Roman" w:hAnsi="Times New Roman" w:cs="Times New Roman"/>
          <w:color w:val="222222"/>
          <w:sz w:val="24"/>
          <w:szCs w:val="24"/>
          <w:shd w:val="clear" w:color="auto" w:fill="FFFFFF"/>
        </w:rPr>
        <w:t>ations</w:t>
      </w:r>
      <w:r w:rsidR="00DF23C1">
        <w:rPr>
          <w:rFonts w:ascii="Times New Roman" w:hAnsi="Times New Roman" w:cs="Times New Roman"/>
          <w:color w:val="222222"/>
          <w:sz w:val="24"/>
          <w:szCs w:val="24"/>
          <w:shd w:val="clear" w:color="auto" w:fill="FFFFFF"/>
        </w:rPr>
        <w:t>hip prior to imprisonment</w:t>
      </w:r>
      <w:r w:rsidR="00EC3AD0" w:rsidRPr="00B310C1">
        <w:rPr>
          <w:rFonts w:ascii="Times New Roman" w:hAnsi="Times New Roman" w:cs="Times New Roman"/>
          <w:color w:val="222222"/>
          <w:sz w:val="24"/>
          <w:szCs w:val="24"/>
          <w:shd w:val="clear" w:color="auto" w:fill="FFFFFF"/>
        </w:rPr>
        <w:t>. The researchers collected longitudinal data from adult offenders during and after incarceration and tested the relationship between quality of pre-incarceration relationship and recidivism with the frequency of prison visits as a mediating variable</w:t>
      </w:r>
      <w:r w:rsidR="00246ECE" w:rsidRPr="00B310C1">
        <w:rPr>
          <w:rFonts w:ascii="Times New Roman" w:hAnsi="Times New Roman" w:cs="Times New Roman"/>
          <w:color w:val="222222"/>
          <w:sz w:val="24"/>
          <w:szCs w:val="24"/>
          <w:shd w:val="clear" w:color="auto" w:fill="FFFFFF"/>
        </w:rPr>
        <w:t xml:space="preserve"> using a logistic regression model</w:t>
      </w:r>
      <w:r w:rsidR="00D421C9">
        <w:rPr>
          <w:rFonts w:ascii="Times New Roman" w:hAnsi="Times New Roman" w:cs="Times New Roman"/>
          <w:color w:val="222222"/>
          <w:sz w:val="24"/>
          <w:szCs w:val="24"/>
          <w:shd w:val="clear" w:color="auto" w:fill="FFFFFF"/>
        </w:rPr>
        <w:t xml:space="preserve"> (Atkin-Plunk &amp; Armstrong, 2018)</w:t>
      </w:r>
      <w:r w:rsidR="00EC3AD0" w:rsidRPr="00B310C1">
        <w:rPr>
          <w:rFonts w:ascii="Times New Roman" w:hAnsi="Times New Roman" w:cs="Times New Roman"/>
          <w:color w:val="222222"/>
          <w:sz w:val="24"/>
          <w:szCs w:val="24"/>
          <w:shd w:val="clear" w:color="auto" w:fill="FFFFFF"/>
        </w:rPr>
        <w:t>.</w:t>
      </w:r>
      <w:r w:rsidR="00246ECE" w:rsidRPr="00B310C1">
        <w:rPr>
          <w:rFonts w:ascii="Times New Roman" w:hAnsi="Times New Roman" w:cs="Times New Roman"/>
          <w:color w:val="222222"/>
          <w:sz w:val="24"/>
          <w:szCs w:val="24"/>
          <w:shd w:val="clear" w:color="auto" w:fill="FFFFFF"/>
        </w:rPr>
        <w:t xml:space="preserve"> The</w:t>
      </w:r>
      <w:r w:rsidR="00D421C9">
        <w:rPr>
          <w:rFonts w:ascii="Times New Roman" w:hAnsi="Times New Roman" w:cs="Times New Roman"/>
          <w:color w:val="222222"/>
          <w:sz w:val="24"/>
          <w:szCs w:val="24"/>
          <w:shd w:val="clear" w:color="auto" w:fill="FFFFFF"/>
        </w:rPr>
        <w:t xml:space="preserve">ir findings </w:t>
      </w:r>
      <w:r w:rsidR="00246ECE" w:rsidRPr="00B310C1">
        <w:rPr>
          <w:rFonts w:ascii="Times New Roman" w:hAnsi="Times New Roman" w:cs="Times New Roman"/>
          <w:color w:val="222222"/>
          <w:sz w:val="24"/>
          <w:szCs w:val="24"/>
          <w:shd w:val="clear" w:color="auto" w:fill="FFFFFF"/>
        </w:rPr>
        <w:t>indicated that the quality of pre-incarceration has a positive and significant influence on the recidivism risk more so than the</w:t>
      </w:r>
      <w:r w:rsidR="004D412A" w:rsidRPr="00B310C1">
        <w:rPr>
          <w:rFonts w:ascii="Times New Roman" w:hAnsi="Times New Roman" w:cs="Times New Roman"/>
          <w:color w:val="222222"/>
          <w:sz w:val="24"/>
          <w:szCs w:val="24"/>
          <w:shd w:val="clear" w:color="auto" w:fill="FFFFFF"/>
        </w:rPr>
        <w:t xml:space="preserve"> number of prison visits which were an insignificant predictor of the recidivism odds once quality of the relationship was included in the model</w:t>
      </w:r>
      <w:r w:rsidR="00D421C9">
        <w:rPr>
          <w:rFonts w:ascii="Times New Roman" w:hAnsi="Times New Roman" w:cs="Times New Roman"/>
          <w:color w:val="222222"/>
          <w:sz w:val="24"/>
          <w:szCs w:val="24"/>
          <w:shd w:val="clear" w:color="auto" w:fill="FFFFFF"/>
        </w:rPr>
        <w:t xml:space="preserve"> </w:t>
      </w:r>
      <w:r w:rsidR="007F5832">
        <w:rPr>
          <w:rFonts w:ascii="Times New Roman" w:hAnsi="Times New Roman" w:cs="Times New Roman"/>
          <w:color w:val="222222"/>
          <w:sz w:val="24"/>
          <w:szCs w:val="24"/>
          <w:shd w:val="clear" w:color="auto" w:fill="FFFFFF"/>
        </w:rPr>
        <w:t>(Atkin-Plunk &amp; Armstrong, 2018)</w:t>
      </w:r>
      <w:r w:rsidR="004D412A" w:rsidRPr="00B310C1">
        <w:rPr>
          <w:rFonts w:ascii="Times New Roman" w:hAnsi="Times New Roman" w:cs="Times New Roman"/>
          <w:color w:val="222222"/>
          <w:sz w:val="24"/>
          <w:szCs w:val="24"/>
          <w:shd w:val="clear" w:color="auto" w:fill="FFFFFF"/>
        </w:rPr>
        <w:t>.</w:t>
      </w:r>
    </w:p>
    <w:p w:rsidR="000E07D8" w:rsidRDefault="007F5832" w:rsidP="00025C50">
      <w:pPr>
        <w:spacing w:after="0" w:line="480" w:lineRule="auto"/>
        <w:ind w:firstLine="720"/>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The researchers</w:t>
      </w:r>
      <w:r w:rsidR="00DD6A2D" w:rsidRPr="00B310C1">
        <w:rPr>
          <w:rFonts w:ascii="Times New Roman" w:hAnsi="Times New Roman" w:cs="Times New Roman"/>
          <w:color w:val="222222"/>
          <w:sz w:val="24"/>
          <w:szCs w:val="24"/>
          <w:shd w:val="clear" w:color="auto" w:fill="FFFFFF"/>
        </w:rPr>
        <w:t xml:space="preserve"> also presented eviden</w:t>
      </w:r>
      <w:r>
        <w:rPr>
          <w:rFonts w:ascii="Times New Roman" w:hAnsi="Times New Roman" w:cs="Times New Roman"/>
          <w:color w:val="222222"/>
          <w:sz w:val="24"/>
          <w:szCs w:val="24"/>
          <w:shd w:val="clear" w:color="auto" w:fill="FFFFFF"/>
        </w:rPr>
        <w:t>ce as to the incremental validity</w:t>
      </w:r>
      <w:r w:rsidR="00DD6A2D" w:rsidRPr="00B310C1">
        <w:rPr>
          <w:rFonts w:ascii="Times New Roman" w:hAnsi="Times New Roman" w:cs="Times New Roman"/>
          <w:color w:val="222222"/>
          <w:sz w:val="24"/>
          <w:szCs w:val="24"/>
          <w:shd w:val="clear" w:color="auto" w:fill="FFFFFF"/>
        </w:rPr>
        <w:t xml:space="preserve"> of pre-incarceratio</w:t>
      </w:r>
      <w:r>
        <w:rPr>
          <w:rFonts w:ascii="Times New Roman" w:hAnsi="Times New Roman" w:cs="Times New Roman"/>
          <w:color w:val="222222"/>
          <w:sz w:val="24"/>
          <w:szCs w:val="24"/>
          <w:shd w:val="clear" w:color="auto" w:fill="FFFFFF"/>
        </w:rPr>
        <w:t>n maternal relationships on decreasing ex-offenders’ odds of re-arrest (Atkin-Plunk &amp; Armstrong, 2018).</w:t>
      </w:r>
      <w:r w:rsidR="00025C50">
        <w:rPr>
          <w:rFonts w:ascii="Times New Roman" w:hAnsi="Times New Roman" w:cs="Times New Roman"/>
          <w:color w:val="222222"/>
          <w:sz w:val="24"/>
          <w:szCs w:val="24"/>
          <w:shd w:val="clear" w:color="auto" w:fill="FFFFFF"/>
        </w:rPr>
        <w:t xml:space="preserve"> While the research findings </w:t>
      </w:r>
      <w:r w:rsidR="00246ECE" w:rsidRPr="00B310C1">
        <w:rPr>
          <w:rFonts w:ascii="Times New Roman" w:hAnsi="Times New Roman" w:cs="Times New Roman"/>
          <w:color w:val="222222"/>
          <w:sz w:val="24"/>
          <w:szCs w:val="24"/>
          <w:shd w:val="clear" w:color="auto" w:fill="FFFFFF"/>
        </w:rPr>
        <w:t xml:space="preserve">support frequent visits while incarcerated so as to strengthen prosocial ties, the influence of these visits is dependent on the pre-incarceration </w:t>
      </w:r>
      <w:r w:rsidR="00E27260" w:rsidRPr="00B310C1">
        <w:rPr>
          <w:rFonts w:ascii="Times New Roman" w:hAnsi="Times New Roman" w:cs="Times New Roman"/>
          <w:color w:val="222222"/>
          <w:sz w:val="24"/>
          <w:szCs w:val="24"/>
          <w:shd w:val="clear" w:color="auto" w:fill="FFFFFF"/>
        </w:rPr>
        <w:t>q</w:t>
      </w:r>
      <w:r w:rsidR="00025C50">
        <w:rPr>
          <w:rFonts w:ascii="Times New Roman" w:hAnsi="Times New Roman" w:cs="Times New Roman"/>
          <w:color w:val="222222"/>
          <w:sz w:val="24"/>
          <w:szCs w:val="24"/>
          <w:shd w:val="clear" w:color="auto" w:fill="FFFFFF"/>
        </w:rPr>
        <w:t>uality of the relationship</w:t>
      </w:r>
      <w:r w:rsidR="00246ECE" w:rsidRPr="00B310C1">
        <w:rPr>
          <w:rFonts w:ascii="Times New Roman" w:hAnsi="Times New Roman" w:cs="Times New Roman"/>
          <w:color w:val="222222"/>
          <w:sz w:val="24"/>
          <w:szCs w:val="24"/>
          <w:shd w:val="clear" w:color="auto" w:fill="FFFFFF"/>
        </w:rPr>
        <w:t xml:space="preserve">. </w:t>
      </w:r>
      <w:r w:rsidR="00EC3AD0" w:rsidRPr="00B310C1">
        <w:rPr>
          <w:rFonts w:ascii="Times New Roman" w:hAnsi="Times New Roman" w:cs="Times New Roman"/>
          <w:color w:val="222222"/>
          <w:sz w:val="24"/>
          <w:szCs w:val="24"/>
          <w:shd w:val="clear" w:color="auto" w:fill="FFFFFF"/>
        </w:rPr>
        <w:t xml:space="preserve"> </w:t>
      </w:r>
      <w:r w:rsidR="00025C50">
        <w:rPr>
          <w:rFonts w:ascii="Times New Roman" w:hAnsi="Times New Roman" w:cs="Times New Roman"/>
          <w:color w:val="222222"/>
          <w:sz w:val="24"/>
          <w:szCs w:val="24"/>
          <w:shd w:val="clear" w:color="auto" w:fill="FFFFFF"/>
        </w:rPr>
        <w:t>In</w:t>
      </w:r>
      <w:r w:rsidR="00220184" w:rsidRPr="00B310C1">
        <w:rPr>
          <w:rFonts w:ascii="Times New Roman" w:hAnsi="Times New Roman" w:cs="Times New Roman"/>
          <w:color w:val="222222"/>
          <w:sz w:val="24"/>
          <w:szCs w:val="24"/>
          <w:shd w:val="clear" w:color="auto" w:fill="FFFFFF"/>
        </w:rPr>
        <w:t xml:space="preserve"> the </w:t>
      </w:r>
      <w:r w:rsidR="00025C50">
        <w:rPr>
          <w:rFonts w:ascii="Times New Roman" w:hAnsi="Times New Roman" w:cs="Times New Roman"/>
          <w:color w:val="222222"/>
          <w:sz w:val="24"/>
          <w:szCs w:val="24"/>
          <w:shd w:val="clear" w:color="auto" w:fill="FFFFFF"/>
        </w:rPr>
        <w:t xml:space="preserve">case of unstable and troubled pre-incarceration </w:t>
      </w:r>
      <w:r w:rsidR="00220184" w:rsidRPr="00B310C1">
        <w:rPr>
          <w:rFonts w:ascii="Times New Roman" w:hAnsi="Times New Roman" w:cs="Times New Roman"/>
          <w:color w:val="222222"/>
          <w:sz w:val="24"/>
          <w:szCs w:val="24"/>
          <w:shd w:val="clear" w:color="auto" w:fill="FFFFFF"/>
        </w:rPr>
        <w:t>relations</w:t>
      </w:r>
      <w:r w:rsidR="00246ECE" w:rsidRPr="00B310C1">
        <w:rPr>
          <w:rFonts w:ascii="Times New Roman" w:hAnsi="Times New Roman" w:cs="Times New Roman"/>
          <w:color w:val="222222"/>
          <w:sz w:val="24"/>
          <w:szCs w:val="24"/>
          <w:shd w:val="clear" w:color="auto" w:fill="FFFFFF"/>
        </w:rPr>
        <w:t>hip</w:t>
      </w:r>
      <w:r w:rsidR="00025C50">
        <w:rPr>
          <w:rFonts w:ascii="Times New Roman" w:hAnsi="Times New Roman" w:cs="Times New Roman"/>
          <w:color w:val="222222"/>
          <w:sz w:val="24"/>
          <w:szCs w:val="24"/>
          <w:shd w:val="clear" w:color="auto" w:fill="FFFFFF"/>
        </w:rPr>
        <w:t xml:space="preserve">s, </w:t>
      </w:r>
      <w:r w:rsidR="00EC3AD0" w:rsidRPr="00B310C1">
        <w:rPr>
          <w:rFonts w:ascii="Times New Roman" w:hAnsi="Times New Roman" w:cs="Times New Roman"/>
          <w:color w:val="222222"/>
          <w:sz w:val="24"/>
          <w:szCs w:val="24"/>
          <w:shd w:val="clear" w:color="auto" w:fill="FFFFFF"/>
        </w:rPr>
        <w:t>prison visits will not provide the psychological benefits of moral support and hope for community reintegration</w:t>
      </w:r>
      <w:r w:rsidR="00246ECE" w:rsidRPr="00B310C1">
        <w:rPr>
          <w:rFonts w:ascii="Times New Roman" w:hAnsi="Times New Roman" w:cs="Times New Roman"/>
          <w:color w:val="222222"/>
          <w:sz w:val="24"/>
          <w:szCs w:val="24"/>
          <w:shd w:val="clear" w:color="auto" w:fill="FFFFFF"/>
        </w:rPr>
        <w:t xml:space="preserve"> and might worsen the offender’s psychological outcomes</w:t>
      </w:r>
      <w:r w:rsidR="00025C50">
        <w:rPr>
          <w:rFonts w:ascii="Times New Roman" w:hAnsi="Times New Roman" w:cs="Times New Roman"/>
          <w:color w:val="222222"/>
          <w:sz w:val="24"/>
          <w:szCs w:val="24"/>
          <w:shd w:val="clear" w:color="auto" w:fill="FFFFFF"/>
        </w:rPr>
        <w:t>. The contextual benefits of frequent prison visits support</w:t>
      </w:r>
      <w:r w:rsidR="00EC3AD0" w:rsidRPr="00B310C1">
        <w:rPr>
          <w:rFonts w:ascii="Times New Roman" w:hAnsi="Times New Roman" w:cs="Times New Roman"/>
          <w:color w:val="222222"/>
          <w:sz w:val="24"/>
          <w:szCs w:val="24"/>
          <w:shd w:val="clear" w:color="auto" w:fill="FFFFFF"/>
        </w:rPr>
        <w:t xml:space="preserve"> the need for spousal and family therapy during incarceratio</w:t>
      </w:r>
      <w:r w:rsidR="002828B6">
        <w:rPr>
          <w:rFonts w:ascii="Times New Roman" w:hAnsi="Times New Roman" w:cs="Times New Roman"/>
          <w:color w:val="222222"/>
          <w:sz w:val="24"/>
          <w:szCs w:val="24"/>
          <w:shd w:val="clear" w:color="auto" w:fill="FFFFFF"/>
        </w:rPr>
        <w:t>n to improve the likelihood</w:t>
      </w:r>
      <w:r w:rsidR="004149B7" w:rsidRPr="00B310C1">
        <w:rPr>
          <w:rFonts w:ascii="Times New Roman" w:hAnsi="Times New Roman" w:cs="Times New Roman"/>
          <w:color w:val="222222"/>
          <w:sz w:val="24"/>
          <w:szCs w:val="24"/>
          <w:shd w:val="clear" w:color="auto" w:fill="FFFFFF"/>
        </w:rPr>
        <w:t xml:space="preserve"> of reinte</w:t>
      </w:r>
      <w:r w:rsidR="00EC3AD0" w:rsidRPr="00B310C1">
        <w:rPr>
          <w:rFonts w:ascii="Times New Roman" w:hAnsi="Times New Roman" w:cs="Times New Roman"/>
          <w:color w:val="222222"/>
          <w:sz w:val="24"/>
          <w:szCs w:val="24"/>
          <w:shd w:val="clear" w:color="auto" w:fill="FFFFFF"/>
        </w:rPr>
        <w:t>gration success.</w:t>
      </w:r>
    </w:p>
    <w:p w:rsidR="000E07D8" w:rsidRPr="00841CC6" w:rsidRDefault="000E07D8" w:rsidP="00841CC6">
      <w:pPr>
        <w:pStyle w:val="Heading3"/>
        <w:rPr>
          <w:rFonts w:ascii="Times New Roman" w:hAnsi="Times New Roman" w:cs="Times New Roman"/>
          <w:b/>
          <w:color w:val="auto"/>
          <w:shd w:val="clear" w:color="auto" w:fill="FFFFFF"/>
        </w:rPr>
      </w:pPr>
      <w:r w:rsidRPr="00841CC6">
        <w:rPr>
          <w:rFonts w:ascii="Times New Roman" w:hAnsi="Times New Roman" w:cs="Times New Roman"/>
          <w:b/>
          <w:color w:val="auto"/>
          <w:shd w:val="clear" w:color="auto" w:fill="FFFFFF"/>
        </w:rPr>
        <w:t>2.2.5. Gender</w:t>
      </w:r>
    </w:p>
    <w:p w:rsidR="000E07D8" w:rsidRDefault="000E07D8" w:rsidP="000E07D8">
      <w:pPr>
        <w:spacing w:after="0" w:line="480" w:lineRule="auto"/>
        <w:rPr>
          <w:rFonts w:ascii="Times New Roman" w:hAnsi="Times New Roman" w:cs="Times New Roman"/>
          <w:sz w:val="24"/>
          <w:szCs w:val="24"/>
        </w:rPr>
      </w:pPr>
      <w:r w:rsidRPr="00AC2DA9">
        <w:rPr>
          <w:rFonts w:ascii="Times New Roman" w:hAnsi="Times New Roman" w:cs="Times New Roman"/>
          <w:sz w:val="24"/>
          <w:szCs w:val="24"/>
        </w:rPr>
        <w:t>Research has shown that the re-arrest rates for female ex-offenders is disproportio</w:t>
      </w:r>
      <w:r>
        <w:rPr>
          <w:rFonts w:ascii="Times New Roman" w:hAnsi="Times New Roman" w:cs="Times New Roman"/>
          <w:sz w:val="24"/>
          <w:szCs w:val="24"/>
        </w:rPr>
        <w:t>nately lower than the rate in the population of male ex-offenders (Berry et al., 2018; Olson, Stalans &amp; Escobar, 2015</w:t>
      </w:r>
      <w:r w:rsidRPr="00AC2DA9">
        <w:rPr>
          <w:rFonts w:ascii="Times New Roman" w:hAnsi="Times New Roman" w:cs="Times New Roman"/>
          <w:sz w:val="24"/>
          <w:szCs w:val="24"/>
        </w:rPr>
        <w:t xml:space="preserve">). Researchers have presented both bias and differential socialization of men and women as </w:t>
      </w:r>
      <w:r>
        <w:rPr>
          <w:rFonts w:ascii="Times New Roman" w:hAnsi="Times New Roman" w:cs="Times New Roman"/>
          <w:sz w:val="24"/>
          <w:szCs w:val="24"/>
        </w:rPr>
        <w:t xml:space="preserve">potential </w:t>
      </w:r>
      <w:r w:rsidRPr="00AC2DA9">
        <w:rPr>
          <w:rFonts w:ascii="Times New Roman" w:hAnsi="Times New Roman" w:cs="Times New Roman"/>
          <w:sz w:val="24"/>
          <w:szCs w:val="24"/>
        </w:rPr>
        <w:t>explainers of the differences in the recidivism risk across the two genders. In their study of the predictors of DUI reci</w:t>
      </w:r>
      <w:r>
        <w:rPr>
          <w:rFonts w:ascii="Times New Roman" w:hAnsi="Times New Roman" w:cs="Times New Roman"/>
          <w:sz w:val="24"/>
          <w:szCs w:val="24"/>
        </w:rPr>
        <w:t>divism, Tatch et al., (2019)</w:t>
      </w:r>
      <w:r w:rsidRPr="00AC2DA9">
        <w:rPr>
          <w:rFonts w:ascii="Times New Roman" w:hAnsi="Times New Roman" w:cs="Times New Roman"/>
          <w:sz w:val="24"/>
          <w:szCs w:val="24"/>
        </w:rPr>
        <w:t xml:space="preserve"> found that a majority of the </w:t>
      </w:r>
      <w:r w:rsidRPr="00AC2DA9">
        <w:rPr>
          <w:rFonts w:ascii="Times New Roman" w:hAnsi="Times New Roman" w:cs="Times New Roman"/>
          <w:sz w:val="24"/>
          <w:szCs w:val="24"/>
        </w:rPr>
        <w:lastRenderedPageBreak/>
        <w:t xml:space="preserve">predictors </w:t>
      </w:r>
      <w:r>
        <w:rPr>
          <w:rFonts w:ascii="Times New Roman" w:hAnsi="Times New Roman" w:cs="Times New Roman"/>
          <w:sz w:val="24"/>
          <w:szCs w:val="24"/>
        </w:rPr>
        <w:t xml:space="preserve">for recidivism risk in their unstratified sample </w:t>
      </w:r>
      <w:r w:rsidRPr="00AC2DA9">
        <w:rPr>
          <w:rFonts w:ascii="Times New Roman" w:hAnsi="Times New Roman" w:cs="Times New Roman"/>
          <w:sz w:val="24"/>
          <w:szCs w:val="24"/>
        </w:rPr>
        <w:t>were demographic character</w:t>
      </w:r>
      <w:r>
        <w:rPr>
          <w:rFonts w:ascii="Times New Roman" w:hAnsi="Times New Roman" w:cs="Times New Roman"/>
          <w:sz w:val="24"/>
          <w:szCs w:val="24"/>
        </w:rPr>
        <w:t xml:space="preserve">istics with gender as a leading risk factor rather than dynamic </w:t>
      </w:r>
      <w:r w:rsidRPr="00AC2DA9">
        <w:rPr>
          <w:rFonts w:ascii="Times New Roman" w:hAnsi="Times New Roman" w:cs="Times New Roman"/>
          <w:sz w:val="24"/>
          <w:szCs w:val="24"/>
        </w:rPr>
        <w:t>risk factors, such as driving behaviors</w:t>
      </w:r>
      <w:r>
        <w:rPr>
          <w:rFonts w:ascii="Times New Roman" w:hAnsi="Times New Roman" w:cs="Times New Roman"/>
          <w:sz w:val="24"/>
          <w:szCs w:val="24"/>
        </w:rPr>
        <w:t xml:space="preserve"> suggesting bias in the re-conviction of male offenders for DUI offenses</w:t>
      </w:r>
      <w:r w:rsidRPr="00AC2DA9">
        <w:rPr>
          <w:rFonts w:ascii="Times New Roman" w:hAnsi="Times New Roman" w:cs="Times New Roman"/>
          <w:sz w:val="24"/>
          <w:szCs w:val="24"/>
        </w:rPr>
        <w:t>.</w:t>
      </w:r>
      <w:r>
        <w:rPr>
          <w:rFonts w:ascii="Times New Roman" w:hAnsi="Times New Roman" w:cs="Times New Roman"/>
          <w:sz w:val="24"/>
          <w:szCs w:val="24"/>
        </w:rPr>
        <w:t xml:space="preserve"> </w:t>
      </w:r>
      <w:r w:rsidRPr="00AC2DA9">
        <w:rPr>
          <w:rFonts w:ascii="Times New Roman" w:hAnsi="Times New Roman" w:cs="Times New Roman"/>
          <w:sz w:val="24"/>
          <w:szCs w:val="24"/>
        </w:rPr>
        <w:t xml:space="preserve">Bias in re-arrest rates for men versus female </w:t>
      </w:r>
      <w:r>
        <w:rPr>
          <w:rFonts w:ascii="Times New Roman" w:hAnsi="Times New Roman" w:cs="Times New Roman"/>
          <w:sz w:val="24"/>
          <w:szCs w:val="24"/>
        </w:rPr>
        <w:t xml:space="preserve">offenders is difficult as exposure to similar risk factors such as poor driving behavior might have varying impact on the risk of reoffending for men and women. Female offenders are, for instance more likely to reduce the number of driving hours following a DUI conviction compared male offenders (Robertson et al., 2019). </w:t>
      </w:r>
      <w:r w:rsidRPr="00AC2DA9">
        <w:rPr>
          <w:rFonts w:ascii="Times New Roman" w:hAnsi="Times New Roman" w:cs="Times New Roman"/>
          <w:sz w:val="24"/>
          <w:szCs w:val="24"/>
        </w:rPr>
        <w:t>Gender stereotypes are also thought to influence the decisions on sanctioning of women who break parole and probation rules, with men being more subject to back-end se</w:t>
      </w:r>
      <w:r>
        <w:rPr>
          <w:rFonts w:ascii="Times New Roman" w:hAnsi="Times New Roman" w:cs="Times New Roman"/>
          <w:sz w:val="24"/>
          <w:szCs w:val="24"/>
        </w:rPr>
        <w:t>ntencing compared to women (Berry et al., 2018</w:t>
      </w:r>
      <w:r w:rsidRPr="00AC2DA9">
        <w:rPr>
          <w:rFonts w:ascii="Times New Roman" w:hAnsi="Times New Roman" w:cs="Times New Roman"/>
          <w:sz w:val="24"/>
          <w:szCs w:val="24"/>
        </w:rPr>
        <w:t>). This was evidenced in the research c</w:t>
      </w:r>
      <w:r>
        <w:rPr>
          <w:rFonts w:ascii="Times New Roman" w:hAnsi="Times New Roman" w:cs="Times New Roman"/>
          <w:sz w:val="24"/>
          <w:szCs w:val="24"/>
        </w:rPr>
        <w:t>onducted by Berry et al. (2018) on the overlap</w:t>
      </w:r>
      <w:r w:rsidRPr="00AC2DA9">
        <w:rPr>
          <w:rFonts w:ascii="Times New Roman" w:hAnsi="Times New Roman" w:cs="Times New Roman"/>
          <w:sz w:val="24"/>
          <w:szCs w:val="24"/>
        </w:rPr>
        <w:t xml:space="preserve"> between gender and ethnicity as determinants of recidivism risk: Black male offenders were re-arrested for violating parole regulations at a higher rate than female offenders due to ethnic and gender stereotypes</w:t>
      </w:r>
      <w:r>
        <w:rPr>
          <w:rFonts w:ascii="Times New Roman" w:hAnsi="Times New Roman" w:cs="Times New Roman"/>
          <w:sz w:val="24"/>
          <w:szCs w:val="24"/>
        </w:rPr>
        <w:t xml:space="preserve"> (Berry et al., 2018)</w:t>
      </w:r>
      <w:r w:rsidRPr="00AC2DA9">
        <w:rPr>
          <w:rFonts w:ascii="Times New Roman" w:hAnsi="Times New Roman" w:cs="Times New Roman"/>
          <w:sz w:val="24"/>
          <w:szCs w:val="24"/>
        </w:rPr>
        <w:t xml:space="preserve">. </w:t>
      </w:r>
    </w:p>
    <w:p w:rsidR="000E07D8" w:rsidRDefault="000E07D8" w:rsidP="000E07D8">
      <w:pPr>
        <w:spacing w:line="480" w:lineRule="auto"/>
        <w:ind w:firstLine="720"/>
        <w:rPr>
          <w:rFonts w:ascii="Times New Roman" w:hAnsi="Times New Roman" w:cs="Times New Roman"/>
          <w:sz w:val="24"/>
          <w:szCs w:val="24"/>
        </w:rPr>
      </w:pPr>
      <w:r w:rsidRPr="00AC2DA9">
        <w:rPr>
          <w:rFonts w:ascii="Times New Roman" w:hAnsi="Times New Roman" w:cs="Times New Roman"/>
          <w:sz w:val="24"/>
          <w:szCs w:val="24"/>
        </w:rPr>
        <w:t>Recent studies exploring the association between gender and recidivism are founded upon the feminist research conducted in the late 1970s which suggested three explanations for the differences in male and female ex-offenders’ offending and recidivism rates: gendered pathways to offending, gendered lives, gendered cr</w:t>
      </w:r>
      <w:r>
        <w:rPr>
          <w:rFonts w:ascii="Times New Roman" w:hAnsi="Times New Roman" w:cs="Times New Roman"/>
          <w:sz w:val="24"/>
          <w:szCs w:val="24"/>
        </w:rPr>
        <w:t>ime, and gendered pathways (Robertson et al., 2019)</w:t>
      </w:r>
      <w:r w:rsidRPr="00AC2DA9">
        <w:rPr>
          <w:rFonts w:ascii="Times New Roman" w:hAnsi="Times New Roman" w:cs="Times New Roman"/>
          <w:sz w:val="24"/>
          <w:szCs w:val="24"/>
        </w:rPr>
        <w:t>. Gendered lives as an explanation for lower recidivism rates in women refer to the means through which gender shapes the lives o</w:t>
      </w:r>
      <w:r>
        <w:rPr>
          <w:rFonts w:ascii="Times New Roman" w:hAnsi="Times New Roman" w:cs="Times New Roman"/>
          <w:sz w:val="24"/>
          <w:szCs w:val="24"/>
        </w:rPr>
        <w:t>f women thereby protecting women</w:t>
      </w:r>
      <w:r w:rsidRPr="00AC2DA9">
        <w:rPr>
          <w:rFonts w:ascii="Times New Roman" w:hAnsi="Times New Roman" w:cs="Times New Roman"/>
          <w:sz w:val="24"/>
          <w:szCs w:val="24"/>
        </w:rPr>
        <w:t xml:space="preserve"> against offending while exposing men to offending risks. </w:t>
      </w:r>
      <w:r>
        <w:rPr>
          <w:rFonts w:ascii="Times New Roman" w:hAnsi="Times New Roman" w:cs="Times New Roman"/>
          <w:sz w:val="24"/>
          <w:szCs w:val="24"/>
        </w:rPr>
        <w:t>The g</w:t>
      </w:r>
      <w:r w:rsidRPr="00AC2DA9">
        <w:rPr>
          <w:rFonts w:ascii="Times New Roman" w:hAnsi="Times New Roman" w:cs="Times New Roman"/>
          <w:sz w:val="24"/>
          <w:szCs w:val="24"/>
        </w:rPr>
        <w:t xml:space="preserve">endered lives </w:t>
      </w:r>
      <w:r>
        <w:rPr>
          <w:rFonts w:ascii="Times New Roman" w:hAnsi="Times New Roman" w:cs="Times New Roman"/>
          <w:sz w:val="24"/>
          <w:szCs w:val="24"/>
        </w:rPr>
        <w:t xml:space="preserve">factor </w:t>
      </w:r>
      <w:r w:rsidRPr="00AC2DA9">
        <w:rPr>
          <w:rFonts w:ascii="Times New Roman" w:hAnsi="Times New Roman" w:cs="Times New Roman"/>
          <w:sz w:val="24"/>
          <w:szCs w:val="24"/>
        </w:rPr>
        <w:t xml:space="preserve">creates an overlap between gender and proximity to crime hotspots as risk factors </w:t>
      </w:r>
      <w:r>
        <w:rPr>
          <w:rFonts w:ascii="Times New Roman" w:hAnsi="Times New Roman" w:cs="Times New Roman"/>
          <w:sz w:val="24"/>
          <w:szCs w:val="24"/>
        </w:rPr>
        <w:t>as shown by the research by McNeeley (2018)</w:t>
      </w:r>
      <w:r w:rsidRPr="00AC2DA9">
        <w:rPr>
          <w:rFonts w:ascii="Times New Roman" w:hAnsi="Times New Roman" w:cs="Times New Roman"/>
          <w:sz w:val="24"/>
          <w:szCs w:val="24"/>
        </w:rPr>
        <w:t xml:space="preserve"> where female offenders are protected from peer influence as a result of the sheltered lives women are expected to lead. Gendered pathways to offending refers to the factors that cause men </w:t>
      </w:r>
      <w:r w:rsidRPr="00AC2DA9">
        <w:rPr>
          <w:rFonts w:ascii="Times New Roman" w:hAnsi="Times New Roman" w:cs="Times New Roman"/>
          <w:sz w:val="24"/>
          <w:szCs w:val="24"/>
        </w:rPr>
        <w:lastRenderedPageBreak/>
        <w:t>and women to begin and continue offending while gendered crime refers to the unique qualities of male versus female offending and the contexts in which these offenses occur</w:t>
      </w:r>
      <w:r>
        <w:rPr>
          <w:rFonts w:ascii="Times New Roman" w:hAnsi="Times New Roman" w:cs="Times New Roman"/>
          <w:sz w:val="24"/>
          <w:szCs w:val="24"/>
        </w:rPr>
        <w:t xml:space="preserve"> (Verona,Murphy &amp; Javdani, 2016)</w:t>
      </w:r>
      <w:r w:rsidRPr="00AC2DA9">
        <w:rPr>
          <w:rFonts w:ascii="Times New Roman" w:hAnsi="Times New Roman" w:cs="Times New Roman"/>
          <w:sz w:val="24"/>
          <w:szCs w:val="24"/>
        </w:rPr>
        <w:t>. Gendered pathways and gendered crime have been used as explainers of the disproportional number of female offenders</w:t>
      </w:r>
      <w:r>
        <w:rPr>
          <w:rFonts w:ascii="Times New Roman" w:hAnsi="Times New Roman" w:cs="Times New Roman"/>
          <w:sz w:val="24"/>
          <w:szCs w:val="24"/>
        </w:rPr>
        <w:t xml:space="preserve"> arrested for solicitation (Verona et al, 2016</w:t>
      </w:r>
      <w:r w:rsidRPr="00AC2DA9">
        <w:rPr>
          <w:rFonts w:ascii="Times New Roman" w:hAnsi="Times New Roman" w:cs="Times New Roman"/>
          <w:sz w:val="24"/>
          <w:szCs w:val="24"/>
        </w:rPr>
        <w:t xml:space="preserve">). </w:t>
      </w:r>
    </w:p>
    <w:p w:rsidR="000E07D8" w:rsidRDefault="000E07D8" w:rsidP="000E07D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Researchers concerned with the generalizability of offending and recidivism risk factors across genders given the differential socialization of men and women in the US use </w:t>
      </w:r>
      <w:r w:rsidRPr="00AC2DA9">
        <w:rPr>
          <w:rFonts w:ascii="Times New Roman" w:hAnsi="Times New Roman" w:cs="Times New Roman"/>
          <w:sz w:val="24"/>
          <w:szCs w:val="24"/>
        </w:rPr>
        <w:t xml:space="preserve">gendered pathways and </w:t>
      </w:r>
      <w:r>
        <w:rPr>
          <w:rFonts w:ascii="Times New Roman" w:hAnsi="Times New Roman" w:cs="Times New Roman"/>
          <w:sz w:val="24"/>
          <w:szCs w:val="24"/>
        </w:rPr>
        <w:t xml:space="preserve">gendered </w:t>
      </w:r>
      <w:r w:rsidRPr="00AC2DA9">
        <w:rPr>
          <w:rFonts w:ascii="Times New Roman" w:hAnsi="Times New Roman" w:cs="Times New Roman"/>
          <w:sz w:val="24"/>
          <w:szCs w:val="24"/>
        </w:rPr>
        <w:t>crimes as explainers of the difference in female ver</w:t>
      </w:r>
      <w:r>
        <w:rPr>
          <w:rFonts w:ascii="Times New Roman" w:hAnsi="Times New Roman" w:cs="Times New Roman"/>
          <w:sz w:val="24"/>
          <w:szCs w:val="24"/>
        </w:rPr>
        <w:t>sus male recidivism rates. Robertson et al. (2019) conducted a study on the generalizability of DUI recidivism risk factors among men to the population of women convicted for DUI offenses. The researchers collected data on a set of recidivism predictors from</w:t>
      </w:r>
      <w:r w:rsidRPr="00AC2DA9">
        <w:rPr>
          <w:rFonts w:ascii="Times New Roman" w:hAnsi="Times New Roman" w:cs="Times New Roman"/>
          <w:sz w:val="24"/>
          <w:szCs w:val="24"/>
        </w:rPr>
        <w:t xml:space="preserve"> male</w:t>
      </w:r>
      <w:r>
        <w:rPr>
          <w:rFonts w:ascii="Times New Roman" w:hAnsi="Times New Roman" w:cs="Times New Roman"/>
          <w:sz w:val="24"/>
          <w:szCs w:val="24"/>
        </w:rPr>
        <w:t xml:space="preserve"> and female</w:t>
      </w:r>
      <w:r w:rsidRPr="00AC2DA9">
        <w:rPr>
          <w:rFonts w:ascii="Times New Roman" w:hAnsi="Times New Roman" w:cs="Times New Roman"/>
          <w:sz w:val="24"/>
          <w:szCs w:val="24"/>
        </w:rPr>
        <w:t xml:space="preserve"> </w:t>
      </w:r>
      <w:r>
        <w:rPr>
          <w:rFonts w:ascii="Times New Roman" w:hAnsi="Times New Roman" w:cs="Times New Roman"/>
          <w:sz w:val="24"/>
          <w:szCs w:val="24"/>
        </w:rPr>
        <w:t xml:space="preserve">participants released following conviction for DUI offenses (Robertson et al., 2019). </w:t>
      </w:r>
      <w:r w:rsidRPr="00AC2DA9">
        <w:rPr>
          <w:rFonts w:ascii="Times New Roman" w:hAnsi="Times New Roman" w:cs="Times New Roman"/>
          <w:sz w:val="24"/>
          <w:szCs w:val="24"/>
        </w:rPr>
        <w:t>Using a sample of 2,414 and 8,413 male and female responden</w:t>
      </w:r>
      <w:r>
        <w:rPr>
          <w:rFonts w:ascii="Times New Roman" w:hAnsi="Times New Roman" w:cs="Times New Roman"/>
          <w:sz w:val="24"/>
          <w:szCs w:val="24"/>
        </w:rPr>
        <w:t>ts respectively, they</w:t>
      </w:r>
      <w:r w:rsidRPr="00AC2DA9">
        <w:rPr>
          <w:rFonts w:ascii="Times New Roman" w:hAnsi="Times New Roman" w:cs="Times New Roman"/>
          <w:sz w:val="24"/>
          <w:szCs w:val="24"/>
        </w:rPr>
        <w:t xml:space="preserve"> defined a number of structural equations of the predictors of recidivism with the optimal equation selected based on its ability to predict recidivism</w:t>
      </w:r>
      <w:r>
        <w:rPr>
          <w:rFonts w:ascii="Times New Roman" w:hAnsi="Times New Roman" w:cs="Times New Roman"/>
          <w:sz w:val="24"/>
          <w:szCs w:val="24"/>
        </w:rPr>
        <w:t xml:space="preserve"> (Robertson et al., 2019)</w:t>
      </w:r>
      <w:r w:rsidRPr="00AC2DA9">
        <w:rPr>
          <w:rFonts w:ascii="Times New Roman" w:hAnsi="Times New Roman" w:cs="Times New Roman"/>
          <w:sz w:val="24"/>
          <w:szCs w:val="24"/>
        </w:rPr>
        <w:t xml:space="preserve">. </w:t>
      </w:r>
      <w:r>
        <w:rPr>
          <w:rFonts w:ascii="Times New Roman" w:hAnsi="Times New Roman" w:cs="Times New Roman"/>
          <w:sz w:val="24"/>
          <w:szCs w:val="24"/>
        </w:rPr>
        <w:t xml:space="preserve">The valid male DUI recidivism predictors </w:t>
      </w:r>
      <w:r w:rsidRPr="00AC2DA9">
        <w:rPr>
          <w:rFonts w:ascii="Times New Roman" w:hAnsi="Times New Roman" w:cs="Times New Roman"/>
          <w:sz w:val="24"/>
          <w:szCs w:val="24"/>
        </w:rPr>
        <w:t xml:space="preserve">significantly differed from the set of predictors of female DUI recidivism. </w:t>
      </w:r>
      <w:r>
        <w:rPr>
          <w:rFonts w:ascii="Times New Roman" w:hAnsi="Times New Roman" w:cs="Times New Roman"/>
          <w:sz w:val="24"/>
          <w:szCs w:val="24"/>
        </w:rPr>
        <w:t xml:space="preserve"> </w:t>
      </w:r>
      <w:r w:rsidRPr="00AC2DA9">
        <w:rPr>
          <w:rFonts w:ascii="Times New Roman" w:hAnsi="Times New Roman" w:cs="Times New Roman"/>
          <w:sz w:val="24"/>
          <w:szCs w:val="24"/>
        </w:rPr>
        <w:t>The main risk factors for DUI recidivism amongst male respondents were heavy drinking and criminal history while evidence of a substance use disorder was an influential and unique predictor for female respondents</w:t>
      </w:r>
      <w:r>
        <w:rPr>
          <w:rFonts w:ascii="Times New Roman" w:hAnsi="Times New Roman" w:cs="Times New Roman"/>
          <w:sz w:val="24"/>
          <w:szCs w:val="24"/>
        </w:rPr>
        <w:t xml:space="preserve"> (Robertson et al., 2019)</w:t>
      </w:r>
      <w:r w:rsidRPr="00AC2DA9">
        <w:rPr>
          <w:rFonts w:ascii="Times New Roman" w:hAnsi="Times New Roman" w:cs="Times New Roman"/>
          <w:sz w:val="24"/>
          <w:szCs w:val="24"/>
        </w:rPr>
        <w:t xml:space="preserve">. </w:t>
      </w:r>
    </w:p>
    <w:p w:rsidR="000E07D8" w:rsidRPr="00AC2DA9" w:rsidRDefault="000E07D8" w:rsidP="000E07D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a study similar to Robertson et al.’s (2019), </w:t>
      </w:r>
      <w:r w:rsidRPr="00AC2DA9">
        <w:rPr>
          <w:rFonts w:ascii="Times New Roman" w:hAnsi="Times New Roman" w:cs="Times New Roman"/>
          <w:sz w:val="24"/>
          <w:szCs w:val="24"/>
        </w:rPr>
        <w:t xml:space="preserve">Olson, Loretta and Escobar (2015) addressed the generalizability of theoretical constructions used to explain male DUI offenders’ </w:t>
      </w:r>
      <w:r>
        <w:rPr>
          <w:rFonts w:ascii="Times New Roman" w:hAnsi="Times New Roman" w:cs="Times New Roman"/>
          <w:sz w:val="24"/>
          <w:szCs w:val="24"/>
        </w:rPr>
        <w:t xml:space="preserve">recidivism to the </w:t>
      </w:r>
      <w:r w:rsidRPr="00AC2DA9">
        <w:rPr>
          <w:rFonts w:ascii="Times New Roman" w:hAnsi="Times New Roman" w:cs="Times New Roman"/>
          <w:sz w:val="24"/>
          <w:szCs w:val="24"/>
        </w:rPr>
        <w:t>female DUI offenders</w:t>
      </w:r>
      <w:r>
        <w:rPr>
          <w:rFonts w:ascii="Times New Roman" w:hAnsi="Times New Roman" w:cs="Times New Roman"/>
          <w:sz w:val="24"/>
          <w:szCs w:val="24"/>
        </w:rPr>
        <w:t>’ recidivism</w:t>
      </w:r>
      <w:r w:rsidRPr="00AC2DA9">
        <w:rPr>
          <w:rFonts w:ascii="Times New Roman" w:hAnsi="Times New Roman" w:cs="Times New Roman"/>
          <w:sz w:val="24"/>
          <w:szCs w:val="24"/>
        </w:rPr>
        <w:t>.</w:t>
      </w:r>
      <w:r>
        <w:rPr>
          <w:rFonts w:ascii="Times New Roman" w:hAnsi="Times New Roman" w:cs="Times New Roman"/>
          <w:sz w:val="24"/>
          <w:szCs w:val="24"/>
        </w:rPr>
        <w:t xml:space="preserve"> The researchers collected longitudinal data from men and women arrested for violent and non-violent crimes for a period of 3.4 years.</w:t>
      </w:r>
      <w:r w:rsidRPr="00AC2DA9">
        <w:rPr>
          <w:rFonts w:ascii="Times New Roman" w:hAnsi="Times New Roman" w:cs="Times New Roman"/>
          <w:sz w:val="24"/>
          <w:szCs w:val="24"/>
        </w:rPr>
        <w:t xml:space="preserve"> </w:t>
      </w:r>
      <w:r>
        <w:rPr>
          <w:rFonts w:ascii="Times New Roman" w:hAnsi="Times New Roman" w:cs="Times New Roman"/>
          <w:sz w:val="24"/>
          <w:szCs w:val="24"/>
        </w:rPr>
        <w:t xml:space="preserve">The validity of potential risk factors to the two genders was measured using logistic regression </w:t>
      </w:r>
      <w:r>
        <w:rPr>
          <w:rFonts w:ascii="Times New Roman" w:hAnsi="Times New Roman" w:cs="Times New Roman"/>
          <w:sz w:val="24"/>
          <w:szCs w:val="24"/>
        </w:rPr>
        <w:lastRenderedPageBreak/>
        <w:t>analysis. The findings of the study indicated that prior convictions and length of time served had differential impact on the recidivism rates of men and women: criminal history was a significant predictor of male recidivism but an insignificant predictor of female recidivism suggesting that gender was a protective factor in the criminal history-recidivism relationship. For violent crime recidivism, educational level and marital status were shown to be gender-specific predictors of re-arrest for violent crimes.</w:t>
      </w:r>
    </w:p>
    <w:p w:rsidR="000E07D8" w:rsidRDefault="000E07D8" w:rsidP="000E07D8">
      <w:pPr>
        <w:spacing w:line="480" w:lineRule="auto"/>
        <w:ind w:firstLine="720"/>
        <w:rPr>
          <w:rFonts w:ascii="Times New Roman" w:hAnsi="Times New Roman" w:cs="Times New Roman"/>
          <w:sz w:val="24"/>
          <w:szCs w:val="24"/>
        </w:rPr>
      </w:pPr>
      <w:r w:rsidRPr="00AC2DA9">
        <w:rPr>
          <w:rFonts w:ascii="Times New Roman" w:hAnsi="Times New Roman" w:cs="Times New Roman"/>
          <w:sz w:val="24"/>
          <w:szCs w:val="24"/>
        </w:rPr>
        <w:t>The implementation of the findings presented by feminist research on the association between gender and crime within the US and in Canada resulted in protective factors for women which persist to the present</w:t>
      </w:r>
      <w:r>
        <w:rPr>
          <w:rFonts w:ascii="Times New Roman" w:hAnsi="Times New Roman" w:cs="Times New Roman"/>
          <w:sz w:val="24"/>
          <w:szCs w:val="24"/>
        </w:rPr>
        <w:t xml:space="preserve"> day</w:t>
      </w:r>
      <w:r w:rsidRPr="00AC2DA9">
        <w:rPr>
          <w:rFonts w:ascii="Times New Roman" w:hAnsi="Times New Roman" w:cs="Times New Roman"/>
          <w:sz w:val="24"/>
          <w:szCs w:val="24"/>
        </w:rPr>
        <w:t xml:space="preserve">. In most jurisdictions within the US, female offenders are subject to specialized probation programs and the parole supervision extended to female offenders significantly differs from that </w:t>
      </w:r>
      <w:r>
        <w:rPr>
          <w:rFonts w:ascii="Times New Roman" w:hAnsi="Times New Roman" w:cs="Times New Roman"/>
          <w:sz w:val="24"/>
          <w:szCs w:val="24"/>
        </w:rPr>
        <w:t>extended to male offenders (Jonson &amp; Cullen, 2015</w:t>
      </w:r>
      <w:r w:rsidRPr="00AC2DA9">
        <w:rPr>
          <w:rFonts w:ascii="Times New Roman" w:hAnsi="Times New Roman" w:cs="Times New Roman"/>
          <w:sz w:val="24"/>
          <w:szCs w:val="24"/>
        </w:rPr>
        <w:t>). These specialized programs are theorized to be of higher quality and provide better support to female ex-offenders facilitating quicker reintegration into society</w:t>
      </w:r>
      <w:r>
        <w:rPr>
          <w:rFonts w:ascii="Times New Roman" w:hAnsi="Times New Roman" w:cs="Times New Roman"/>
          <w:sz w:val="24"/>
          <w:szCs w:val="24"/>
        </w:rPr>
        <w:t xml:space="preserve"> (Jonson &amp; Cullen, 2015)</w:t>
      </w:r>
      <w:r w:rsidRPr="00AC2DA9">
        <w:rPr>
          <w:rFonts w:ascii="Times New Roman" w:hAnsi="Times New Roman" w:cs="Times New Roman"/>
          <w:sz w:val="24"/>
          <w:szCs w:val="24"/>
        </w:rPr>
        <w:t>. Additionally, researchers have theorized that being of the female gender is associated with higher stakes of conformity thus reducing the risk of recidivism</w:t>
      </w:r>
      <w:r>
        <w:rPr>
          <w:rFonts w:ascii="Times New Roman" w:hAnsi="Times New Roman" w:cs="Times New Roman"/>
          <w:sz w:val="24"/>
          <w:szCs w:val="24"/>
        </w:rPr>
        <w:t xml:space="preserve"> (Huebner &amp; </w:t>
      </w:r>
      <w:r w:rsidRPr="000B6DA3">
        <w:rPr>
          <w:rFonts w:ascii="Times New Roman" w:eastAsia="Times New Roman" w:hAnsi="Times New Roman" w:cs="Times New Roman"/>
          <w:sz w:val="24"/>
          <w:szCs w:val="24"/>
        </w:rPr>
        <w:t>Pleggenkuhle</w:t>
      </w:r>
      <w:r>
        <w:rPr>
          <w:rFonts w:ascii="Times New Roman" w:eastAsia="Times New Roman" w:hAnsi="Times New Roman" w:cs="Times New Roman"/>
          <w:sz w:val="24"/>
          <w:szCs w:val="24"/>
        </w:rPr>
        <w:t>, 2015)</w:t>
      </w:r>
      <w:r w:rsidRPr="00AC2DA9">
        <w:rPr>
          <w:rFonts w:ascii="Times New Roman" w:hAnsi="Times New Roman" w:cs="Times New Roman"/>
          <w:sz w:val="24"/>
          <w:szCs w:val="24"/>
        </w:rPr>
        <w:t xml:space="preserve">. </w:t>
      </w:r>
      <w:r>
        <w:rPr>
          <w:rFonts w:ascii="Times New Roman" w:hAnsi="Times New Roman" w:cs="Times New Roman"/>
          <w:sz w:val="24"/>
          <w:szCs w:val="24"/>
        </w:rPr>
        <w:t xml:space="preserve">Hubner and </w:t>
      </w:r>
      <w:r w:rsidRPr="000B6DA3">
        <w:rPr>
          <w:rFonts w:ascii="Times New Roman" w:eastAsia="Times New Roman" w:hAnsi="Times New Roman" w:cs="Times New Roman"/>
          <w:sz w:val="24"/>
          <w:szCs w:val="24"/>
        </w:rPr>
        <w:t>Pleggenkuhle</w:t>
      </w:r>
      <w:r w:rsidRPr="00AC2DA9">
        <w:rPr>
          <w:rFonts w:ascii="Times New Roman" w:hAnsi="Times New Roman" w:cs="Times New Roman"/>
          <w:sz w:val="24"/>
          <w:szCs w:val="24"/>
        </w:rPr>
        <w:t xml:space="preserve"> </w:t>
      </w:r>
      <w:r>
        <w:rPr>
          <w:rFonts w:ascii="Times New Roman" w:hAnsi="Times New Roman" w:cs="Times New Roman"/>
          <w:sz w:val="24"/>
          <w:szCs w:val="24"/>
        </w:rPr>
        <w:t xml:space="preserve">(2015) also </w:t>
      </w:r>
      <w:r w:rsidRPr="00AC2DA9">
        <w:rPr>
          <w:rFonts w:ascii="Times New Roman" w:hAnsi="Times New Roman" w:cs="Times New Roman"/>
          <w:sz w:val="24"/>
          <w:szCs w:val="24"/>
        </w:rPr>
        <w:t>showed that female offenders in probation or under parole supervision were responsible for child care to a greater extent than male offenders; a factor theorized to r</w:t>
      </w:r>
      <w:r>
        <w:rPr>
          <w:rFonts w:ascii="Times New Roman" w:hAnsi="Times New Roman" w:cs="Times New Roman"/>
          <w:sz w:val="24"/>
          <w:szCs w:val="24"/>
        </w:rPr>
        <w:t xml:space="preserve">educe the recidivism risk. </w:t>
      </w:r>
    </w:p>
    <w:p w:rsidR="00EC3AD0" w:rsidRPr="00B310C1" w:rsidRDefault="00EC3AD0" w:rsidP="000E07D8">
      <w:pPr>
        <w:spacing w:after="0" w:line="480" w:lineRule="auto"/>
        <w:rPr>
          <w:rFonts w:ascii="Times New Roman" w:hAnsi="Times New Roman" w:cs="Times New Roman"/>
          <w:color w:val="222222"/>
          <w:sz w:val="24"/>
          <w:szCs w:val="24"/>
          <w:shd w:val="clear" w:color="auto" w:fill="FFFFFF"/>
        </w:rPr>
      </w:pPr>
      <w:r w:rsidRPr="00B310C1">
        <w:rPr>
          <w:rFonts w:ascii="Times New Roman" w:hAnsi="Times New Roman" w:cs="Times New Roman"/>
          <w:color w:val="222222"/>
          <w:sz w:val="24"/>
          <w:szCs w:val="24"/>
          <w:shd w:val="clear" w:color="auto" w:fill="FFFFFF"/>
        </w:rPr>
        <w:t xml:space="preserve"> </w:t>
      </w:r>
    </w:p>
    <w:p w:rsidR="00E31B59" w:rsidRPr="00B310C1" w:rsidRDefault="00E31B59" w:rsidP="0026364B">
      <w:pPr>
        <w:spacing w:line="480" w:lineRule="auto"/>
        <w:rPr>
          <w:rFonts w:ascii="Times New Roman" w:hAnsi="Times New Roman" w:cs="Times New Roman"/>
          <w:sz w:val="24"/>
          <w:szCs w:val="24"/>
        </w:rPr>
      </w:pPr>
      <w:r w:rsidRPr="00B310C1">
        <w:rPr>
          <w:rFonts w:ascii="Times New Roman" w:hAnsi="Times New Roman" w:cs="Times New Roman"/>
          <w:sz w:val="24"/>
          <w:szCs w:val="24"/>
        </w:rPr>
        <w:br w:type="page"/>
      </w:r>
    </w:p>
    <w:p w:rsidR="00237AB3" w:rsidRPr="00B310C1" w:rsidRDefault="00237AB3" w:rsidP="0026364B">
      <w:pPr>
        <w:spacing w:line="480" w:lineRule="auto"/>
        <w:jc w:val="center"/>
        <w:rPr>
          <w:rFonts w:ascii="Times New Roman" w:hAnsi="Times New Roman" w:cs="Times New Roman"/>
          <w:sz w:val="24"/>
          <w:szCs w:val="24"/>
        </w:rPr>
      </w:pPr>
      <w:r w:rsidRPr="00B310C1">
        <w:rPr>
          <w:rFonts w:ascii="Times New Roman" w:hAnsi="Times New Roman" w:cs="Times New Roman"/>
          <w:sz w:val="24"/>
          <w:szCs w:val="24"/>
        </w:rPr>
        <w:lastRenderedPageBreak/>
        <w:t>References</w:t>
      </w:r>
    </w:p>
    <w:p w:rsidR="00E25645" w:rsidRPr="00E25645" w:rsidRDefault="00E25645" w:rsidP="00E25645">
      <w:pPr>
        <w:spacing w:after="0" w:line="480" w:lineRule="auto"/>
        <w:rPr>
          <w:rFonts w:ascii="Times New Roman" w:eastAsia="Times New Roman" w:hAnsi="Times New Roman" w:cs="Times New Roman"/>
          <w:sz w:val="24"/>
          <w:szCs w:val="24"/>
        </w:rPr>
      </w:pPr>
      <w:r w:rsidRPr="00E25645">
        <w:rPr>
          <w:rFonts w:ascii="Times New Roman" w:eastAsia="Times New Roman" w:hAnsi="Times New Roman" w:cs="Times New Roman"/>
          <w:sz w:val="24"/>
          <w:szCs w:val="24"/>
        </w:rPr>
        <w:t xml:space="preserve">Anderson, J. R., Walsh, Z., &amp; Kosson, D. S. (2018). Psychopathy, self-identified </w:t>
      </w:r>
    </w:p>
    <w:p w:rsidR="00E25645" w:rsidRDefault="00E25645" w:rsidP="00474237">
      <w:pPr>
        <w:spacing w:after="0" w:line="480" w:lineRule="auto"/>
        <w:ind w:left="720"/>
        <w:rPr>
          <w:rFonts w:ascii="Times New Roman" w:eastAsia="Times New Roman" w:hAnsi="Times New Roman" w:cs="Times New Roman"/>
          <w:sz w:val="24"/>
          <w:szCs w:val="24"/>
        </w:rPr>
      </w:pPr>
      <w:r w:rsidRPr="00E25645">
        <w:rPr>
          <w:rFonts w:ascii="Times New Roman" w:eastAsia="Times New Roman" w:hAnsi="Times New Roman" w:cs="Times New Roman"/>
          <w:sz w:val="24"/>
          <w:szCs w:val="24"/>
        </w:rPr>
        <w:t>race/ethnicity, and nonviolent recidivism: A longitudinal study. Law and Human Behavior, 42(6), 531–544.</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Atkin-Plunk, C. A., &amp; Armstrong, G. S. (2018). Disentangling the relationship between social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ties, prison visitation, and recidivism. </w:t>
      </w:r>
      <w:r w:rsidRPr="005B2A5A">
        <w:rPr>
          <w:rFonts w:ascii="Times New Roman" w:eastAsia="Times New Roman" w:hAnsi="Times New Roman" w:cs="Times New Roman"/>
          <w:i/>
          <w:iCs/>
          <w:sz w:val="24"/>
          <w:szCs w:val="24"/>
        </w:rPr>
        <w:t>Criminal Justice and Behavior</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45</w:t>
      </w:r>
      <w:r w:rsidRPr="005B2A5A">
        <w:rPr>
          <w:rFonts w:ascii="Times New Roman" w:eastAsia="Times New Roman" w:hAnsi="Times New Roman" w:cs="Times New Roman"/>
          <w:sz w:val="24"/>
          <w:szCs w:val="24"/>
        </w:rPr>
        <w:t>(10), 1507-1526.</w:t>
      </w:r>
    </w:p>
    <w:p w:rsidR="0058268D" w:rsidRPr="005B2A5A" w:rsidRDefault="0058268D" w:rsidP="0058268D">
      <w:pPr>
        <w:spacing w:after="0" w:line="480" w:lineRule="auto"/>
        <w:rPr>
          <w:rFonts w:ascii="Times New Roman" w:eastAsia="Times New Roman" w:hAnsi="Times New Roman" w:cs="Times New Roman"/>
          <w:sz w:val="24"/>
          <w:szCs w:val="24"/>
        </w:rPr>
      </w:pPr>
      <w:r w:rsidRPr="00A04492">
        <w:rPr>
          <w:rFonts w:ascii="Times New Roman" w:eastAsia="Times New Roman" w:hAnsi="Times New Roman" w:cs="Times New Roman"/>
          <w:sz w:val="24"/>
          <w:szCs w:val="24"/>
        </w:rPr>
        <w:t xml:space="preserve">Begun, A. L., Hodge, A. I., &amp; Early, T. J. (2017). A family systems perspective in prisoner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A04492">
        <w:rPr>
          <w:rFonts w:ascii="Times New Roman" w:eastAsia="Times New Roman" w:hAnsi="Times New Roman" w:cs="Times New Roman"/>
          <w:sz w:val="24"/>
          <w:szCs w:val="24"/>
        </w:rPr>
        <w:t xml:space="preserve">reentry. In </w:t>
      </w:r>
      <w:r w:rsidRPr="00A04492">
        <w:rPr>
          <w:rFonts w:ascii="Times New Roman" w:eastAsia="Times New Roman" w:hAnsi="Times New Roman" w:cs="Times New Roman"/>
          <w:i/>
          <w:iCs/>
          <w:sz w:val="24"/>
          <w:szCs w:val="24"/>
        </w:rPr>
        <w:t>Prisoner reentry</w:t>
      </w:r>
      <w:r w:rsidRPr="00A04492">
        <w:rPr>
          <w:rFonts w:ascii="Times New Roman" w:eastAsia="Times New Roman" w:hAnsi="Times New Roman" w:cs="Times New Roman"/>
          <w:sz w:val="24"/>
          <w:szCs w:val="24"/>
        </w:rPr>
        <w:t xml:space="preserve"> (pp. 85-144). Palgrave Macmillan, New York.</w:t>
      </w:r>
    </w:p>
    <w:p w:rsidR="00474237" w:rsidRDefault="00474237" w:rsidP="00474237">
      <w:pPr>
        <w:spacing w:after="0" w:line="480" w:lineRule="auto"/>
        <w:rPr>
          <w:rFonts w:ascii="Times New Roman" w:eastAsia="Times New Roman" w:hAnsi="Times New Roman" w:cs="Times New Roman"/>
          <w:sz w:val="24"/>
          <w:szCs w:val="24"/>
        </w:rPr>
      </w:pPr>
      <w:r w:rsidRPr="00AC2DA9">
        <w:rPr>
          <w:rFonts w:ascii="Times New Roman" w:eastAsia="Times New Roman" w:hAnsi="Times New Roman" w:cs="Times New Roman"/>
          <w:sz w:val="24"/>
          <w:szCs w:val="24"/>
        </w:rPr>
        <w:t xml:space="preserve">Berry, K. R., Kennedy, S. C., Lloyd, M., Veeh, C. A., &amp; Tripodi, S. J. (2018). The </w:t>
      </w:r>
      <w:r w:rsidR="00670F00" w:rsidRPr="00AC2DA9">
        <w:rPr>
          <w:rFonts w:ascii="Times New Roman" w:eastAsia="Times New Roman" w:hAnsi="Times New Roman" w:cs="Times New Roman"/>
          <w:sz w:val="24"/>
          <w:szCs w:val="24"/>
        </w:rPr>
        <w:t xml:space="preserve">intersectional </w:t>
      </w:r>
    </w:p>
    <w:p w:rsidR="00474237" w:rsidRPr="00474237" w:rsidRDefault="00670F00" w:rsidP="00474237">
      <w:pPr>
        <w:spacing w:after="0" w:line="480" w:lineRule="auto"/>
        <w:ind w:left="720"/>
        <w:rPr>
          <w:rFonts w:ascii="Times New Roman" w:eastAsia="Times New Roman" w:hAnsi="Times New Roman" w:cs="Times New Roman"/>
          <w:sz w:val="24"/>
          <w:szCs w:val="24"/>
        </w:rPr>
      </w:pPr>
      <w:r w:rsidRPr="00AC2DA9">
        <w:rPr>
          <w:rFonts w:ascii="Times New Roman" w:eastAsia="Times New Roman" w:hAnsi="Times New Roman" w:cs="Times New Roman"/>
          <w:sz w:val="24"/>
          <w:szCs w:val="24"/>
        </w:rPr>
        <w:t xml:space="preserve">effects of race and gender on time to reincarceration. </w:t>
      </w:r>
      <w:r w:rsidR="00474237" w:rsidRPr="00AC2DA9">
        <w:rPr>
          <w:rFonts w:ascii="Times New Roman" w:eastAsia="Times New Roman" w:hAnsi="Times New Roman" w:cs="Times New Roman"/>
          <w:i/>
          <w:iCs/>
          <w:sz w:val="24"/>
          <w:szCs w:val="24"/>
        </w:rPr>
        <w:t>Justice Quarterly</w:t>
      </w:r>
      <w:r w:rsidR="00474237" w:rsidRPr="00AC2DA9">
        <w:rPr>
          <w:rFonts w:ascii="Times New Roman" w:eastAsia="Times New Roman" w:hAnsi="Times New Roman" w:cs="Times New Roman"/>
          <w:sz w:val="24"/>
          <w:szCs w:val="24"/>
        </w:rPr>
        <w:t>, 1-30.</w:t>
      </w:r>
    </w:p>
    <w:p w:rsidR="0058268D" w:rsidRPr="005B2A5A" w:rsidRDefault="0058268D" w:rsidP="00474237">
      <w:pPr>
        <w:spacing w:line="480" w:lineRule="auto"/>
        <w:rPr>
          <w:rFonts w:ascii="Times New Roman" w:hAnsi="Times New Roman" w:cs="Times New Roman"/>
          <w:sz w:val="24"/>
          <w:szCs w:val="24"/>
        </w:rPr>
      </w:pPr>
      <w:r w:rsidRPr="005B2A5A">
        <w:rPr>
          <w:rFonts w:ascii="Times New Roman" w:hAnsi="Times New Roman" w:cs="Times New Roman"/>
          <w:sz w:val="24"/>
          <w:szCs w:val="24"/>
        </w:rPr>
        <w:t xml:space="preserve">Boccaccini, M. T., Rufino, K. A., Jeon, H., &amp; Murrie, D. C. (2017). Does the predictive validity </w:t>
      </w:r>
    </w:p>
    <w:p w:rsidR="0058268D" w:rsidRPr="005B2A5A" w:rsidRDefault="0058268D" w:rsidP="0058268D">
      <w:pPr>
        <w:spacing w:line="480" w:lineRule="auto"/>
        <w:ind w:left="720"/>
        <w:rPr>
          <w:rFonts w:ascii="Times New Roman" w:hAnsi="Times New Roman" w:cs="Times New Roman"/>
          <w:sz w:val="24"/>
          <w:szCs w:val="24"/>
        </w:rPr>
      </w:pPr>
      <w:r w:rsidRPr="005B2A5A">
        <w:rPr>
          <w:rFonts w:ascii="Times New Roman" w:hAnsi="Times New Roman" w:cs="Times New Roman"/>
          <w:sz w:val="24"/>
          <w:szCs w:val="24"/>
        </w:rPr>
        <w:t xml:space="preserve">of psychopathy ratings depend on the clinical experience of the raters?. </w:t>
      </w:r>
      <w:r w:rsidRPr="005B2A5A">
        <w:rPr>
          <w:rFonts w:ascii="Times New Roman" w:hAnsi="Times New Roman" w:cs="Times New Roman"/>
          <w:i/>
          <w:iCs/>
          <w:sz w:val="24"/>
          <w:szCs w:val="24"/>
        </w:rPr>
        <w:t>International Journal of Forensic Mental Health</w:t>
      </w:r>
      <w:r w:rsidRPr="005B2A5A">
        <w:rPr>
          <w:rFonts w:ascii="Times New Roman" w:hAnsi="Times New Roman" w:cs="Times New Roman"/>
          <w:sz w:val="24"/>
          <w:szCs w:val="24"/>
        </w:rPr>
        <w:t xml:space="preserve">, </w:t>
      </w:r>
      <w:r w:rsidRPr="005B2A5A">
        <w:rPr>
          <w:rFonts w:ascii="Times New Roman" w:hAnsi="Times New Roman" w:cs="Times New Roman"/>
          <w:i/>
          <w:iCs/>
          <w:sz w:val="24"/>
          <w:szCs w:val="24"/>
        </w:rPr>
        <w:t>16</w:t>
      </w:r>
      <w:r w:rsidRPr="005B2A5A">
        <w:rPr>
          <w:rFonts w:ascii="Times New Roman" w:hAnsi="Times New Roman" w:cs="Times New Roman"/>
          <w:sz w:val="24"/>
          <w:szCs w:val="24"/>
        </w:rPr>
        <w:t>(2), 130-138.</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Brantingham, P. L., &amp; Brantingham, P. J. (1995). Criminality of place: Crime generators and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crime attractors. </w:t>
      </w:r>
      <w:r w:rsidRPr="005B2A5A">
        <w:rPr>
          <w:rFonts w:ascii="Times New Roman" w:eastAsia="Times New Roman" w:hAnsi="Times New Roman" w:cs="Times New Roman"/>
          <w:i/>
          <w:sz w:val="24"/>
          <w:szCs w:val="24"/>
        </w:rPr>
        <w:t>European Journal on Criminal Policy and Research, 3</w:t>
      </w:r>
      <w:r w:rsidRPr="005B2A5A">
        <w:rPr>
          <w:rFonts w:ascii="Times New Roman" w:eastAsia="Times New Roman" w:hAnsi="Times New Roman" w:cs="Times New Roman"/>
          <w:sz w:val="24"/>
          <w:szCs w:val="24"/>
        </w:rPr>
        <w:t>, 5-26.</w:t>
      </w:r>
    </w:p>
    <w:p w:rsidR="00966C1B" w:rsidRDefault="00966C1B" w:rsidP="00966C1B">
      <w:pPr>
        <w:spacing w:after="0" w:line="480" w:lineRule="auto"/>
        <w:rPr>
          <w:rFonts w:ascii="Times New Roman" w:eastAsia="Times New Roman" w:hAnsi="Times New Roman" w:cs="Times New Roman"/>
          <w:sz w:val="24"/>
          <w:szCs w:val="24"/>
        </w:rPr>
      </w:pPr>
      <w:r w:rsidRPr="00966C1B">
        <w:rPr>
          <w:rFonts w:ascii="Times New Roman" w:eastAsia="Times New Roman" w:hAnsi="Times New Roman" w:cs="Times New Roman"/>
          <w:sz w:val="24"/>
          <w:szCs w:val="24"/>
        </w:rPr>
        <w:t>Brisky, S., Takahashi, Y., &amp; Hernande</w:t>
      </w:r>
      <w:r>
        <w:rPr>
          <w:rFonts w:ascii="Times New Roman" w:eastAsia="Times New Roman" w:hAnsi="Times New Roman" w:cs="Times New Roman"/>
          <w:sz w:val="24"/>
          <w:szCs w:val="24"/>
        </w:rPr>
        <w:t>z, V. (2016). Disproportionate minority c</w:t>
      </w:r>
      <w:r w:rsidRPr="00966C1B">
        <w:rPr>
          <w:rFonts w:ascii="Times New Roman" w:eastAsia="Times New Roman" w:hAnsi="Times New Roman" w:cs="Times New Roman"/>
          <w:sz w:val="24"/>
          <w:szCs w:val="24"/>
        </w:rPr>
        <w:t xml:space="preserve">ontact: Impact </w:t>
      </w:r>
    </w:p>
    <w:p w:rsidR="00966C1B" w:rsidRDefault="00966C1B" w:rsidP="00892971">
      <w:pPr>
        <w:spacing w:after="0" w:line="480" w:lineRule="auto"/>
        <w:ind w:left="720"/>
        <w:rPr>
          <w:rFonts w:ascii="Times New Roman" w:eastAsia="Times New Roman" w:hAnsi="Times New Roman" w:cs="Times New Roman"/>
          <w:sz w:val="24"/>
          <w:szCs w:val="24"/>
        </w:rPr>
      </w:pPr>
      <w:r w:rsidRPr="00966C1B">
        <w:rPr>
          <w:rFonts w:ascii="Times New Roman" w:eastAsia="Times New Roman" w:hAnsi="Times New Roman" w:cs="Times New Roman"/>
          <w:sz w:val="24"/>
          <w:szCs w:val="24"/>
        </w:rPr>
        <w:t xml:space="preserve">of race and risk factors of first-time juvenile offenders on recidivism. </w:t>
      </w:r>
      <w:r w:rsidRPr="00966C1B">
        <w:rPr>
          <w:rFonts w:ascii="Times New Roman" w:eastAsia="Times New Roman" w:hAnsi="Times New Roman" w:cs="Times New Roman"/>
          <w:i/>
          <w:iCs/>
          <w:sz w:val="24"/>
          <w:szCs w:val="24"/>
        </w:rPr>
        <w:t>Journal of Gang Research</w:t>
      </w:r>
      <w:r w:rsidRPr="00966C1B">
        <w:rPr>
          <w:rFonts w:ascii="Times New Roman" w:eastAsia="Times New Roman" w:hAnsi="Times New Roman" w:cs="Times New Roman"/>
          <w:sz w:val="24"/>
          <w:szCs w:val="24"/>
        </w:rPr>
        <w:t xml:space="preserve">, </w:t>
      </w:r>
      <w:r w:rsidRPr="00966C1B">
        <w:rPr>
          <w:rFonts w:ascii="Times New Roman" w:eastAsia="Times New Roman" w:hAnsi="Times New Roman" w:cs="Times New Roman"/>
          <w:i/>
          <w:iCs/>
          <w:sz w:val="24"/>
          <w:szCs w:val="24"/>
        </w:rPr>
        <w:t>23</w:t>
      </w:r>
      <w:r w:rsidRPr="00966C1B">
        <w:rPr>
          <w:rFonts w:ascii="Times New Roman" w:eastAsia="Times New Roman" w:hAnsi="Times New Roman" w:cs="Times New Roman"/>
          <w:sz w:val="24"/>
          <w:szCs w:val="24"/>
        </w:rPr>
        <w:t xml:space="preserve">(3). </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Brunton-Smith, I., &amp; McCarthy, D. J. (2016). The effects of prisoner attachment to family on re-</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entry outcomes: A longitudinal assessment</w:t>
      </w:r>
      <w:r w:rsidRPr="005B2A5A">
        <w:rPr>
          <w:rFonts w:ascii="Times New Roman" w:eastAsia="Times New Roman" w:hAnsi="Times New Roman" w:cs="Times New Roman"/>
          <w:i/>
          <w:sz w:val="24"/>
          <w:szCs w:val="24"/>
        </w:rPr>
        <w:t>. The British Journal of Criminology, 57</w:t>
      </w:r>
      <w:r w:rsidRPr="005B2A5A">
        <w:rPr>
          <w:rFonts w:ascii="Times New Roman" w:eastAsia="Times New Roman" w:hAnsi="Times New Roman" w:cs="Times New Roman"/>
          <w:sz w:val="24"/>
          <w:szCs w:val="24"/>
        </w:rPr>
        <w:t>, 463-482.</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Bunting, A. M., Staton, M., Winston, E., &amp; Pangburn, K. (2019). Beyond the Employment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lastRenderedPageBreak/>
        <w:t xml:space="preserve">Dichotomy: An Examination of Recidivism and Days Remaining in the Community by Post-Release Employment Status. </w:t>
      </w:r>
      <w:r w:rsidRPr="005B2A5A">
        <w:rPr>
          <w:rFonts w:ascii="Times New Roman" w:eastAsia="Times New Roman" w:hAnsi="Times New Roman" w:cs="Times New Roman"/>
          <w:i/>
          <w:iCs/>
          <w:sz w:val="24"/>
          <w:szCs w:val="24"/>
        </w:rPr>
        <w:t>International journal of offender therapy and comparative criminology</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63</w:t>
      </w:r>
      <w:r w:rsidRPr="005B2A5A">
        <w:rPr>
          <w:rFonts w:ascii="Times New Roman" w:eastAsia="Times New Roman" w:hAnsi="Times New Roman" w:cs="Times New Roman"/>
          <w:sz w:val="24"/>
          <w:szCs w:val="24"/>
        </w:rPr>
        <w:t>(5), 712-733.</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Burt, G. N., Olver, M. E., &amp; Wong, S. C. (2016). Investigating characteristics of the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nonrecidivating psychopathic offender. </w:t>
      </w:r>
      <w:r w:rsidRPr="005B2A5A">
        <w:rPr>
          <w:rFonts w:ascii="Times New Roman" w:eastAsia="Times New Roman" w:hAnsi="Times New Roman" w:cs="Times New Roman"/>
          <w:i/>
          <w:iCs/>
          <w:sz w:val="24"/>
          <w:szCs w:val="24"/>
        </w:rPr>
        <w:t>Criminal Justice and Behavior</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43</w:t>
      </w:r>
      <w:r w:rsidRPr="005B2A5A">
        <w:rPr>
          <w:rFonts w:ascii="Times New Roman" w:eastAsia="Times New Roman" w:hAnsi="Times New Roman" w:cs="Times New Roman"/>
          <w:sz w:val="24"/>
          <w:szCs w:val="24"/>
        </w:rPr>
        <w:t>(12), 1741-1760.</w:t>
      </w:r>
    </w:p>
    <w:p w:rsidR="00494619" w:rsidRDefault="00892971" w:rsidP="0058268D">
      <w:pPr>
        <w:spacing w:after="0" w:line="480" w:lineRule="auto"/>
        <w:rPr>
          <w:rFonts w:ascii="Times New Roman" w:eastAsia="Times New Roman" w:hAnsi="Times New Roman" w:cs="Times New Roman"/>
          <w:sz w:val="24"/>
          <w:szCs w:val="24"/>
        </w:rPr>
      </w:pPr>
      <w:r w:rsidRPr="00966C1B">
        <w:rPr>
          <w:rFonts w:ascii="Times New Roman" w:eastAsia="Times New Roman" w:hAnsi="Times New Roman" w:cs="Times New Roman"/>
          <w:sz w:val="24"/>
          <w:szCs w:val="24"/>
        </w:rPr>
        <w:t>Carson, E. A., &amp; Anderson, E. (201</w:t>
      </w:r>
      <w:r w:rsidR="00276E51">
        <w:rPr>
          <w:rFonts w:ascii="Times New Roman" w:eastAsia="Times New Roman" w:hAnsi="Times New Roman" w:cs="Times New Roman"/>
          <w:sz w:val="24"/>
          <w:szCs w:val="24"/>
        </w:rPr>
        <w:t xml:space="preserve">6). </w:t>
      </w:r>
      <w:r w:rsidR="00276E51" w:rsidRPr="00276E51">
        <w:rPr>
          <w:rFonts w:ascii="Times New Roman" w:eastAsia="Times New Roman" w:hAnsi="Times New Roman" w:cs="Times New Roman"/>
          <w:i/>
          <w:sz w:val="24"/>
          <w:szCs w:val="24"/>
        </w:rPr>
        <w:t>Prisoners in 2015</w:t>
      </w:r>
      <w:r w:rsidR="00276E51">
        <w:rPr>
          <w:rFonts w:ascii="Times New Roman" w:eastAsia="Times New Roman" w:hAnsi="Times New Roman" w:cs="Times New Roman"/>
          <w:sz w:val="24"/>
          <w:szCs w:val="24"/>
        </w:rPr>
        <w:t xml:space="preserve">. Retrieved from: </w:t>
      </w:r>
    </w:p>
    <w:p w:rsidR="00276E51" w:rsidRDefault="00494619" w:rsidP="00494619">
      <w:pPr>
        <w:spacing w:after="0" w:line="480" w:lineRule="auto"/>
        <w:ind w:left="720"/>
        <w:rPr>
          <w:rFonts w:ascii="Times New Roman" w:eastAsia="Times New Roman" w:hAnsi="Times New Roman" w:cs="Times New Roman"/>
          <w:sz w:val="24"/>
          <w:szCs w:val="24"/>
        </w:rPr>
      </w:pPr>
      <w:r w:rsidRPr="00494619">
        <w:rPr>
          <w:rFonts w:ascii="Times New Roman" w:eastAsia="Times New Roman" w:hAnsi="Times New Roman" w:cs="Times New Roman"/>
          <w:sz w:val="24"/>
          <w:szCs w:val="24"/>
        </w:rPr>
        <w:t>https://www.bjs.gov/content/pub/pdf/p15.pdf</w:t>
      </w:r>
    </w:p>
    <w:p w:rsidR="0058268D" w:rsidRPr="005B2A5A" w:rsidRDefault="0058268D" w:rsidP="0058268D">
      <w:pPr>
        <w:spacing w:after="0" w:line="480" w:lineRule="auto"/>
        <w:rPr>
          <w:rFonts w:ascii="Times New Roman" w:eastAsia="Times New Roman" w:hAnsi="Times New Roman" w:cs="Times New Roman"/>
          <w:sz w:val="24"/>
          <w:szCs w:val="24"/>
        </w:rPr>
      </w:pPr>
      <w:r w:rsidRPr="00EE53CA">
        <w:rPr>
          <w:rFonts w:ascii="Times New Roman" w:eastAsia="Times New Roman" w:hAnsi="Times New Roman" w:cs="Times New Roman"/>
          <w:sz w:val="24"/>
          <w:szCs w:val="24"/>
        </w:rPr>
        <w:t xml:space="preserve">Clark, V. A., &amp; Duwe, G. (2017). Distance matters: Examining the factors that impact prisoner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EE53CA">
        <w:rPr>
          <w:rFonts w:ascii="Times New Roman" w:eastAsia="Times New Roman" w:hAnsi="Times New Roman" w:cs="Times New Roman"/>
          <w:sz w:val="24"/>
          <w:szCs w:val="24"/>
        </w:rPr>
        <w:t xml:space="preserve">visitation in Minnesota. </w:t>
      </w:r>
      <w:r w:rsidRPr="00EE53CA">
        <w:rPr>
          <w:rFonts w:ascii="Times New Roman" w:eastAsia="Times New Roman" w:hAnsi="Times New Roman" w:cs="Times New Roman"/>
          <w:i/>
          <w:iCs/>
          <w:sz w:val="24"/>
          <w:szCs w:val="24"/>
        </w:rPr>
        <w:t>Criminal Justice and Behavior</w:t>
      </w:r>
      <w:r w:rsidRPr="00EE53CA">
        <w:rPr>
          <w:rFonts w:ascii="Times New Roman" w:eastAsia="Times New Roman" w:hAnsi="Times New Roman" w:cs="Times New Roman"/>
          <w:sz w:val="24"/>
          <w:szCs w:val="24"/>
        </w:rPr>
        <w:t xml:space="preserve">, </w:t>
      </w:r>
      <w:r w:rsidRPr="00EE53CA">
        <w:rPr>
          <w:rFonts w:ascii="Times New Roman" w:eastAsia="Times New Roman" w:hAnsi="Times New Roman" w:cs="Times New Roman"/>
          <w:i/>
          <w:iCs/>
          <w:sz w:val="24"/>
          <w:szCs w:val="24"/>
        </w:rPr>
        <w:t>44</w:t>
      </w:r>
      <w:r w:rsidRPr="00EE53CA">
        <w:rPr>
          <w:rFonts w:ascii="Times New Roman" w:eastAsia="Times New Roman" w:hAnsi="Times New Roman" w:cs="Times New Roman"/>
          <w:sz w:val="24"/>
          <w:szCs w:val="24"/>
        </w:rPr>
        <w:t>(2), 184-204.</w:t>
      </w:r>
    </w:p>
    <w:p w:rsidR="0058268D" w:rsidRPr="005B2A5A" w:rsidRDefault="0058268D" w:rsidP="0058268D">
      <w:pPr>
        <w:spacing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DeMatteo, D., Hart, S. D., Heilbrun, K., Boccaccini, M. T., Cunningham, M. D., Douglas, K. S., </w:t>
      </w:r>
    </w:p>
    <w:p w:rsidR="0058268D" w:rsidRPr="005B2A5A" w:rsidRDefault="0058268D" w:rsidP="0058268D">
      <w:pPr>
        <w:spacing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&amp; Otto, R. K. (2020). Statement of concerned experts on the use of the Hare Psychopathy Checklist—Revised in capital sentencing to assess risk for institutional violence. </w:t>
      </w:r>
      <w:r w:rsidRPr="005B2A5A">
        <w:rPr>
          <w:rFonts w:ascii="Times New Roman" w:eastAsia="Times New Roman" w:hAnsi="Times New Roman" w:cs="Times New Roman"/>
          <w:i/>
          <w:iCs/>
          <w:sz w:val="24"/>
          <w:szCs w:val="24"/>
        </w:rPr>
        <w:t>Psychology, Public Policy, and Law</w:t>
      </w:r>
      <w:r w:rsidRPr="005B2A5A">
        <w:rPr>
          <w:rFonts w:ascii="Times New Roman" w:eastAsia="Times New Roman" w:hAnsi="Times New Roman" w:cs="Times New Roman"/>
          <w:sz w:val="24"/>
          <w:szCs w:val="24"/>
        </w:rPr>
        <w:t>.</w:t>
      </w:r>
    </w:p>
    <w:p w:rsidR="00C40B50" w:rsidRPr="00C40B50" w:rsidRDefault="00C40B50" w:rsidP="00C40B50">
      <w:pPr>
        <w:spacing w:after="0" w:line="480" w:lineRule="auto"/>
        <w:rPr>
          <w:rFonts w:ascii="Times New Roman" w:hAnsi="Times New Roman" w:cs="Times New Roman"/>
          <w:i/>
          <w:color w:val="222222"/>
          <w:sz w:val="24"/>
          <w:szCs w:val="24"/>
          <w:shd w:val="clear" w:color="auto" w:fill="FFFFFF"/>
        </w:rPr>
      </w:pPr>
      <w:r w:rsidRPr="00A322DD">
        <w:rPr>
          <w:rFonts w:ascii="Times New Roman" w:hAnsi="Times New Roman" w:cs="Times New Roman"/>
          <w:color w:val="222222"/>
          <w:sz w:val="24"/>
          <w:szCs w:val="24"/>
          <w:shd w:val="clear" w:color="auto" w:fill="FFFFFF"/>
        </w:rPr>
        <w:t xml:space="preserve">Durose, M. R., Cooper, A. D., &amp; Snyder, H. N. (2014). </w:t>
      </w:r>
      <w:r w:rsidRPr="00C40B50">
        <w:rPr>
          <w:rFonts w:ascii="Times New Roman" w:hAnsi="Times New Roman" w:cs="Times New Roman"/>
          <w:i/>
          <w:color w:val="222222"/>
          <w:sz w:val="24"/>
          <w:szCs w:val="24"/>
          <w:shd w:val="clear" w:color="auto" w:fill="FFFFFF"/>
        </w:rPr>
        <w:t xml:space="preserve">Recidivism of prisoners released in 30 </w:t>
      </w:r>
    </w:p>
    <w:p w:rsidR="00C40B50" w:rsidRDefault="00C40B50" w:rsidP="00C40B50">
      <w:pPr>
        <w:spacing w:after="0" w:line="480" w:lineRule="auto"/>
        <w:ind w:left="720"/>
        <w:rPr>
          <w:rFonts w:ascii="Times New Roman" w:eastAsia="Times New Roman" w:hAnsi="Times New Roman" w:cs="Times New Roman"/>
          <w:sz w:val="24"/>
          <w:szCs w:val="24"/>
        </w:rPr>
      </w:pPr>
      <w:r w:rsidRPr="00C40B50">
        <w:rPr>
          <w:rFonts w:ascii="Times New Roman" w:hAnsi="Times New Roman" w:cs="Times New Roman"/>
          <w:i/>
          <w:color w:val="222222"/>
          <w:sz w:val="24"/>
          <w:szCs w:val="24"/>
          <w:shd w:val="clear" w:color="auto" w:fill="FFFFFF"/>
        </w:rPr>
        <w:t xml:space="preserve">states in 2005: Patterns from 2005 to </w:t>
      </w:r>
      <w:r w:rsidRPr="00C40B50">
        <w:rPr>
          <w:rFonts w:ascii="Times New Roman" w:hAnsi="Times New Roman" w:cs="Times New Roman"/>
          <w:i/>
          <w:color w:val="222222"/>
          <w:sz w:val="24"/>
          <w:szCs w:val="24"/>
          <w:shd w:val="clear" w:color="auto" w:fill="FFFFFF"/>
        </w:rPr>
        <w:t>2010</w:t>
      </w:r>
      <w:r>
        <w:rPr>
          <w:rFonts w:ascii="Times New Roman" w:hAnsi="Times New Roman" w:cs="Times New Roman"/>
          <w:color w:val="222222"/>
          <w:sz w:val="24"/>
          <w:szCs w:val="24"/>
          <w:shd w:val="clear" w:color="auto" w:fill="FFFFFF"/>
        </w:rPr>
        <w:t xml:space="preserve">. Retrieved from: </w:t>
      </w:r>
      <w:r w:rsidRPr="00C40B50">
        <w:rPr>
          <w:rFonts w:ascii="Times New Roman" w:hAnsi="Times New Roman" w:cs="Times New Roman"/>
          <w:color w:val="222222"/>
          <w:sz w:val="24"/>
          <w:szCs w:val="24"/>
          <w:shd w:val="clear" w:color="auto" w:fill="FFFFFF"/>
        </w:rPr>
        <w:t>https://www.bjs.gov/content/pub/pdf/rprts05p0510.pdf</w:t>
      </w:r>
    </w:p>
    <w:p w:rsidR="0058268D" w:rsidRPr="005B2A5A" w:rsidRDefault="0058268D" w:rsidP="0058268D">
      <w:pPr>
        <w:spacing w:after="0" w:line="480" w:lineRule="auto"/>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Duwe, G., &amp; Clark, V. A. (2017). Nothing will work unless you did: The predictors of postprison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employment. </w:t>
      </w:r>
      <w:r w:rsidRPr="000B6DA3">
        <w:rPr>
          <w:rFonts w:ascii="Times New Roman" w:eastAsia="Times New Roman" w:hAnsi="Times New Roman" w:cs="Times New Roman"/>
          <w:i/>
          <w:iCs/>
          <w:sz w:val="24"/>
          <w:szCs w:val="24"/>
        </w:rPr>
        <w:t>Criminal Justice and Behavior</w:t>
      </w:r>
      <w:r w:rsidRPr="000B6DA3">
        <w:rPr>
          <w:rFonts w:ascii="Times New Roman" w:eastAsia="Times New Roman" w:hAnsi="Times New Roman" w:cs="Times New Roman"/>
          <w:sz w:val="24"/>
          <w:szCs w:val="24"/>
        </w:rPr>
        <w:t xml:space="preserve">, </w:t>
      </w:r>
      <w:r w:rsidRPr="000B6DA3">
        <w:rPr>
          <w:rFonts w:ascii="Times New Roman" w:eastAsia="Times New Roman" w:hAnsi="Times New Roman" w:cs="Times New Roman"/>
          <w:i/>
          <w:iCs/>
          <w:sz w:val="24"/>
          <w:szCs w:val="24"/>
        </w:rPr>
        <w:t>44</w:t>
      </w:r>
      <w:r w:rsidRPr="000B6DA3">
        <w:rPr>
          <w:rFonts w:ascii="Times New Roman" w:eastAsia="Times New Roman" w:hAnsi="Times New Roman" w:cs="Times New Roman"/>
          <w:sz w:val="24"/>
          <w:szCs w:val="24"/>
        </w:rPr>
        <w:t>(5), 657-677.</w:t>
      </w:r>
    </w:p>
    <w:p w:rsidR="0058268D" w:rsidRPr="005B2A5A" w:rsidRDefault="0058268D" w:rsidP="0058268D">
      <w:pPr>
        <w:spacing w:after="0" w:line="480" w:lineRule="auto"/>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Gardner, B. O., Boccaccini, M. T., &amp; Murrie, D. C. (2018). Which PCL-R Scores Best Predict </w:t>
      </w:r>
    </w:p>
    <w:p w:rsidR="0058268D" w:rsidRPr="000B6DA3" w:rsidRDefault="0058268D" w:rsidP="0058268D">
      <w:pPr>
        <w:spacing w:after="0" w:line="480" w:lineRule="auto"/>
        <w:ind w:left="720"/>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Forensic Clinicians’ Opinions of Offender Risk?. </w:t>
      </w:r>
      <w:r w:rsidRPr="000B6DA3">
        <w:rPr>
          <w:rFonts w:ascii="Times New Roman" w:eastAsia="Times New Roman" w:hAnsi="Times New Roman" w:cs="Times New Roman"/>
          <w:i/>
          <w:iCs/>
          <w:sz w:val="24"/>
          <w:szCs w:val="24"/>
        </w:rPr>
        <w:t>Criminal Justice and Behavior</w:t>
      </w:r>
      <w:r w:rsidRPr="000B6DA3">
        <w:rPr>
          <w:rFonts w:ascii="Times New Roman" w:eastAsia="Times New Roman" w:hAnsi="Times New Roman" w:cs="Times New Roman"/>
          <w:sz w:val="24"/>
          <w:szCs w:val="24"/>
        </w:rPr>
        <w:t xml:space="preserve">, </w:t>
      </w:r>
      <w:r w:rsidRPr="000B6DA3">
        <w:rPr>
          <w:rFonts w:ascii="Times New Roman" w:eastAsia="Times New Roman" w:hAnsi="Times New Roman" w:cs="Times New Roman"/>
          <w:i/>
          <w:iCs/>
          <w:sz w:val="24"/>
          <w:szCs w:val="24"/>
        </w:rPr>
        <w:t>45</w:t>
      </w:r>
      <w:r w:rsidRPr="000B6DA3">
        <w:rPr>
          <w:rFonts w:ascii="Times New Roman" w:eastAsia="Times New Roman" w:hAnsi="Times New Roman" w:cs="Times New Roman"/>
          <w:sz w:val="24"/>
          <w:szCs w:val="24"/>
        </w:rPr>
        <w:t>(9), 1404-1419.</w:t>
      </w:r>
    </w:p>
    <w:p w:rsidR="0058268D" w:rsidRPr="005B2A5A" w:rsidRDefault="0058268D" w:rsidP="0058268D">
      <w:pPr>
        <w:spacing w:after="0" w:line="480" w:lineRule="auto"/>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Guy, L. S., Kusaj, C., Packer, I. K., &amp; Douglas, K. S. (2015). Influence of the HCR-20, LS/CMI,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lastRenderedPageBreak/>
        <w:t xml:space="preserve">and PCL-R on decisions about parole suitability among lifers. </w:t>
      </w:r>
      <w:r w:rsidRPr="000B6DA3">
        <w:rPr>
          <w:rFonts w:ascii="Times New Roman" w:eastAsia="Times New Roman" w:hAnsi="Times New Roman" w:cs="Times New Roman"/>
          <w:i/>
          <w:iCs/>
          <w:sz w:val="24"/>
          <w:szCs w:val="24"/>
        </w:rPr>
        <w:t>Law and human behavior</w:t>
      </w:r>
      <w:r w:rsidRPr="000B6DA3">
        <w:rPr>
          <w:rFonts w:ascii="Times New Roman" w:eastAsia="Times New Roman" w:hAnsi="Times New Roman" w:cs="Times New Roman"/>
          <w:sz w:val="24"/>
          <w:szCs w:val="24"/>
        </w:rPr>
        <w:t xml:space="preserve">, </w:t>
      </w:r>
      <w:r w:rsidRPr="000B6DA3">
        <w:rPr>
          <w:rFonts w:ascii="Times New Roman" w:eastAsia="Times New Roman" w:hAnsi="Times New Roman" w:cs="Times New Roman"/>
          <w:i/>
          <w:iCs/>
          <w:sz w:val="24"/>
          <w:szCs w:val="24"/>
        </w:rPr>
        <w:t>39</w:t>
      </w:r>
      <w:r w:rsidRPr="000B6DA3">
        <w:rPr>
          <w:rFonts w:ascii="Times New Roman" w:eastAsia="Times New Roman" w:hAnsi="Times New Roman" w:cs="Times New Roman"/>
          <w:sz w:val="24"/>
          <w:szCs w:val="24"/>
        </w:rPr>
        <w:t>(3), 232.</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Harris, P. B., Boccaccini, M. T., &amp; Rice, A. K. (2017). Field measures of psychopathy and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sexual deviance as predictors of recidivism among sexual offenders. </w:t>
      </w:r>
      <w:r w:rsidRPr="005B2A5A">
        <w:rPr>
          <w:rFonts w:ascii="Times New Roman" w:eastAsia="Times New Roman" w:hAnsi="Times New Roman" w:cs="Times New Roman"/>
          <w:i/>
          <w:iCs/>
          <w:sz w:val="24"/>
          <w:szCs w:val="24"/>
        </w:rPr>
        <w:t>Psychological assessment</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29</w:t>
      </w:r>
      <w:r w:rsidRPr="005B2A5A">
        <w:rPr>
          <w:rFonts w:ascii="Times New Roman" w:eastAsia="Times New Roman" w:hAnsi="Times New Roman" w:cs="Times New Roman"/>
          <w:sz w:val="24"/>
          <w:szCs w:val="24"/>
        </w:rPr>
        <w:t>(6), 639.</w:t>
      </w:r>
    </w:p>
    <w:p w:rsidR="0058268D" w:rsidRPr="005B2A5A" w:rsidRDefault="0058268D" w:rsidP="0058268D">
      <w:pPr>
        <w:spacing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Hemphill, J. F. (2017). The Hare Psychopathy Checklist and recidivism: Methodological issues </w:t>
      </w:r>
    </w:p>
    <w:p w:rsidR="0058268D" w:rsidRPr="005B2A5A" w:rsidRDefault="0058268D" w:rsidP="0058268D">
      <w:pPr>
        <w:spacing w:line="480" w:lineRule="auto"/>
        <w:ind w:left="720"/>
        <w:rPr>
          <w:rFonts w:ascii="Times New Roman" w:hAnsi="Times New Roman" w:cs="Times New Roman"/>
          <w:sz w:val="24"/>
          <w:szCs w:val="24"/>
        </w:rPr>
      </w:pPr>
      <w:r w:rsidRPr="005B2A5A">
        <w:rPr>
          <w:rFonts w:ascii="Times New Roman" w:eastAsia="Times New Roman" w:hAnsi="Times New Roman" w:cs="Times New Roman"/>
          <w:sz w:val="24"/>
          <w:szCs w:val="24"/>
        </w:rPr>
        <w:t xml:space="preserve">and guidelines for critically evaluating empirical evidence. In </w:t>
      </w:r>
      <w:r w:rsidRPr="005B2A5A">
        <w:rPr>
          <w:rFonts w:ascii="Times New Roman" w:eastAsia="Times New Roman" w:hAnsi="Times New Roman" w:cs="Times New Roman"/>
          <w:i/>
          <w:iCs/>
          <w:sz w:val="24"/>
          <w:szCs w:val="24"/>
        </w:rPr>
        <w:t>The Psychopath</w:t>
      </w:r>
      <w:r w:rsidRPr="005B2A5A">
        <w:rPr>
          <w:rFonts w:ascii="Times New Roman" w:eastAsia="Times New Roman" w:hAnsi="Times New Roman" w:cs="Times New Roman"/>
          <w:sz w:val="24"/>
          <w:szCs w:val="24"/>
        </w:rPr>
        <w:t xml:space="preserve"> (pp. 141-170). Routledge.</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Houser, K., McCord, E. S., &amp; Nicholson, J. (2018). The influence of neighborhood risk factors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on parolee recidivism in Philadelphia, Pennsylvania. </w:t>
      </w:r>
      <w:r w:rsidRPr="005B2A5A">
        <w:rPr>
          <w:rFonts w:ascii="Times New Roman" w:eastAsia="Times New Roman" w:hAnsi="Times New Roman" w:cs="Times New Roman"/>
          <w:i/>
          <w:iCs/>
          <w:sz w:val="24"/>
          <w:szCs w:val="24"/>
        </w:rPr>
        <w:t>The Prison Journal</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98</w:t>
      </w:r>
      <w:r w:rsidRPr="005B2A5A">
        <w:rPr>
          <w:rFonts w:ascii="Times New Roman" w:eastAsia="Times New Roman" w:hAnsi="Times New Roman" w:cs="Times New Roman"/>
          <w:sz w:val="24"/>
          <w:szCs w:val="24"/>
        </w:rPr>
        <w:t>(3), 255-276.</w:t>
      </w:r>
    </w:p>
    <w:p w:rsidR="0058268D" w:rsidRPr="005B2A5A" w:rsidRDefault="0058268D" w:rsidP="0058268D">
      <w:pPr>
        <w:spacing w:after="0" w:line="480" w:lineRule="auto"/>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Huebner, B. M., &amp; Pleggenkuhle, B. (2015). Residential location, household composition, and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0B6DA3">
        <w:rPr>
          <w:rFonts w:ascii="Times New Roman" w:eastAsia="Times New Roman" w:hAnsi="Times New Roman" w:cs="Times New Roman"/>
          <w:sz w:val="24"/>
          <w:szCs w:val="24"/>
        </w:rPr>
        <w:t xml:space="preserve">recidivism: An analysis by gender. </w:t>
      </w:r>
      <w:r w:rsidRPr="000B6DA3">
        <w:rPr>
          <w:rFonts w:ascii="Times New Roman" w:eastAsia="Times New Roman" w:hAnsi="Times New Roman" w:cs="Times New Roman"/>
          <w:i/>
          <w:iCs/>
          <w:sz w:val="24"/>
          <w:szCs w:val="24"/>
        </w:rPr>
        <w:t>Justice Quarterly</w:t>
      </w:r>
      <w:r w:rsidRPr="000B6DA3">
        <w:rPr>
          <w:rFonts w:ascii="Times New Roman" w:eastAsia="Times New Roman" w:hAnsi="Times New Roman" w:cs="Times New Roman"/>
          <w:sz w:val="24"/>
          <w:szCs w:val="24"/>
        </w:rPr>
        <w:t xml:space="preserve">, </w:t>
      </w:r>
      <w:r w:rsidRPr="000B6DA3">
        <w:rPr>
          <w:rFonts w:ascii="Times New Roman" w:eastAsia="Times New Roman" w:hAnsi="Times New Roman" w:cs="Times New Roman"/>
          <w:i/>
          <w:iCs/>
          <w:sz w:val="24"/>
          <w:szCs w:val="24"/>
        </w:rPr>
        <w:t>32</w:t>
      </w:r>
      <w:r w:rsidRPr="000B6DA3">
        <w:rPr>
          <w:rFonts w:ascii="Times New Roman" w:eastAsia="Times New Roman" w:hAnsi="Times New Roman" w:cs="Times New Roman"/>
          <w:sz w:val="24"/>
          <w:szCs w:val="24"/>
        </w:rPr>
        <w:t>(5), 818-844.</w:t>
      </w:r>
    </w:p>
    <w:p w:rsidR="00075066" w:rsidRDefault="00075066" w:rsidP="0058268D">
      <w:pPr>
        <w:spacing w:after="0" w:line="480" w:lineRule="auto"/>
        <w:rPr>
          <w:rFonts w:ascii="Times New Roman" w:eastAsia="Times New Roman" w:hAnsi="Times New Roman" w:cs="Times New Roman"/>
          <w:sz w:val="24"/>
          <w:szCs w:val="24"/>
        </w:rPr>
      </w:pPr>
      <w:r w:rsidRPr="00075066">
        <w:rPr>
          <w:rFonts w:ascii="Times New Roman" w:eastAsia="Times New Roman" w:hAnsi="Times New Roman" w:cs="Times New Roman"/>
          <w:sz w:val="24"/>
          <w:szCs w:val="24"/>
        </w:rPr>
        <w:t xml:space="preserve">Jonson, C. L., &amp; Cullen, F. T. (2015). Prisoner reentry programs. </w:t>
      </w:r>
      <w:r w:rsidRPr="00075066">
        <w:rPr>
          <w:rFonts w:ascii="Times New Roman" w:eastAsia="Times New Roman" w:hAnsi="Times New Roman" w:cs="Times New Roman"/>
          <w:i/>
          <w:sz w:val="24"/>
          <w:szCs w:val="24"/>
        </w:rPr>
        <w:t>Crime and Justice</w:t>
      </w:r>
      <w:r w:rsidRPr="00075066">
        <w:rPr>
          <w:rFonts w:ascii="Times New Roman" w:eastAsia="Times New Roman" w:hAnsi="Times New Roman" w:cs="Times New Roman"/>
          <w:sz w:val="24"/>
          <w:szCs w:val="24"/>
        </w:rPr>
        <w:t>, 44(1), 517–</w:t>
      </w:r>
    </w:p>
    <w:p w:rsidR="00075066" w:rsidRDefault="00075066" w:rsidP="00075066">
      <w:pPr>
        <w:spacing w:after="0" w:line="480" w:lineRule="auto"/>
        <w:ind w:left="720"/>
        <w:rPr>
          <w:rFonts w:ascii="Times New Roman" w:eastAsia="Times New Roman" w:hAnsi="Times New Roman" w:cs="Times New Roman"/>
          <w:sz w:val="24"/>
          <w:szCs w:val="24"/>
        </w:rPr>
      </w:pPr>
      <w:r w:rsidRPr="00075066">
        <w:rPr>
          <w:rFonts w:ascii="Times New Roman" w:eastAsia="Times New Roman" w:hAnsi="Times New Roman" w:cs="Times New Roman"/>
          <w:sz w:val="24"/>
          <w:szCs w:val="24"/>
        </w:rPr>
        <w:t>575.</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Kopak, A. M., &amp; Frost, G. A. (2017). Correlates of program success and recidivism among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participants in an adult pre-arrest diversion program. </w:t>
      </w:r>
      <w:r w:rsidRPr="005B2A5A">
        <w:rPr>
          <w:rFonts w:ascii="Times New Roman" w:eastAsia="Times New Roman" w:hAnsi="Times New Roman" w:cs="Times New Roman"/>
          <w:i/>
          <w:iCs/>
          <w:sz w:val="24"/>
          <w:szCs w:val="24"/>
        </w:rPr>
        <w:t>American Journal of Criminal Justice</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42</w:t>
      </w:r>
      <w:r w:rsidRPr="005B2A5A">
        <w:rPr>
          <w:rFonts w:ascii="Times New Roman" w:eastAsia="Times New Roman" w:hAnsi="Times New Roman" w:cs="Times New Roman"/>
          <w:sz w:val="24"/>
          <w:szCs w:val="24"/>
        </w:rPr>
        <w:t>(4), 727-745.</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Leung, P. C., Looman, J., &amp; Abracen, J. (2019). To reoffend or not to reoffend? An investigation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of recidivism among individuals with sexual offense histories and psychopathy. </w:t>
      </w:r>
      <w:r w:rsidRPr="005B2A5A">
        <w:rPr>
          <w:rFonts w:ascii="Times New Roman" w:eastAsia="Times New Roman" w:hAnsi="Times New Roman" w:cs="Times New Roman"/>
          <w:i/>
          <w:iCs/>
          <w:sz w:val="24"/>
          <w:szCs w:val="24"/>
        </w:rPr>
        <w:t>Sexual Abuse</w:t>
      </w:r>
      <w:r w:rsidRPr="005B2A5A">
        <w:rPr>
          <w:rFonts w:ascii="Times New Roman" w:eastAsia="Times New Roman" w:hAnsi="Times New Roman" w:cs="Times New Roman"/>
          <w:sz w:val="24"/>
          <w:szCs w:val="24"/>
        </w:rPr>
        <w:t>, 1079063219877173.</w:t>
      </w:r>
    </w:p>
    <w:p w:rsidR="002152F9" w:rsidRPr="002152F9" w:rsidRDefault="002152F9" w:rsidP="002152F9">
      <w:pPr>
        <w:spacing w:after="0" w:line="480" w:lineRule="auto"/>
        <w:rPr>
          <w:rFonts w:ascii="Times New Roman" w:eastAsia="Times New Roman" w:hAnsi="Times New Roman" w:cs="Times New Roman"/>
          <w:sz w:val="24"/>
          <w:szCs w:val="24"/>
        </w:rPr>
      </w:pPr>
      <w:r w:rsidRPr="002152F9">
        <w:rPr>
          <w:rFonts w:ascii="Times New Roman" w:eastAsia="Times New Roman" w:hAnsi="Times New Roman" w:cs="Times New Roman"/>
          <w:sz w:val="24"/>
          <w:szCs w:val="24"/>
        </w:rPr>
        <w:t xml:space="preserve">Lockwood, S. K., Nally, J. M., Ho, T., &amp; Knutson, K. (2015). Racial disparities and </w:t>
      </w:r>
    </w:p>
    <w:p w:rsidR="002152F9" w:rsidRDefault="002152F9" w:rsidP="002152F9">
      <w:pPr>
        <w:spacing w:after="0" w:line="480" w:lineRule="auto"/>
        <w:ind w:left="720"/>
        <w:rPr>
          <w:rFonts w:ascii="Times New Roman" w:eastAsia="Times New Roman" w:hAnsi="Times New Roman" w:cs="Times New Roman"/>
          <w:sz w:val="24"/>
          <w:szCs w:val="24"/>
        </w:rPr>
      </w:pPr>
      <w:r w:rsidRPr="002152F9">
        <w:rPr>
          <w:rFonts w:ascii="Times New Roman" w:eastAsia="Times New Roman" w:hAnsi="Times New Roman" w:cs="Times New Roman"/>
          <w:sz w:val="24"/>
          <w:szCs w:val="24"/>
        </w:rPr>
        <w:t xml:space="preserve">similarities in post-release recidivism and employment among ex-prisoners with a different level of education. </w:t>
      </w:r>
      <w:r w:rsidRPr="002152F9">
        <w:rPr>
          <w:rFonts w:ascii="Times New Roman" w:eastAsia="Times New Roman" w:hAnsi="Times New Roman" w:cs="Times New Roman"/>
          <w:i/>
          <w:sz w:val="24"/>
          <w:szCs w:val="24"/>
        </w:rPr>
        <w:t>Journal of Prison Education and Reentry, 2</w:t>
      </w:r>
      <w:r w:rsidRPr="002152F9">
        <w:rPr>
          <w:rFonts w:ascii="Times New Roman" w:eastAsia="Times New Roman" w:hAnsi="Times New Roman" w:cs="Times New Roman"/>
          <w:sz w:val="24"/>
          <w:szCs w:val="24"/>
        </w:rPr>
        <w:t>(1), 16-31</w:t>
      </w:r>
    </w:p>
    <w:p w:rsidR="00A9019C" w:rsidRDefault="00A9019C" w:rsidP="00A9019C">
      <w:pPr>
        <w:spacing w:after="0" w:line="480" w:lineRule="auto"/>
        <w:rPr>
          <w:rFonts w:ascii="Times New Roman" w:eastAsia="Times New Roman" w:hAnsi="Times New Roman" w:cs="Times New Roman"/>
          <w:sz w:val="24"/>
          <w:szCs w:val="24"/>
        </w:rPr>
      </w:pPr>
      <w:r w:rsidRPr="00A9019C">
        <w:rPr>
          <w:rFonts w:ascii="Times New Roman" w:eastAsia="Times New Roman" w:hAnsi="Times New Roman" w:cs="Times New Roman"/>
          <w:sz w:val="24"/>
          <w:szCs w:val="24"/>
        </w:rPr>
        <w:lastRenderedPageBreak/>
        <w:t xml:space="preserve">Lopez-Aguado, P. (2016). The collateral consequences of prisonization: Racial sorting, carceral </w:t>
      </w:r>
    </w:p>
    <w:p w:rsidR="00A9019C" w:rsidRPr="00A9019C" w:rsidRDefault="00A9019C" w:rsidP="009A6A06">
      <w:pPr>
        <w:spacing w:after="0" w:line="480" w:lineRule="auto"/>
        <w:ind w:left="720"/>
        <w:rPr>
          <w:rFonts w:ascii="Times New Roman" w:eastAsia="Times New Roman" w:hAnsi="Times New Roman" w:cs="Times New Roman"/>
          <w:sz w:val="24"/>
          <w:szCs w:val="24"/>
        </w:rPr>
      </w:pPr>
      <w:r w:rsidRPr="00A9019C">
        <w:rPr>
          <w:rFonts w:ascii="Times New Roman" w:eastAsia="Times New Roman" w:hAnsi="Times New Roman" w:cs="Times New Roman"/>
          <w:sz w:val="24"/>
          <w:szCs w:val="24"/>
        </w:rPr>
        <w:t>identity, and community criminalization. Sociology Compass, 10(1), 12–23. doi:10.1111/ soc4.12342</w:t>
      </w:r>
    </w:p>
    <w:p w:rsidR="00A12C6F" w:rsidRPr="00494619" w:rsidRDefault="009A6A06" w:rsidP="0058268D">
      <w:pPr>
        <w:spacing w:after="0" w:line="480" w:lineRule="auto"/>
        <w:rPr>
          <w:rFonts w:ascii="Times New Roman" w:hAnsi="Times New Roman" w:cs="Times New Roman"/>
          <w:i/>
          <w:color w:val="222222"/>
          <w:sz w:val="24"/>
          <w:szCs w:val="24"/>
          <w:shd w:val="clear" w:color="auto" w:fill="FFFFFF"/>
        </w:rPr>
      </w:pPr>
      <w:r w:rsidRPr="00AC2DA9">
        <w:rPr>
          <w:rFonts w:ascii="Times New Roman" w:hAnsi="Times New Roman" w:cs="Times New Roman"/>
          <w:color w:val="222222"/>
          <w:sz w:val="24"/>
          <w:szCs w:val="24"/>
          <w:shd w:val="clear" w:color="auto" w:fill="FFFFFF"/>
        </w:rPr>
        <w:t>Markman, J. A., Durose, M. R., Rantala, R. R., &amp; Tiedt, A. D. (2016</w:t>
      </w:r>
      <w:r w:rsidRPr="00494619">
        <w:rPr>
          <w:rFonts w:ascii="Times New Roman" w:hAnsi="Times New Roman" w:cs="Times New Roman"/>
          <w:i/>
          <w:color w:val="222222"/>
          <w:sz w:val="24"/>
          <w:szCs w:val="24"/>
          <w:shd w:val="clear" w:color="auto" w:fill="FFFFFF"/>
        </w:rPr>
        <w:t>). Recidivism of</w:t>
      </w:r>
      <w:r w:rsidR="00A12C6F" w:rsidRPr="00494619">
        <w:rPr>
          <w:rFonts w:ascii="Times New Roman" w:hAnsi="Times New Roman" w:cs="Times New Roman"/>
          <w:i/>
          <w:color w:val="222222"/>
          <w:sz w:val="24"/>
          <w:szCs w:val="24"/>
          <w:shd w:val="clear" w:color="auto" w:fill="FFFFFF"/>
        </w:rPr>
        <w:t xml:space="preserve"> offenders</w:t>
      </w:r>
      <w:r w:rsidRPr="00494619">
        <w:rPr>
          <w:rFonts w:ascii="Times New Roman" w:hAnsi="Times New Roman" w:cs="Times New Roman"/>
          <w:i/>
          <w:color w:val="222222"/>
          <w:sz w:val="24"/>
          <w:szCs w:val="24"/>
          <w:shd w:val="clear" w:color="auto" w:fill="FFFFFF"/>
        </w:rPr>
        <w:t xml:space="preserve"> </w:t>
      </w:r>
    </w:p>
    <w:p w:rsidR="00A9019C" w:rsidRPr="00494619" w:rsidRDefault="009A6A06" w:rsidP="00494619">
      <w:pPr>
        <w:spacing w:after="0" w:line="480" w:lineRule="auto"/>
        <w:ind w:left="720"/>
        <w:rPr>
          <w:rFonts w:ascii="Times New Roman" w:eastAsia="Times New Roman" w:hAnsi="Times New Roman" w:cs="Times New Roman"/>
          <w:sz w:val="24"/>
          <w:szCs w:val="24"/>
        </w:rPr>
      </w:pPr>
      <w:r w:rsidRPr="00494619">
        <w:rPr>
          <w:rFonts w:ascii="Times New Roman" w:hAnsi="Times New Roman" w:cs="Times New Roman"/>
          <w:i/>
          <w:color w:val="222222"/>
          <w:sz w:val="24"/>
          <w:szCs w:val="24"/>
          <w:shd w:val="clear" w:color="auto" w:fill="FFFFFF"/>
        </w:rPr>
        <w:t>placed on federal community supervision in 2005: Patterns from 2005 to 2010</w:t>
      </w:r>
      <w:r w:rsidR="00494619">
        <w:rPr>
          <w:rFonts w:ascii="Times New Roman" w:hAnsi="Times New Roman" w:cs="Times New Roman"/>
          <w:color w:val="222222"/>
          <w:sz w:val="24"/>
          <w:szCs w:val="24"/>
          <w:shd w:val="clear" w:color="auto" w:fill="FFFFFF"/>
        </w:rPr>
        <w:t>. Retrieved from:</w:t>
      </w:r>
      <w:r w:rsidR="00494619" w:rsidRPr="00494619">
        <w:rPr>
          <w:rFonts w:ascii="Times New Roman" w:eastAsia="Times New Roman" w:hAnsi="Times New Roman" w:cs="Times New Roman"/>
          <w:sz w:val="24"/>
          <w:szCs w:val="24"/>
        </w:rPr>
        <w:t xml:space="preserve"> </w:t>
      </w:r>
      <w:r w:rsidR="00494619" w:rsidRPr="00276E51">
        <w:rPr>
          <w:rFonts w:ascii="Times New Roman" w:eastAsia="Times New Roman" w:hAnsi="Times New Roman" w:cs="Times New Roman"/>
          <w:sz w:val="24"/>
          <w:szCs w:val="24"/>
        </w:rPr>
        <w:t>https://www.bjs.gov/content/pub/pdf/ropfcs05p0510pr.pdf</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McNeeley, S. (2018). Do ecological effects on recidivism vary by gender, race, or housing type?.</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i/>
          <w:iCs/>
          <w:sz w:val="24"/>
          <w:szCs w:val="24"/>
        </w:rPr>
        <w:t>Crime &amp; Delinquency</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64</w:t>
      </w:r>
      <w:r w:rsidRPr="005B2A5A">
        <w:rPr>
          <w:rFonts w:ascii="Times New Roman" w:eastAsia="Times New Roman" w:hAnsi="Times New Roman" w:cs="Times New Roman"/>
          <w:sz w:val="24"/>
          <w:szCs w:val="24"/>
        </w:rPr>
        <w:t>(6), 782-806.</w:t>
      </w:r>
    </w:p>
    <w:p w:rsidR="0058268D" w:rsidRPr="005B2A5A" w:rsidRDefault="0058268D" w:rsidP="0058268D">
      <w:pPr>
        <w:spacing w:after="0" w:line="480" w:lineRule="auto"/>
        <w:rPr>
          <w:rFonts w:ascii="Times New Roman" w:hAnsi="Times New Roman" w:cs="Times New Roman"/>
          <w:color w:val="222222"/>
          <w:sz w:val="24"/>
          <w:szCs w:val="24"/>
          <w:shd w:val="clear" w:color="auto" w:fill="FFFFFF"/>
        </w:rPr>
      </w:pPr>
      <w:r w:rsidRPr="005B2A5A">
        <w:rPr>
          <w:rFonts w:ascii="Times New Roman" w:hAnsi="Times New Roman" w:cs="Times New Roman"/>
          <w:color w:val="222222"/>
          <w:sz w:val="24"/>
          <w:szCs w:val="24"/>
          <w:shd w:val="clear" w:color="auto" w:fill="FFFFFF"/>
        </w:rPr>
        <w:t xml:space="preserve">Miller, J., Caplan, J. M., &amp; Ostermann, M. (2016). Assessing the effects of local crime hotspots </w:t>
      </w:r>
    </w:p>
    <w:p w:rsidR="0058268D" w:rsidRPr="005B2A5A" w:rsidRDefault="0058268D" w:rsidP="0058268D">
      <w:pPr>
        <w:spacing w:after="0" w:line="480" w:lineRule="auto"/>
        <w:ind w:left="720"/>
        <w:rPr>
          <w:rFonts w:ascii="Times New Roman" w:hAnsi="Times New Roman" w:cs="Times New Roman"/>
          <w:color w:val="222222"/>
          <w:sz w:val="24"/>
          <w:szCs w:val="24"/>
          <w:shd w:val="clear" w:color="auto" w:fill="FFFFFF"/>
        </w:rPr>
      </w:pPr>
      <w:r w:rsidRPr="005B2A5A">
        <w:rPr>
          <w:rFonts w:ascii="Times New Roman" w:hAnsi="Times New Roman" w:cs="Times New Roman"/>
          <w:color w:val="222222"/>
          <w:sz w:val="24"/>
          <w:szCs w:val="24"/>
          <w:shd w:val="clear" w:color="auto" w:fill="FFFFFF"/>
        </w:rPr>
        <w:t>on parole recidivism. </w:t>
      </w:r>
      <w:r w:rsidRPr="005B2A5A">
        <w:rPr>
          <w:rFonts w:ascii="Times New Roman" w:hAnsi="Times New Roman" w:cs="Times New Roman"/>
          <w:i/>
          <w:iCs/>
          <w:color w:val="222222"/>
          <w:sz w:val="24"/>
          <w:szCs w:val="24"/>
          <w:shd w:val="clear" w:color="auto" w:fill="FFFFFF"/>
        </w:rPr>
        <w:t>The Prison Journal</w:t>
      </w:r>
      <w:r w:rsidRPr="005B2A5A">
        <w:rPr>
          <w:rFonts w:ascii="Times New Roman" w:hAnsi="Times New Roman" w:cs="Times New Roman"/>
          <w:color w:val="222222"/>
          <w:sz w:val="24"/>
          <w:szCs w:val="24"/>
          <w:shd w:val="clear" w:color="auto" w:fill="FFFFFF"/>
        </w:rPr>
        <w:t>, </w:t>
      </w:r>
      <w:r w:rsidRPr="005B2A5A">
        <w:rPr>
          <w:rFonts w:ascii="Times New Roman" w:hAnsi="Times New Roman" w:cs="Times New Roman"/>
          <w:i/>
          <w:iCs/>
          <w:color w:val="222222"/>
          <w:sz w:val="24"/>
          <w:szCs w:val="24"/>
          <w:shd w:val="clear" w:color="auto" w:fill="FFFFFF"/>
        </w:rPr>
        <w:t>96</w:t>
      </w:r>
      <w:r w:rsidRPr="005B2A5A">
        <w:rPr>
          <w:rFonts w:ascii="Times New Roman" w:hAnsi="Times New Roman" w:cs="Times New Roman"/>
          <w:color w:val="222222"/>
          <w:sz w:val="24"/>
          <w:szCs w:val="24"/>
          <w:shd w:val="clear" w:color="auto" w:fill="FFFFFF"/>
        </w:rPr>
        <w:t>(3), 437-461.</w:t>
      </w:r>
    </w:p>
    <w:p w:rsidR="00095906" w:rsidRDefault="00095906" w:rsidP="00095906">
      <w:pPr>
        <w:spacing w:after="0" w:line="480" w:lineRule="auto"/>
        <w:rPr>
          <w:rFonts w:ascii="Times New Roman" w:eastAsia="Times New Roman" w:hAnsi="Times New Roman" w:cs="Times New Roman"/>
          <w:sz w:val="24"/>
          <w:szCs w:val="24"/>
        </w:rPr>
      </w:pPr>
      <w:r w:rsidRPr="00095906">
        <w:rPr>
          <w:rFonts w:ascii="Times New Roman" w:eastAsia="Times New Roman" w:hAnsi="Times New Roman" w:cs="Times New Roman"/>
          <w:sz w:val="24"/>
          <w:szCs w:val="24"/>
        </w:rPr>
        <w:t xml:space="preserve">Olson, D. E., Stalans, L. J., &amp; Escobar, G. (2016). Comparing male and female prison releasees </w:t>
      </w:r>
    </w:p>
    <w:p w:rsidR="00095906" w:rsidRDefault="00095906" w:rsidP="00095906">
      <w:pPr>
        <w:spacing w:after="0" w:line="480" w:lineRule="auto"/>
        <w:ind w:left="720"/>
        <w:rPr>
          <w:rFonts w:ascii="Times New Roman" w:eastAsia="Times New Roman" w:hAnsi="Times New Roman" w:cs="Times New Roman"/>
          <w:sz w:val="24"/>
          <w:szCs w:val="24"/>
        </w:rPr>
      </w:pPr>
      <w:r w:rsidRPr="00095906">
        <w:rPr>
          <w:rFonts w:ascii="Times New Roman" w:eastAsia="Times New Roman" w:hAnsi="Times New Roman" w:cs="Times New Roman"/>
          <w:sz w:val="24"/>
          <w:szCs w:val="24"/>
        </w:rPr>
        <w:t xml:space="preserve">across risk factors and postprison recidivism. </w:t>
      </w:r>
      <w:r w:rsidRPr="00095906">
        <w:rPr>
          <w:rFonts w:ascii="Times New Roman" w:eastAsia="Times New Roman" w:hAnsi="Times New Roman" w:cs="Times New Roman"/>
          <w:i/>
          <w:iCs/>
          <w:sz w:val="24"/>
          <w:szCs w:val="24"/>
        </w:rPr>
        <w:t>Women &amp; Criminal Justice</w:t>
      </w:r>
      <w:r w:rsidRPr="00095906">
        <w:rPr>
          <w:rFonts w:ascii="Times New Roman" w:eastAsia="Times New Roman" w:hAnsi="Times New Roman" w:cs="Times New Roman"/>
          <w:sz w:val="24"/>
          <w:szCs w:val="24"/>
        </w:rPr>
        <w:t xml:space="preserve">, </w:t>
      </w:r>
      <w:r w:rsidRPr="00095906">
        <w:rPr>
          <w:rFonts w:ascii="Times New Roman" w:eastAsia="Times New Roman" w:hAnsi="Times New Roman" w:cs="Times New Roman"/>
          <w:i/>
          <w:iCs/>
          <w:sz w:val="24"/>
          <w:szCs w:val="24"/>
        </w:rPr>
        <w:t>26</w:t>
      </w:r>
      <w:r w:rsidRPr="00095906">
        <w:rPr>
          <w:rFonts w:ascii="Times New Roman" w:eastAsia="Times New Roman" w:hAnsi="Times New Roman" w:cs="Times New Roman"/>
          <w:sz w:val="24"/>
          <w:szCs w:val="24"/>
        </w:rPr>
        <w:t>(2), 122-144.</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Ramakers, A., Nieuwbeerta, P., Van Wilsem, J., &amp; Dirkzwager, A. (2017). Not just any job will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do: A study on employment characteristics and recidivism risks after release. </w:t>
      </w:r>
      <w:r w:rsidRPr="005B2A5A">
        <w:rPr>
          <w:rFonts w:ascii="Times New Roman" w:eastAsia="Times New Roman" w:hAnsi="Times New Roman" w:cs="Times New Roman"/>
          <w:i/>
          <w:iCs/>
          <w:sz w:val="24"/>
          <w:szCs w:val="24"/>
        </w:rPr>
        <w:t>International journal of offender therapy and comparative criminology</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61</w:t>
      </w:r>
      <w:r w:rsidRPr="005B2A5A">
        <w:rPr>
          <w:rFonts w:ascii="Times New Roman" w:eastAsia="Times New Roman" w:hAnsi="Times New Roman" w:cs="Times New Roman"/>
          <w:sz w:val="24"/>
          <w:szCs w:val="24"/>
        </w:rPr>
        <w:t>(16), 1795-1818.</w:t>
      </w:r>
    </w:p>
    <w:p w:rsidR="00A729B3" w:rsidRPr="00A729B3" w:rsidRDefault="00A729B3" w:rsidP="00A729B3">
      <w:pPr>
        <w:spacing w:after="0" w:line="480" w:lineRule="auto"/>
        <w:rPr>
          <w:rFonts w:ascii="Times New Roman" w:eastAsia="Times New Roman" w:hAnsi="Times New Roman" w:cs="Times New Roman"/>
          <w:sz w:val="24"/>
          <w:szCs w:val="24"/>
        </w:rPr>
      </w:pPr>
      <w:r w:rsidRPr="00A729B3">
        <w:rPr>
          <w:rFonts w:ascii="Times New Roman" w:eastAsia="Times New Roman" w:hAnsi="Times New Roman" w:cs="Times New Roman"/>
          <w:sz w:val="24"/>
          <w:szCs w:val="24"/>
        </w:rPr>
        <w:t xml:space="preserve">Robertson, A. A., Zhou, Q. M., Tatch, A., &amp; Walsh, M. (2019). Gender-specific predictors </w:t>
      </w:r>
    </w:p>
    <w:p w:rsidR="00A729B3" w:rsidRDefault="00A729B3" w:rsidP="00A729B3">
      <w:pPr>
        <w:spacing w:after="0" w:line="480" w:lineRule="auto"/>
        <w:ind w:left="720"/>
        <w:rPr>
          <w:rFonts w:ascii="Times New Roman" w:eastAsia="Times New Roman" w:hAnsi="Times New Roman" w:cs="Times New Roman"/>
          <w:sz w:val="24"/>
          <w:szCs w:val="24"/>
        </w:rPr>
      </w:pPr>
      <w:r w:rsidRPr="00A729B3">
        <w:rPr>
          <w:rFonts w:ascii="Times New Roman" w:eastAsia="Times New Roman" w:hAnsi="Times New Roman" w:cs="Times New Roman"/>
          <w:sz w:val="24"/>
          <w:szCs w:val="24"/>
        </w:rPr>
        <w:t xml:space="preserve">of recidivism among DUI offenders. </w:t>
      </w:r>
      <w:r w:rsidRPr="00A729B3">
        <w:rPr>
          <w:rFonts w:ascii="Times New Roman" w:eastAsia="Times New Roman" w:hAnsi="Times New Roman" w:cs="Times New Roman"/>
          <w:i/>
          <w:sz w:val="24"/>
          <w:szCs w:val="24"/>
        </w:rPr>
        <w:t>Journal of studies on alcohol and drugs, 80</w:t>
      </w:r>
      <w:r w:rsidRPr="00A729B3">
        <w:rPr>
          <w:rFonts w:ascii="Times New Roman" w:eastAsia="Times New Roman" w:hAnsi="Times New Roman" w:cs="Times New Roman"/>
          <w:sz w:val="24"/>
          <w:szCs w:val="24"/>
        </w:rPr>
        <w:t>(6), 641-650.</w:t>
      </w:r>
    </w:p>
    <w:p w:rsidR="00FC4091" w:rsidRDefault="00FC4091" w:rsidP="00FC4091">
      <w:pPr>
        <w:spacing w:after="0" w:line="480" w:lineRule="auto"/>
        <w:rPr>
          <w:rFonts w:ascii="Times New Roman" w:eastAsia="Times New Roman" w:hAnsi="Times New Roman" w:cs="Times New Roman"/>
          <w:sz w:val="24"/>
          <w:szCs w:val="24"/>
        </w:rPr>
      </w:pPr>
      <w:r w:rsidRPr="00FC4091">
        <w:rPr>
          <w:rFonts w:ascii="Times New Roman" w:eastAsia="Times New Roman" w:hAnsi="Times New Roman" w:cs="Times New Roman"/>
          <w:sz w:val="24"/>
          <w:szCs w:val="24"/>
        </w:rPr>
        <w:t xml:space="preserve">Tatch, A., Hakki Yigit, I., Brown, D., &amp; Robertson, A. (2019). Examining the Role of Race and </w:t>
      </w:r>
    </w:p>
    <w:p w:rsidR="00FC4091" w:rsidRDefault="00FC4091" w:rsidP="004E1217">
      <w:pPr>
        <w:spacing w:after="0" w:line="480" w:lineRule="auto"/>
        <w:ind w:left="720"/>
        <w:rPr>
          <w:rFonts w:ascii="Times New Roman" w:eastAsia="Times New Roman" w:hAnsi="Times New Roman" w:cs="Times New Roman"/>
          <w:sz w:val="24"/>
          <w:szCs w:val="24"/>
        </w:rPr>
      </w:pPr>
      <w:r w:rsidRPr="00FC4091">
        <w:rPr>
          <w:rFonts w:ascii="Times New Roman" w:eastAsia="Times New Roman" w:hAnsi="Times New Roman" w:cs="Times New Roman"/>
          <w:sz w:val="24"/>
          <w:szCs w:val="24"/>
        </w:rPr>
        <w:t xml:space="preserve">Gender as Moderators of the Relationship Between Depressive Symptoms and Hazardous Alcohol Consumption among DUI Offenders. </w:t>
      </w:r>
      <w:r w:rsidRPr="00FC4091">
        <w:rPr>
          <w:rFonts w:ascii="Times New Roman" w:eastAsia="Times New Roman" w:hAnsi="Times New Roman" w:cs="Times New Roman"/>
          <w:i/>
          <w:iCs/>
          <w:sz w:val="24"/>
          <w:szCs w:val="24"/>
        </w:rPr>
        <w:t>Sociological Spectrum</w:t>
      </w:r>
      <w:r w:rsidRPr="00FC4091">
        <w:rPr>
          <w:rFonts w:ascii="Times New Roman" w:eastAsia="Times New Roman" w:hAnsi="Times New Roman" w:cs="Times New Roman"/>
          <w:sz w:val="24"/>
          <w:szCs w:val="24"/>
        </w:rPr>
        <w:t xml:space="preserve">, </w:t>
      </w:r>
      <w:r w:rsidRPr="00FC4091">
        <w:rPr>
          <w:rFonts w:ascii="Times New Roman" w:eastAsia="Times New Roman" w:hAnsi="Times New Roman" w:cs="Times New Roman"/>
          <w:i/>
          <w:iCs/>
          <w:sz w:val="24"/>
          <w:szCs w:val="24"/>
        </w:rPr>
        <w:t>39</w:t>
      </w:r>
      <w:r w:rsidRPr="00FC4091">
        <w:rPr>
          <w:rFonts w:ascii="Times New Roman" w:eastAsia="Times New Roman" w:hAnsi="Times New Roman" w:cs="Times New Roman"/>
          <w:sz w:val="24"/>
          <w:szCs w:val="24"/>
        </w:rPr>
        <w:t>(2), 131-145.</w:t>
      </w:r>
      <w:bookmarkStart w:id="0" w:name="_GoBack"/>
      <w:bookmarkEnd w:id="0"/>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Walters, G. D., &amp; DeLisi, M. (2015). Psychopathy and violence: Does antisocial cognition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lastRenderedPageBreak/>
        <w:t xml:space="preserve">mediate the relationship between the PCL: YV factor scores and violent offending?. </w:t>
      </w:r>
      <w:r w:rsidRPr="005B2A5A">
        <w:rPr>
          <w:rFonts w:ascii="Times New Roman" w:eastAsia="Times New Roman" w:hAnsi="Times New Roman" w:cs="Times New Roman"/>
          <w:i/>
          <w:iCs/>
          <w:sz w:val="24"/>
          <w:szCs w:val="24"/>
        </w:rPr>
        <w:t>Law and human behavior</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39</w:t>
      </w:r>
      <w:r w:rsidRPr="005B2A5A">
        <w:rPr>
          <w:rFonts w:ascii="Times New Roman" w:eastAsia="Times New Roman" w:hAnsi="Times New Roman" w:cs="Times New Roman"/>
          <w:sz w:val="24"/>
          <w:szCs w:val="24"/>
        </w:rPr>
        <w:t>(4), 350.</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Walters, G. D., &amp; Cohen, T. H. (2016). Criminal thought process as a dynamic risk factor: </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Variable-and person-oriented approaches to recidivism prediction. </w:t>
      </w:r>
      <w:r w:rsidRPr="005B2A5A">
        <w:rPr>
          <w:rFonts w:ascii="Times New Roman" w:eastAsia="Times New Roman" w:hAnsi="Times New Roman" w:cs="Times New Roman"/>
          <w:i/>
          <w:iCs/>
          <w:sz w:val="24"/>
          <w:szCs w:val="24"/>
        </w:rPr>
        <w:t>Law and Human Behavior</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40</w:t>
      </w:r>
      <w:r w:rsidRPr="005B2A5A">
        <w:rPr>
          <w:rFonts w:ascii="Times New Roman" w:eastAsia="Times New Roman" w:hAnsi="Times New Roman" w:cs="Times New Roman"/>
          <w:sz w:val="24"/>
          <w:szCs w:val="24"/>
        </w:rPr>
        <w:t>(4), 411.</w:t>
      </w: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Walters, G. D. (2016). Predicting recidivism with the Criminal Sentiments Scale: A meta-</w:t>
      </w:r>
    </w:p>
    <w:p w:rsidR="0058268D" w:rsidRPr="005B2A5A" w:rsidRDefault="0058268D" w:rsidP="0058268D">
      <w:pPr>
        <w:spacing w:after="0" w:line="480" w:lineRule="auto"/>
        <w:ind w:left="720"/>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 xml:space="preserve">analysis of a putative measure of criminal thought content. </w:t>
      </w:r>
      <w:r w:rsidRPr="005B2A5A">
        <w:rPr>
          <w:rFonts w:ascii="Times New Roman" w:eastAsia="Times New Roman" w:hAnsi="Times New Roman" w:cs="Times New Roman"/>
          <w:i/>
          <w:iCs/>
          <w:sz w:val="24"/>
          <w:szCs w:val="24"/>
        </w:rPr>
        <w:t>Criminal Justice and Behavior</w:t>
      </w:r>
      <w:r w:rsidRPr="005B2A5A">
        <w:rPr>
          <w:rFonts w:ascii="Times New Roman" w:eastAsia="Times New Roman" w:hAnsi="Times New Roman" w:cs="Times New Roman"/>
          <w:sz w:val="24"/>
          <w:szCs w:val="24"/>
        </w:rPr>
        <w:t xml:space="preserve">, </w:t>
      </w:r>
      <w:r w:rsidRPr="005B2A5A">
        <w:rPr>
          <w:rFonts w:ascii="Times New Roman" w:eastAsia="Times New Roman" w:hAnsi="Times New Roman" w:cs="Times New Roman"/>
          <w:i/>
          <w:iCs/>
          <w:sz w:val="24"/>
          <w:szCs w:val="24"/>
        </w:rPr>
        <w:t>43</w:t>
      </w:r>
      <w:r w:rsidRPr="005B2A5A">
        <w:rPr>
          <w:rFonts w:ascii="Times New Roman" w:eastAsia="Times New Roman" w:hAnsi="Times New Roman" w:cs="Times New Roman"/>
          <w:sz w:val="24"/>
          <w:szCs w:val="24"/>
        </w:rPr>
        <w:t>(9), 1159-1172.</w:t>
      </w:r>
    </w:p>
    <w:p w:rsidR="00DA7581" w:rsidRDefault="00DA7581" w:rsidP="00DA7581">
      <w:pPr>
        <w:spacing w:after="0" w:line="480" w:lineRule="auto"/>
        <w:rPr>
          <w:rFonts w:ascii="Times New Roman" w:hAnsi="Times New Roman" w:cs="Times New Roman"/>
          <w:sz w:val="24"/>
          <w:szCs w:val="24"/>
        </w:rPr>
      </w:pPr>
      <w:r w:rsidRPr="00DA7581">
        <w:rPr>
          <w:rFonts w:ascii="Times New Roman" w:hAnsi="Times New Roman" w:cs="Times New Roman"/>
          <w:sz w:val="24"/>
          <w:szCs w:val="24"/>
        </w:rPr>
        <w:t xml:space="preserve">Verona, E., Murphy, B., &amp; Javdani, S. (2016). Gendered pathways: Violent childhood </w:t>
      </w:r>
    </w:p>
    <w:p w:rsidR="00DA7581" w:rsidRPr="00DA7581" w:rsidRDefault="00DA7581" w:rsidP="00DA7581">
      <w:pPr>
        <w:spacing w:after="0" w:line="480" w:lineRule="auto"/>
        <w:ind w:left="720"/>
        <w:rPr>
          <w:rFonts w:ascii="Times New Roman" w:hAnsi="Times New Roman" w:cs="Times New Roman"/>
          <w:sz w:val="24"/>
          <w:szCs w:val="24"/>
        </w:rPr>
      </w:pPr>
      <w:r w:rsidRPr="00DA7581">
        <w:rPr>
          <w:rFonts w:ascii="Times New Roman" w:hAnsi="Times New Roman" w:cs="Times New Roman"/>
          <w:sz w:val="24"/>
          <w:szCs w:val="24"/>
        </w:rPr>
        <w:t xml:space="preserve">maltreatment, sex exchange, and drug use. </w:t>
      </w:r>
      <w:r w:rsidRPr="00DA7581">
        <w:rPr>
          <w:rFonts w:ascii="Times New Roman" w:hAnsi="Times New Roman" w:cs="Times New Roman"/>
          <w:i/>
          <w:iCs/>
          <w:sz w:val="24"/>
          <w:szCs w:val="24"/>
        </w:rPr>
        <w:t>Psychology of violence</w:t>
      </w:r>
      <w:r w:rsidRPr="00DA7581">
        <w:rPr>
          <w:rFonts w:ascii="Times New Roman" w:hAnsi="Times New Roman" w:cs="Times New Roman"/>
          <w:sz w:val="24"/>
          <w:szCs w:val="24"/>
        </w:rPr>
        <w:t xml:space="preserve">, </w:t>
      </w:r>
      <w:r w:rsidRPr="00DA7581">
        <w:rPr>
          <w:rFonts w:ascii="Times New Roman" w:hAnsi="Times New Roman" w:cs="Times New Roman"/>
          <w:i/>
          <w:iCs/>
          <w:sz w:val="24"/>
          <w:szCs w:val="24"/>
        </w:rPr>
        <w:t>6</w:t>
      </w:r>
      <w:r w:rsidRPr="00DA7581">
        <w:rPr>
          <w:rFonts w:ascii="Times New Roman" w:hAnsi="Times New Roman" w:cs="Times New Roman"/>
          <w:sz w:val="24"/>
          <w:szCs w:val="24"/>
        </w:rPr>
        <w:t>(1), 124.</w:t>
      </w:r>
    </w:p>
    <w:p w:rsidR="0058268D" w:rsidRPr="005B2A5A" w:rsidRDefault="0058268D" w:rsidP="0058268D">
      <w:pPr>
        <w:spacing w:after="0" w:line="480" w:lineRule="auto"/>
        <w:rPr>
          <w:rFonts w:ascii="Times New Roman" w:hAnsi="Times New Roman" w:cs="Times New Roman"/>
          <w:sz w:val="24"/>
          <w:szCs w:val="24"/>
        </w:rPr>
      </w:pPr>
    </w:p>
    <w:p w:rsidR="0058268D" w:rsidRPr="005B2A5A" w:rsidRDefault="0058268D" w:rsidP="0058268D">
      <w:pPr>
        <w:spacing w:after="0" w:line="480" w:lineRule="auto"/>
        <w:rPr>
          <w:rFonts w:ascii="Times New Roman" w:eastAsia="Times New Roman" w:hAnsi="Times New Roman" w:cs="Times New Roman"/>
          <w:sz w:val="24"/>
          <w:szCs w:val="24"/>
        </w:rPr>
      </w:pPr>
    </w:p>
    <w:p w:rsidR="0058268D" w:rsidRPr="005B2A5A" w:rsidRDefault="0058268D" w:rsidP="0058268D">
      <w:pPr>
        <w:spacing w:after="0" w:line="480" w:lineRule="auto"/>
        <w:rPr>
          <w:rFonts w:ascii="Times New Roman" w:eastAsia="Times New Roman" w:hAnsi="Times New Roman" w:cs="Times New Roman"/>
          <w:sz w:val="24"/>
          <w:szCs w:val="24"/>
        </w:rPr>
      </w:pPr>
    </w:p>
    <w:p w:rsidR="0058268D" w:rsidRPr="005B2A5A" w:rsidRDefault="0058268D" w:rsidP="0058268D">
      <w:pPr>
        <w:spacing w:after="0" w:line="480" w:lineRule="auto"/>
        <w:rPr>
          <w:rFonts w:ascii="Times New Roman" w:eastAsia="Times New Roman" w:hAnsi="Times New Roman" w:cs="Times New Roman"/>
          <w:sz w:val="24"/>
          <w:szCs w:val="24"/>
        </w:rPr>
      </w:pPr>
      <w:r w:rsidRPr="005B2A5A">
        <w:rPr>
          <w:rFonts w:ascii="Times New Roman" w:eastAsia="Times New Roman" w:hAnsi="Times New Roman" w:cs="Times New Roman"/>
          <w:sz w:val="24"/>
          <w:szCs w:val="24"/>
        </w:rPr>
        <w:t>.</w:t>
      </w:r>
    </w:p>
    <w:p w:rsidR="0058268D" w:rsidRPr="005B2A5A" w:rsidRDefault="0058268D" w:rsidP="0058268D">
      <w:pPr>
        <w:spacing w:after="0" w:line="480" w:lineRule="auto"/>
        <w:rPr>
          <w:rFonts w:ascii="Times New Roman" w:eastAsia="Times New Roman" w:hAnsi="Times New Roman" w:cs="Times New Roman"/>
          <w:sz w:val="24"/>
          <w:szCs w:val="24"/>
        </w:rPr>
      </w:pPr>
    </w:p>
    <w:p w:rsidR="0058268D" w:rsidRPr="000B6DA3" w:rsidRDefault="0058268D" w:rsidP="0058268D">
      <w:pPr>
        <w:spacing w:after="0" w:line="480" w:lineRule="auto"/>
        <w:rPr>
          <w:rFonts w:ascii="Times New Roman" w:eastAsia="Times New Roman" w:hAnsi="Times New Roman" w:cs="Times New Roman"/>
          <w:sz w:val="24"/>
          <w:szCs w:val="24"/>
        </w:rPr>
      </w:pPr>
    </w:p>
    <w:p w:rsidR="0058268D" w:rsidRPr="005B2A5A" w:rsidRDefault="0058268D" w:rsidP="0058268D">
      <w:pPr>
        <w:spacing w:line="480" w:lineRule="auto"/>
        <w:rPr>
          <w:rFonts w:ascii="Times New Roman" w:hAnsi="Times New Roman" w:cs="Times New Roman"/>
          <w:sz w:val="24"/>
          <w:szCs w:val="24"/>
        </w:rPr>
      </w:pPr>
    </w:p>
    <w:p w:rsidR="00457F9B" w:rsidRPr="00B310C1" w:rsidRDefault="00457F9B" w:rsidP="0058268D">
      <w:pPr>
        <w:spacing w:after="0" w:line="480" w:lineRule="auto"/>
        <w:rPr>
          <w:rFonts w:ascii="Times New Roman" w:hAnsi="Times New Roman" w:cs="Times New Roman"/>
          <w:sz w:val="24"/>
          <w:szCs w:val="24"/>
        </w:rPr>
      </w:pPr>
    </w:p>
    <w:sectPr w:rsidR="00457F9B" w:rsidRPr="00B310C1">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23C0" w:rsidRDefault="000223C0" w:rsidP="00C661EC">
      <w:pPr>
        <w:spacing w:after="0" w:line="240" w:lineRule="auto"/>
      </w:pPr>
      <w:r>
        <w:separator/>
      </w:r>
    </w:p>
  </w:endnote>
  <w:endnote w:type="continuationSeparator" w:id="0">
    <w:p w:rsidR="000223C0" w:rsidRDefault="000223C0" w:rsidP="00C66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23C0" w:rsidRDefault="000223C0" w:rsidP="00C661EC">
      <w:pPr>
        <w:spacing w:after="0" w:line="240" w:lineRule="auto"/>
      </w:pPr>
      <w:r>
        <w:separator/>
      </w:r>
    </w:p>
  </w:footnote>
  <w:footnote w:type="continuationSeparator" w:id="0">
    <w:p w:rsidR="000223C0" w:rsidRDefault="000223C0" w:rsidP="00C661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0023944"/>
      <w:docPartObj>
        <w:docPartGallery w:val="Page Numbers (Top of Page)"/>
        <w:docPartUnique/>
      </w:docPartObj>
    </w:sdtPr>
    <w:sdtEndPr>
      <w:rPr>
        <w:noProof/>
      </w:rPr>
    </w:sdtEndPr>
    <w:sdtContent>
      <w:p w:rsidR="002816A4" w:rsidRDefault="002816A4">
        <w:pPr>
          <w:pStyle w:val="Header"/>
          <w:jc w:val="right"/>
        </w:pPr>
        <w:r>
          <w:fldChar w:fldCharType="begin"/>
        </w:r>
        <w:r>
          <w:instrText xml:space="preserve"> PAGE   \* MERGEFORMAT </w:instrText>
        </w:r>
        <w:r>
          <w:fldChar w:fldCharType="separate"/>
        </w:r>
        <w:r w:rsidR="004E1217">
          <w:rPr>
            <w:noProof/>
          </w:rPr>
          <w:t>22</w:t>
        </w:r>
        <w:r>
          <w:rPr>
            <w:noProof/>
          </w:rPr>
          <w:fldChar w:fldCharType="end"/>
        </w:r>
      </w:p>
    </w:sdtContent>
  </w:sdt>
  <w:p w:rsidR="002816A4" w:rsidRDefault="002816A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6906A9"/>
    <w:multiLevelType w:val="hybridMultilevel"/>
    <w:tmpl w:val="442EF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FEC"/>
    <w:rsid w:val="00002ABC"/>
    <w:rsid w:val="00006C3C"/>
    <w:rsid w:val="00012FB8"/>
    <w:rsid w:val="000142DD"/>
    <w:rsid w:val="00021113"/>
    <w:rsid w:val="000223C0"/>
    <w:rsid w:val="00025C50"/>
    <w:rsid w:val="0004041B"/>
    <w:rsid w:val="00050329"/>
    <w:rsid w:val="00052056"/>
    <w:rsid w:val="00052798"/>
    <w:rsid w:val="000676E9"/>
    <w:rsid w:val="00075066"/>
    <w:rsid w:val="00081698"/>
    <w:rsid w:val="00085166"/>
    <w:rsid w:val="00086AFC"/>
    <w:rsid w:val="00086BC0"/>
    <w:rsid w:val="0009263B"/>
    <w:rsid w:val="000940DE"/>
    <w:rsid w:val="00095906"/>
    <w:rsid w:val="000960C0"/>
    <w:rsid w:val="000A1788"/>
    <w:rsid w:val="000B6C12"/>
    <w:rsid w:val="000D2897"/>
    <w:rsid w:val="000D2C0F"/>
    <w:rsid w:val="000D35FA"/>
    <w:rsid w:val="000D4A26"/>
    <w:rsid w:val="000E07D8"/>
    <w:rsid w:val="000E2949"/>
    <w:rsid w:val="000F03B6"/>
    <w:rsid w:val="00115D5F"/>
    <w:rsid w:val="0013552C"/>
    <w:rsid w:val="0013670F"/>
    <w:rsid w:val="001657F2"/>
    <w:rsid w:val="00194A80"/>
    <w:rsid w:val="001B0C61"/>
    <w:rsid w:val="001B48AD"/>
    <w:rsid w:val="001C6164"/>
    <w:rsid w:val="001F18DD"/>
    <w:rsid w:val="001F1B6B"/>
    <w:rsid w:val="001F3DA3"/>
    <w:rsid w:val="00201D10"/>
    <w:rsid w:val="002152F9"/>
    <w:rsid w:val="00217B0B"/>
    <w:rsid w:val="00220184"/>
    <w:rsid w:val="00225CEF"/>
    <w:rsid w:val="00237AB3"/>
    <w:rsid w:val="00244CDC"/>
    <w:rsid w:val="00246ECE"/>
    <w:rsid w:val="0026364B"/>
    <w:rsid w:val="00275C7C"/>
    <w:rsid w:val="00276E51"/>
    <w:rsid w:val="002816A4"/>
    <w:rsid w:val="002828B6"/>
    <w:rsid w:val="0028530F"/>
    <w:rsid w:val="0029180D"/>
    <w:rsid w:val="00291F8B"/>
    <w:rsid w:val="002B3ECB"/>
    <w:rsid w:val="002B7BFA"/>
    <w:rsid w:val="002C253B"/>
    <w:rsid w:val="003074BC"/>
    <w:rsid w:val="00314E6F"/>
    <w:rsid w:val="00317931"/>
    <w:rsid w:val="003306D4"/>
    <w:rsid w:val="00330FA2"/>
    <w:rsid w:val="0033413E"/>
    <w:rsid w:val="003368B0"/>
    <w:rsid w:val="00337B3F"/>
    <w:rsid w:val="0034706D"/>
    <w:rsid w:val="0037515A"/>
    <w:rsid w:val="00375FD9"/>
    <w:rsid w:val="003921BB"/>
    <w:rsid w:val="003934EC"/>
    <w:rsid w:val="003C6354"/>
    <w:rsid w:val="003F4D53"/>
    <w:rsid w:val="00401D6F"/>
    <w:rsid w:val="00402CC7"/>
    <w:rsid w:val="00413B31"/>
    <w:rsid w:val="004149B7"/>
    <w:rsid w:val="004425AD"/>
    <w:rsid w:val="00457F9B"/>
    <w:rsid w:val="00461FAD"/>
    <w:rsid w:val="004620F7"/>
    <w:rsid w:val="00474237"/>
    <w:rsid w:val="004746B8"/>
    <w:rsid w:val="00477F27"/>
    <w:rsid w:val="0048092D"/>
    <w:rsid w:val="00486999"/>
    <w:rsid w:val="00491517"/>
    <w:rsid w:val="00494619"/>
    <w:rsid w:val="00494709"/>
    <w:rsid w:val="004A1424"/>
    <w:rsid w:val="004B02C2"/>
    <w:rsid w:val="004B4EE3"/>
    <w:rsid w:val="004B4FE4"/>
    <w:rsid w:val="004C0E50"/>
    <w:rsid w:val="004C3048"/>
    <w:rsid w:val="004C7A62"/>
    <w:rsid w:val="004D412A"/>
    <w:rsid w:val="004D7709"/>
    <w:rsid w:val="004E1217"/>
    <w:rsid w:val="004E1F7D"/>
    <w:rsid w:val="0051461E"/>
    <w:rsid w:val="005214D7"/>
    <w:rsid w:val="00530805"/>
    <w:rsid w:val="00532226"/>
    <w:rsid w:val="00541746"/>
    <w:rsid w:val="0056564A"/>
    <w:rsid w:val="0058122B"/>
    <w:rsid w:val="0058268D"/>
    <w:rsid w:val="00583E55"/>
    <w:rsid w:val="00593E00"/>
    <w:rsid w:val="005A1438"/>
    <w:rsid w:val="005A6C6F"/>
    <w:rsid w:val="005B101F"/>
    <w:rsid w:val="005C27F2"/>
    <w:rsid w:val="005F216A"/>
    <w:rsid w:val="005F5A53"/>
    <w:rsid w:val="005F697C"/>
    <w:rsid w:val="006011CC"/>
    <w:rsid w:val="00602713"/>
    <w:rsid w:val="00606EAF"/>
    <w:rsid w:val="006259C7"/>
    <w:rsid w:val="006436A0"/>
    <w:rsid w:val="00645E02"/>
    <w:rsid w:val="00650689"/>
    <w:rsid w:val="00651549"/>
    <w:rsid w:val="00670F00"/>
    <w:rsid w:val="00672F67"/>
    <w:rsid w:val="00680660"/>
    <w:rsid w:val="00690AEC"/>
    <w:rsid w:val="006A4DAC"/>
    <w:rsid w:val="006B2F2D"/>
    <w:rsid w:val="006B79B5"/>
    <w:rsid w:val="006C68ED"/>
    <w:rsid w:val="006D4A80"/>
    <w:rsid w:val="006D5E0E"/>
    <w:rsid w:val="007031AB"/>
    <w:rsid w:val="00705B0E"/>
    <w:rsid w:val="007075F3"/>
    <w:rsid w:val="00712A53"/>
    <w:rsid w:val="00712E1E"/>
    <w:rsid w:val="0073104C"/>
    <w:rsid w:val="007357B9"/>
    <w:rsid w:val="00750846"/>
    <w:rsid w:val="00752547"/>
    <w:rsid w:val="007558FD"/>
    <w:rsid w:val="00770886"/>
    <w:rsid w:val="007827DC"/>
    <w:rsid w:val="007923E9"/>
    <w:rsid w:val="007A341F"/>
    <w:rsid w:val="007A59DD"/>
    <w:rsid w:val="007C35D2"/>
    <w:rsid w:val="007C54C5"/>
    <w:rsid w:val="007C6AC4"/>
    <w:rsid w:val="007F5832"/>
    <w:rsid w:val="00802EE7"/>
    <w:rsid w:val="0081022F"/>
    <w:rsid w:val="00811468"/>
    <w:rsid w:val="00811E64"/>
    <w:rsid w:val="008322A9"/>
    <w:rsid w:val="00836D60"/>
    <w:rsid w:val="00841CC6"/>
    <w:rsid w:val="0084728F"/>
    <w:rsid w:val="008559E3"/>
    <w:rsid w:val="00875975"/>
    <w:rsid w:val="00877F5C"/>
    <w:rsid w:val="0088591C"/>
    <w:rsid w:val="00892971"/>
    <w:rsid w:val="008966E2"/>
    <w:rsid w:val="008B0607"/>
    <w:rsid w:val="008B1FCB"/>
    <w:rsid w:val="008B72A6"/>
    <w:rsid w:val="008C1DB6"/>
    <w:rsid w:val="008F014D"/>
    <w:rsid w:val="00900F7D"/>
    <w:rsid w:val="009013CE"/>
    <w:rsid w:val="00926446"/>
    <w:rsid w:val="00927B29"/>
    <w:rsid w:val="0093202D"/>
    <w:rsid w:val="009408A3"/>
    <w:rsid w:val="009420B0"/>
    <w:rsid w:val="00943CA9"/>
    <w:rsid w:val="00951BE7"/>
    <w:rsid w:val="0095359B"/>
    <w:rsid w:val="00954FEC"/>
    <w:rsid w:val="0096482C"/>
    <w:rsid w:val="00966C1B"/>
    <w:rsid w:val="00980860"/>
    <w:rsid w:val="00981088"/>
    <w:rsid w:val="00991B13"/>
    <w:rsid w:val="00994914"/>
    <w:rsid w:val="009A6A06"/>
    <w:rsid w:val="009B2235"/>
    <w:rsid w:val="009B394A"/>
    <w:rsid w:val="009B3BCB"/>
    <w:rsid w:val="009C338A"/>
    <w:rsid w:val="009D308A"/>
    <w:rsid w:val="009D5AEA"/>
    <w:rsid w:val="009E01CC"/>
    <w:rsid w:val="009E4133"/>
    <w:rsid w:val="00A12C6F"/>
    <w:rsid w:val="00A30B17"/>
    <w:rsid w:val="00A341FA"/>
    <w:rsid w:val="00A369E6"/>
    <w:rsid w:val="00A41D71"/>
    <w:rsid w:val="00A52B1B"/>
    <w:rsid w:val="00A52B4D"/>
    <w:rsid w:val="00A57470"/>
    <w:rsid w:val="00A665F5"/>
    <w:rsid w:val="00A729B3"/>
    <w:rsid w:val="00A735C1"/>
    <w:rsid w:val="00A77AF0"/>
    <w:rsid w:val="00A81D74"/>
    <w:rsid w:val="00A84616"/>
    <w:rsid w:val="00A9019C"/>
    <w:rsid w:val="00A94D8C"/>
    <w:rsid w:val="00AA5648"/>
    <w:rsid w:val="00AA7717"/>
    <w:rsid w:val="00AE75A4"/>
    <w:rsid w:val="00AF0C3F"/>
    <w:rsid w:val="00AF75AA"/>
    <w:rsid w:val="00AF7D95"/>
    <w:rsid w:val="00B02974"/>
    <w:rsid w:val="00B0477C"/>
    <w:rsid w:val="00B161EF"/>
    <w:rsid w:val="00B22E4A"/>
    <w:rsid w:val="00B24B84"/>
    <w:rsid w:val="00B26C50"/>
    <w:rsid w:val="00B310C1"/>
    <w:rsid w:val="00B35D78"/>
    <w:rsid w:val="00B36A97"/>
    <w:rsid w:val="00B4131D"/>
    <w:rsid w:val="00B50485"/>
    <w:rsid w:val="00B5154D"/>
    <w:rsid w:val="00B54663"/>
    <w:rsid w:val="00B54A4B"/>
    <w:rsid w:val="00B63983"/>
    <w:rsid w:val="00B828D1"/>
    <w:rsid w:val="00B93166"/>
    <w:rsid w:val="00B97C42"/>
    <w:rsid w:val="00BE3D97"/>
    <w:rsid w:val="00BE5619"/>
    <w:rsid w:val="00BE7A41"/>
    <w:rsid w:val="00BF35F0"/>
    <w:rsid w:val="00C004EB"/>
    <w:rsid w:val="00C03B4B"/>
    <w:rsid w:val="00C11C47"/>
    <w:rsid w:val="00C130FE"/>
    <w:rsid w:val="00C1560A"/>
    <w:rsid w:val="00C20204"/>
    <w:rsid w:val="00C21B5A"/>
    <w:rsid w:val="00C22C2C"/>
    <w:rsid w:val="00C27589"/>
    <w:rsid w:val="00C27B24"/>
    <w:rsid w:val="00C31FEA"/>
    <w:rsid w:val="00C40ACC"/>
    <w:rsid w:val="00C40B50"/>
    <w:rsid w:val="00C647C7"/>
    <w:rsid w:val="00C661EC"/>
    <w:rsid w:val="00C74F72"/>
    <w:rsid w:val="00CA4AFE"/>
    <w:rsid w:val="00CB66C8"/>
    <w:rsid w:val="00CC1F17"/>
    <w:rsid w:val="00CC4789"/>
    <w:rsid w:val="00CD06BD"/>
    <w:rsid w:val="00CE16F9"/>
    <w:rsid w:val="00D025F2"/>
    <w:rsid w:val="00D2053E"/>
    <w:rsid w:val="00D30218"/>
    <w:rsid w:val="00D302FF"/>
    <w:rsid w:val="00D421C9"/>
    <w:rsid w:val="00D4631E"/>
    <w:rsid w:val="00D50BB7"/>
    <w:rsid w:val="00D75653"/>
    <w:rsid w:val="00D8017E"/>
    <w:rsid w:val="00D92B98"/>
    <w:rsid w:val="00D978C9"/>
    <w:rsid w:val="00DA374F"/>
    <w:rsid w:val="00DA7581"/>
    <w:rsid w:val="00DC18AB"/>
    <w:rsid w:val="00DC2941"/>
    <w:rsid w:val="00DC3395"/>
    <w:rsid w:val="00DD6A2D"/>
    <w:rsid w:val="00DD6DA2"/>
    <w:rsid w:val="00DF23C1"/>
    <w:rsid w:val="00DF45BF"/>
    <w:rsid w:val="00E053DC"/>
    <w:rsid w:val="00E06E7F"/>
    <w:rsid w:val="00E1144F"/>
    <w:rsid w:val="00E1697F"/>
    <w:rsid w:val="00E21439"/>
    <w:rsid w:val="00E227CA"/>
    <w:rsid w:val="00E25645"/>
    <w:rsid w:val="00E27260"/>
    <w:rsid w:val="00E30089"/>
    <w:rsid w:val="00E31B59"/>
    <w:rsid w:val="00E37DD9"/>
    <w:rsid w:val="00E5725D"/>
    <w:rsid w:val="00E6422D"/>
    <w:rsid w:val="00E75838"/>
    <w:rsid w:val="00E7688A"/>
    <w:rsid w:val="00E76A92"/>
    <w:rsid w:val="00EC3AD0"/>
    <w:rsid w:val="00EC7115"/>
    <w:rsid w:val="00ED1629"/>
    <w:rsid w:val="00EF076E"/>
    <w:rsid w:val="00EF5289"/>
    <w:rsid w:val="00EF5809"/>
    <w:rsid w:val="00EF6718"/>
    <w:rsid w:val="00F0522A"/>
    <w:rsid w:val="00F12AB3"/>
    <w:rsid w:val="00F2209B"/>
    <w:rsid w:val="00F26E15"/>
    <w:rsid w:val="00F86713"/>
    <w:rsid w:val="00FA2074"/>
    <w:rsid w:val="00FA5567"/>
    <w:rsid w:val="00FC4091"/>
    <w:rsid w:val="00FE2FED"/>
    <w:rsid w:val="00FE7933"/>
    <w:rsid w:val="00FF2BA3"/>
    <w:rsid w:val="00FF6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975CC"/>
  <w15:chartTrackingRefBased/>
  <w15:docId w15:val="{7977CA81-7ED3-4109-8683-6BEBE5048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4FEC"/>
  </w:style>
  <w:style w:type="paragraph" w:styleId="Heading1">
    <w:name w:val="heading 1"/>
    <w:basedOn w:val="Normal"/>
    <w:next w:val="Normal"/>
    <w:link w:val="Heading1Char"/>
    <w:uiPriority w:val="9"/>
    <w:qFormat/>
    <w:rsid w:val="00EF5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F5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F580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14D7"/>
    <w:rPr>
      <w:color w:val="0563C1" w:themeColor="hyperlink"/>
      <w:u w:val="single"/>
    </w:rPr>
  </w:style>
  <w:style w:type="paragraph" w:styleId="ListParagraph">
    <w:name w:val="List Paragraph"/>
    <w:basedOn w:val="Normal"/>
    <w:uiPriority w:val="34"/>
    <w:qFormat/>
    <w:rsid w:val="0056564A"/>
    <w:pPr>
      <w:spacing w:before="240" w:after="120" w:line="480" w:lineRule="auto"/>
      <w:ind w:left="720"/>
      <w:contextualSpacing/>
    </w:pPr>
    <w:rPr>
      <w:rFonts w:ascii="Times New Roman" w:hAnsi="Times New Roman"/>
      <w:sz w:val="24"/>
    </w:rPr>
  </w:style>
  <w:style w:type="character" w:customStyle="1" w:styleId="Heading2Char">
    <w:name w:val="Heading 2 Char"/>
    <w:basedOn w:val="DefaultParagraphFont"/>
    <w:link w:val="Heading2"/>
    <w:uiPriority w:val="9"/>
    <w:rsid w:val="00EF5809"/>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EF580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EF5809"/>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C661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61EC"/>
  </w:style>
  <w:style w:type="paragraph" w:styleId="Footer">
    <w:name w:val="footer"/>
    <w:basedOn w:val="Normal"/>
    <w:link w:val="FooterChar"/>
    <w:uiPriority w:val="99"/>
    <w:unhideWhenUsed/>
    <w:rsid w:val="00C661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61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024585">
      <w:bodyDiv w:val="1"/>
      <w:marLeft w:val="0"/>
      <w:marRight w:val="0"/>
      <w:marTop w:val="0"/>
      <w:marBottom w:val="0"/>
      <w:divBdr>
        <w:top w:val="none" w:sz="0" w:space="0" w:color="auto"/>
        <w:left w:val="none" w:sz="0" w:space="0" w:color="auto"/>
        <w:bottom w:val="none" w:sz="0" w:space="0" w:color="auto"/>
        <w:right w:val="none" w:sz="0" w:space="0" w:color="auto"/>
      </w:divBdr>
      <w:divsChild>
        <w:div w:id="830145766">
          <w:marLeft w:val="0"/>
          <w:marRight w:val="0"/>
          <w:marTop w:val="0"/>
          <w:marBottom w:val="0"/>
          <w:divBdr>
            <w:top w:val="none" w:sz="0" w:space="0" w:color="auto"/>
            <w:left w:val="none" w:sz="0" w:space="0" w:color="auto"/>
            <w:bottom w:val="none" w:sz="0" w:space="0" w:color="auto"/>
            <w:right w:val="none" w:sz="0" w:space="0" w:color="auto"/>
          </w:divBdr>
        </w:div>
      </w:divsChild>
    </w:div>
    <w:div w:id="101926414">
      <w:bodyDiv w:val="1"/>
      <w:marLeft w:val="0"/>
      <w:marRight w:val="0"/>
      <w:marTop w:val="0"/>
      <w:marBottom w:val="0"/>
      <w:divBdr>
        <w:top w:val="none" w:sz="0" w:space="0" w:color="auto"/>
        <w:left w:val="none" w:sz="0" w:space="0" w:color="auto"/>
        <w:bottom w:val="none" w:sz="0" w:space="0" w:color="auto"/>
        <w:right w:val="none" w:sz="0" w:space="0" w:color="auto"/>
      </w:divBdr>
      <w:divsChild>
        <w:div w:id="304505256">
          <w:marLeft w:val="0"/>
          <w:marRight w:val="0"/>
          <w:marTop w:val="0"/>
          <w:marBottom w:val="0"/>
          <w:divBdr>
            <w:top w:val="none" w:sz="0" w:space="0" w:color="auto"/>
            <w:left w:val="none" w:sz="0" w:space="0" w:color="auto"/>
            <w:bottom w:val="none" w:sz="0" w:space="0" w:color="auto"/>
            <w:right w:val="none" w:sz="0" w:space="0" w:color="auto"/>
          </w:divBdr>
        </w:div>
      </w:divsChild>
    </w:div>
    <w:div w:id="514881678">
      <w:bodyDiv w:val="1"/>
      <w:marLeft w:val="0"/>
      <w:marRight w:val="0"/>
      <w:marTop w:val="0"/>
      <w:marBottom w:val="0"/>
      <w:divBdr>
        <w:top w:val="none" w:sz="0" w:space="0" w:color="auto"/>
        <w:left w:val="none" w:sz="0" w:space="0" w:color="auto"/>
        <w:bottom w:val="none" w:sz="0" w:space="0" w:color="auto"/>
        <w:right w:val="none" w:sz="0" w:space="0" w:color="auto"/>
      </w:divBdr>
      <w:divsChild>
        <w:div w:id="1192642773">
          <w:marLeft w:val="0"/>
          <w:marRight w:val="0"/>
          <w:marTop w:val="0"/>
          <w:marBottom w:val="0"/>
          <w:divBdr>
            <w:top w:val="none" w:sz="0" w:space="0" w:color="auto"/>
            <w:left w:val="none" w:sz="0" w:space="0" w:color="auto"/>
            <w:bottom w:val="none" w:sz="0" w:space="0" w:color="auto"/>
            <w:right w:val="none" w:sz="0" w:space="0" w:color="auto"/>
          </w:divBdr>
        </w:div>
      </w:divsChild>
    </w:div>
    <w:div w:id="668598929">
      <w:bodyDiv w:val="1"/>
      <w:marLeft w:val="0"/>
      <w:marRight w:val="0"/>
      <w:marTop w:val="0"/>
      <w:marBottom w:val="0"/>
      <w:divBdr>
        <w:top w:val="none" w:sz="0" w:space="0" w:color="auto"/>
        <w:left w:val="none" w:sz="0" w:space="0" w:color="auto"/>
        <w:bottom w:val="none" w:sz="0" w:space="0" w:color="auto"/>
        <w:right w:val="none" w:sz="0" w:space="0" w:color="auto"/>
      </w:divBdr>
      <w:divsChild>
        <w:div w:id="100078814">
          <w:marLeft w:val="0"/>
          <w:marRight w:val="0"/>
          <w:marTop w:val="0"/>
          <w:marBottom w:val="0"/>
          <w:divBdr>
            <w:top w:val="none" w:sz="0" w:space="0" w:color="auto"/>
            <w:left w:val="none" w:sz="0" w:space="0" w:color="auto"/>
            <w:bottom w:val="none" w:sz="0" w:space="0" w:color="auto"/>
            <w:right w:val="none" w:sz="0" w:space="0" w:color="auto"/>
          </w:divBdr>
        </w:div>
      </w:divsChild>
    </w:div>
    <w:div w:id="695958874">
      <w:bodyDiv w:val="1"/>
      <w:marLeft w:val="0"/>
      <w:marRight w:val="0"/>
      <w:marTop w:val="0"/>
      <w:marBottom w:val="0"/>
      <w:divBdr>
        <w:top w:val="none" w:sz="0" w:space="0" w:color="auto"/>
        <w:left w:val="none" w:sz="0" w:space="0" w:color="auto"/>
        <w:bottom w:val="none" w:sz="0" w:space="0" w:color="auto"/>
        <w:right w:val="none" w:sz="0" w:space="0" w:color="auto"/>
      </w:divBdr>
      <w:divsChild>
        <w:div w:id="1621261272">
          <w:marLeft w:val="0"/>
          <w:marRight w:val="0"/>
          <w:marTop w:val="0"/>
          <w:marBottom w:val="0"/>
          <w:divBdr>
            <w:top w:val="none" w:sz="0" w:space="0" w:color="auto"/>
            <w:left w:val="none" w:sz="0" w:space="0" w:color="auto"/>
            <w:bottom w:val="none" w:sz="0" w:space="0" w:color="auto"/>
            <w:right w:val="none" w:sz="0" w:space="0" w:color="auto"/>
          </w:divBdr>
        </w:div>
      </w:divsChild>
    </w:div>
    <w:div w:id="762803096">
      <w:bodyDiv w:val="1"/>
      <w:marLeft w:val="0"/>
      <w:marRight w:val="0"/>
      <w:marTop w:val="0"/>
      <w:marBottom w:val="0"/>
      <w:divBdr>
        <w:top w:val="none" w:sz="0" w:space="0" w:color="auto"/>
        <w:left w:val="none" w:sz="0" w:space="0" w:color="auto"/>
        <w:bottom w:val="none" w:sz="0" w:space="0" w:color="auto"/>
        <w:right w:val="none" w:sz="0" w:space="0" w:color="auto"/>
      </w:divBdr>
      <w:divsChild>
        <w:div w:id="1272929985">
          <w:marLeft w:val="0"/>
          <w:marRight w:val="0"/>
          <w:marTop w:val="0"/>
          <w:marBottom w:val="0"/>
          <w:divBdr>
            <w:top w:val="none" w:sz="0" w:space="0" w:color="auto"/>
            <w:left w:val="none" w:sz="0" w:space="0" w:color="auto"/>
            <w:bottom w:val="none" w:sz="0" w:space="0" w:color="auto"/>
            <w:right w:val="none" w:sz="0" w:space="0" w:color="auto"/>
          </w:divBdr>
        </w:div>
      </w:divsChild>
    </w:div>
    <w:div w:id="911355186">
      <w:bodyDiv w:val="1"/>
      <w:marLeft w:val="0"/>
      <w:marRight w:val="0"/>
      <w:marTop w:val="0"/>
      <w:marBottom w:val="0"/>
      <w:divBdr>
        <w:top w:val="none" w:sz="0" w:space="0" w:color="auto"/>
        <w:left w:val="none" w:sz="0" w:space="0" w:color="auto"/>
        <w:bottom w:val="none" w:sz="0" w:space="0" w:color="auto"/>
        <w:right w:val="none" w:sz="0" w:space="0" w:color="auto"/>
      </w:divBdr>
      <w:divsChild>
        <w:div w:id="1447919606">
          <w:marLeft w:val="0"/>
          <w:marRight w:val="0"/>
          <w:marTop w:val="0"/>
          <w:marBottom w:val="0"/>
          <w:divBdr>
            <w:top w:val="none" w:sz="0" w:space="0" w:color="auto"/>
            <w:left w:val="none" w:sz="0" w:space="0" w:color="auto"/>
            <w:bottom w:val="none" w:sz="0" w:space="0" w:color="auto"/>
            <w:right w:val="none" w:sz="0" w:space="0" w:color="auto"/>
          </w:divBdr>
        </w:div>
      </w:divsChild>
    </w:div>
    <w:div w:id="982152906">
      <w:bodyDiv w:val="1"/>
      <w:marLeft w:val="0"/>
      <w:marRight w:val="0"/>
      <w:marTop w:val="0"/>
      <w:marBottom w:val="0"/>
      <w:divBdr>
        <w:top w:val="none" w:sz="0" w:space="0" w:color="auto"/>
        <w:left w:val="none" w:sz="0" w:space="0" w:color="auto"/>
        <w:bottom w:val="none" w:sz="0" w:space="0" w:color="auto"/>
        <w:right w:val="none" w:sz="0" w:space="0" w:color="auto"/>
      </w:divBdr>
      <w:divsChild>
        <w:div w:id="730614691">
          <w:marLeft w:val="0"/>
          <w:marRight w:val="0"/>
          <w:marTop w:val="0"/>
          <w:marBottom w:val="0"/>
          <w:divBdr>
            <w:top w:val="none" w:sz="0" w:space="0" w:color="auto"/>
            <w:left w:val="none" w:sz="0" w:space="0" w:color="auto"/>
            <w:bottom w:val="none" w:sz="0" w:space="0" w:color="auto"/>
            <w:right w:val="none" w:sz="0" w:space="0" w:color="auto"/>
          </w:divBdr>
        </w:div>
      </w:divsChild>
    </w:div>
    <w:div w:id="984353090">
      <w:bodyDiv w:val="1"/>
      <w:marLeft w:val="0"/>
      <w:marRight w:val="0"/>
      <w:marTop w:val="0"/>
      <w:marBottom w:val="0"/>
      <w:divBdr>
        <w:top w:val="none" w:sz="0" w:space="0" w:color="auto"/>
        <w:left w:val="none" w:sz="0" w:space="0" w:color="auto"/>
        <w:bottom w:val="none" w:sz="0" w:space="0" w:color="auto"/>
        <w:right w:val="none" w:sz="0" w:space="0" w:color="auto"/>
      </w:divBdr>
      <w:divsChild>
        <w:div w:id="2013143557">
          <w:marLeft w:val="0"/>
          <w:marRight w:val="0"/>
          <w:marTop w:val="0"/>
          <w:marBottom w:val="0"/>
          <w:divBdr>
            <w:top w:val="none" w:sz="0" w:space="0" w:color="auto"/>
            <w:left w:val="none" w:sz="0" w:space="0" w:color="auto"/>
            <w:bottom w:val="none" w:sz="0" w:space="0" w:color="auto"/>
            <w:right w:val="none" w:sz="0" w:space="0" w:color="auto"/>
          </w:divBdr>
        </w:div>
      </w:divsChild>
    </w:div>
    <w:div w:id="1157575437">
      <w:bodyDiv w:val="1"/>
      <w:marLeft w:val="0"/>
      <w:marRight w:val="0"/>
      <w:marTop w:val="0"/>
      <w:marBottom w:val="0"/>
      <w:divBdr>
        <w:top w:val="none" w:sz="0" w:space="0" w:color="auto"/>
        <w:left w:val="none" w:sz="0" w:space="0" w:color="auto"/>
        <w:bottom w:val="none" w:sz="0" w:space="0" w:color="auto"/>
        <w:right w:val="none" w:sz="0" w:space="0" w:color="auto"/>
      </w:divBdr>
      <w:divsChild>
        <w:div w:id="704137853">
          <w:marLeft w:val="0"/>
          <w:marRight w:val="0"/>
          <w:marTop w:val="0"/>
          <w:marBottom w:val="0"/>
          <w:divBdr>
            <w:top w:val="none" w:sz="0" w:space="0" w:color="auto"/>
            <w:left w:val="none" w:sz="0" w:space="0" w:color="auto"/>
            <w:bottom w:val="none" w:sz="0" w:space="0" w:color="auto"/>
            <w:right w:val="none" w:sz="0" w:space="0" w:color="auto"/>
          </w:divBdr>
        </w:div>
      </w:divsChild>
    </w:div>
    <w:div w:id="1282610996">
      <w:bodyDiv w:val="1"/>
      <w:marLeft w:val="0"/>
      <w:marRight w:val="0"/>
      <w:marTop w:val="0"/>
      <w:marBottom w:val="0"/>
      <w:divBdr>
        <w:top w:val="none" w:sz="0" w:space="0" w:color="auto"/>
        <w:left w:val="none" w:sz="0" w:space="0" w:color="auto"/>
        <w:bottom w:val="none" w:sz="0" w:space="0" w:color="auto"/>
        <w:right w:val="none" w:sz="0" w:space="0" w:color="auto"/>
      </w:divBdr>
      <w:divsChild>
        <w:div w:id="1129589198">
          <w:marLeft w:val="0"/>
          <w:marRight w:val="0"/>
          <w:marTop w:val="0"/>
          <w:marBottom w:val="0"/>
          <w:divBdr>
            <w:top w:val="none" w:sz="0" w:space="0" w:color="auto"/>
            <w:left w:val="none" w:sz="0" w:space="0" w:color="auto"/>
            <w:bottom w:val="none" w:sz="0" w:space="0" w:color="auto"/>
            <w:right w:val="none" w:sz="0" w:space="0" w:color="auto"/>
          </w:divBdr>
        </w:div>
      </w:divsChild>
    </w:div>
    <w:div w:id="1482580662">
      <w:bodyDiv w:val="1"/>
      <w:marLeft w:val="0"/>
      <w:marRight w:val="0"/>
      <w:marTop w:val="0"/>
      <w:marBottom w:val="0"/>
      <w:divBdr>
        <w:top w:val="none" w:sz="0" w:space="0" w:color="auto"/>
        <w:left w:val="none" w:sz="0" w:space="0" w:color="auto"/>
        <w:bottom w:val="none" w:sz="0" w:space="0" w:color="auto"/>
        <w:right w:val="none" w:sz="0" w:space="0" w:color="auto"/>
      </w:divBdr>
      <w:divsChild>
        <w:div w:id="1062018746">
          <w:marLeft w:val="0"/>
          <w:marRight w:val="0"/>
          <w:marTop w:val="0"/>
          <w:marBottom w:val="0"/>
          <w:divBdr>
            <w:top w:val="none" w:sz="0" w:space="0" w:color="auto"/>
            <w:left w:val="none" w:sz="0" w:space="0" w:color="auto"/>
            <w:bottom w:val="none" w:sz="0" w:space="0" w:color="auto"/>
            <w:right w:val="none" w:sz="0" w:space="0" w:color="auto"/>
          </w:divBdr>
        </w:div>
      </w:divsChild>
    </w:div>
    <w:div w:id="1550141910">
      <w:bodyDiv w:val="1"/>
      <w:marLeft w:val="0"/>
      <w:marRight w:val="0"/>
      <w:marTop w:val="0"/>
      <w:marBottom w:val="0"/>
      <w:divBdr>
        <w:top w:val="none" w:sz="0" w:space="0" w:color="auto"/>
        <w:left w:val="none" w:sz="0" w:space="0" w:color="auto"/>
        <w:bottom w:val="none" w:sz="0" w:space="0" w:color="auto"/>
        <w:right w:val="none" w:sz="0" w:space="0" w:color="auto"/>
      </w:divBdr>
      <w:divsChild>
        <w:div w:id="28262420">
          <w:marLeft w:val="0"/>
          <w:marRight w:val="0"/>
          <w:marTop w:val="0"/>
          <w:marBottom w:val="0"/>
          <w:divBdr>
            <w:top w:val="none" w:sz="0" w:space="0" w:color="auto"/>
            <w:left w:val="none" w:sz="0" w:space="0" w:color="auto"/>
            <w:bottom w:val="none" w:sz="0" w:space="0" w:color="auto"/>
            <w:right w:val="none" w:sz="0" w:space="0" w:color="auto"/>
          </w:divBdr>
        </w:div>
      </w:divsChild>
    </w:div>
    <w:div w:id="1599483480">
      <w:bodyDiv w:val="1"/>
      <w:marLeft w:val="0"/>
      <w:marRight w:val="0"/>
      <w:marTop w:val="0"/>
      <w:marBottom w:val="0"/>
      <w:divBdr>
        <w:top w:val="none" w:sz="0" w:space="0" w:color="auto"/>
        <w:left w:val="none" w:sz="0" w:space="0" w:color="auto"/>
        <w:bottom w:val="none" w:sz="0" w:space="0" w:color="auto"/>
        <w:right w:val="none" w:sz="0" w:space="0" w:color="auto"/>
      </w:divBdr>
      <w:divsChild>
        <w:div w:id="1357316399">
          <w:marLeft w:val="0"/>
          <w:marRight w:val="0"/>
          <w:marTop w:val="0"/>
          <w:marBottom w:val="0"/>
          <w:divBdr>
            <w:top w:val="none" w:sz="0" w:space="0" w:color="auto"/>
            <w:left w:val="none" w:sz="0" w:space="0" w:color="auto"/>
            <w:bottom w:val="none" w:sz="0" w:space="0" w:color="auto"/>
            <w:right w:val="none" w:sz="0" w:space="0" w:color="auto"/>
          </w:divBdr>
        </w:div>
      </w:divsChild>
    </w:div>
    <w:div w:id="1790541357">
      <w:bodyDiv w:val="1"/>
      <w:marLeft w:val="0"/>
      <w:marRight w:val="0"/>
      <w:marTop w:val="0"/>
      <w:marBottom w:val="0"/>
      <w:divBdr>
        <w:top w:val="none" w:sz="0" w:space="0" w:color="auto"/>
        <w:left w:val="none" w:sz="0" w:space="0" w:color="auto"/>
        <w:bottom w:val="none" w:sz="0" w:space="0" w:color="auto"/>
        <w:right w:val="none" w:sz="0" w:space="0" w:color="auto"/>
      </w:divBdr>
      <w:divsChild>
        <w:div w:id="474875056">
          <w:marLeft w:val="0"/>
          <w:marRight w:val="0"/>
          <w:marTop w:val="0"/>
          <w:marBottom w:val="0"/>
          <w:divBdr>
            <w:top w:val="none" w:sz="0" w:space="0" w:color="auto"/>
            <w:left w:val="none" w:sz="0" w:space="0" w:color="auto"/>
            <w:bottom w:val="none" w:sz="0" w:space="0" w:color="auto"/>
            <w:right w:val="none" w:sz="0" w:space="0" w:color="auto"/>
          </w:divBdr>
        </w:div>
      </w:divsChild>
    </w:div>
    <w:div w:id="1816289977">
      <w:bodyDiv w:val="1"/>
      <w:marLeft w:val="0"/>
      <w:marRight w:val="0"/>
      <w:marTop w:val="0"/>
      <w:marBottom w:val="0"/>
      <w:divBdr>
        <w:top w:val="none" w:sz="0" w:space="0" w:color="auto"/>
        <w:left w:val="none" w:sz="0" w:space="0" w:color="auto"/>
        <w:bottom w:val="none" w:sz="0" w:space="0" w:color="auto"/>
        <w:right w:val="none" w:sz="0" w:space="0" w:color="auto"/>
      </w:divBdr>
      <w:divsChild>
        <w:div w:id="1794210147">
          <w:marLeft w:val="0"/>
          <w:marRight w:val="0"/>
          <w:marTop w:val="0"/>
          <w:marBottom w:val="0"/>
          <w:divBdr>
            <w:top w:val="none" w:sz="0" w:space="0" w:color="auto"/>
            <w:left w:val="none" w:sz="0" w:space="0" w:color="auto"/>
            <w:bottom w:val="none" w:sz="0" w:space="0" w:color="auto"/>
            <w:right w:val="none" w:sz="0" w:space="0" w:color="auto"/>
          </w:divBdr>
        </w:div>
      </w:divsChild>
    </w:div>
    <w:div w:id="1958101578">
      <w:bodyDiv w:val="1"/>
      <w:marLeft w:val="0"/>
      <w:marRight w:val="0"/>
      <w:marTop w:val="0"/>
      <w:marBottom w:val="0"/>
      <w:divBdr>
        <w:top w:val="none" w:sz="0" w:space="0" w:color="auto"/>
        <w:left w:val="none" w:sz="0" w:space="0" w:color="auto"/>
        <w:bottom w:val="none" w:sz="0" w:space="0" w:color="auto"/>
        <w:right w:val="none" w:sz="0" w:space="0" w:color="auto"/>
      </w:divBdr>
      <w:divsChild>
        <w:div w:id="17649112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23</Pages>
  <Words>6175</Words>
  <Characters>35200</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25</cp:revision>
  <dcterms:created xsi:type="dcterms:W3CDTF">2020-05-12T22:13:00Z</dcterms:created>
  <dcterms:modified xsi:type="dcterms:W3CDTF">2020-05-12T22:34:00Z</dcterms:modified>
</cp:coreProperties>
</file>