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6D27" w:rsidRDefault="001A6D27" w:rsidP="001A6D27">
      <w:pPr>
        <w:spacing w:line="480" w:lineRule="auto"/>
        <w:rPr>
          <w:rFonts w:ascii="Times New Roman" w:hAnsi="Times New Roman" w:cs="Times New Roman"/>
          <w:sz w:val="24"/>
          <w:szCs w:val="24"/>
        </w:rPr>
      </w:pPr>
    </w:p>
    <w:p w:rsidR="001A6D27" w:rsidRDefault="001A6D27" w:rsidP="001A6D27">
      <w:pPr>
        <w:spacing w:line="480" w:lineRule="auto"/>
        <w:rPr>
          <w:rFonts w:ascii="Times New Roman" w:hAnsi="Times New Roman" w:cs="Times New Roman"/>
          <w:sz w:val="24"/>
          <w:szCs w:val="24"/>
        </w:rPr>
      </w:pPr>
    </w:p>
    <w:p w:rsidR="001A6D27" w:rsidRDefault="00A35BBE" w:rsidP="00E849E7">
      <w:pPr>
        <w:spacing w:line="480" w:lineRule="auto"/>
        <w:jc w:val="center"/>
        <w:rPr>
          <w:rFonts w:ascii="Times New Roman" w:hAnsi="Times New Roman" w:cs="Times New Roman"/>
          <w:b/>
          <w:sz w:val="24"/>
          <w:szCs w:val="24"/>
        </w:rPr>
      </w:pPr>
      <w:r w:rsidRPr="00E849E7">
        <w:rPr>
          <w:rFonts w:ascii="Times New Roman" w:hAnsi="Times New Roman" w:cs="Times New Roman"/>
          <w:b/>
          <w:sz w:val="24"/>
          <w:szCs w:val="24"/>
        </w:rPr>
        <w:t>Policies</w:t>
      </w:r>
      <w:r w:rsidR="001A6D27" w:rsidRPr="00E849E7">
        <w:rPr>
          <w:rFonts w:ascii="Times New Roman" w:hAnsi="Times New Roman" w:cs="Times New Roman"/>
          <w:b/>
          <w:sz w:val="24"/>
          <w:szCs w:val="24"/>
        </w:rPr>
        <w:t xml:space="preserve"> that Obstructe</w:t>
      </w:r>
      <w:r w:rsidR="00E849E7" w:rsidRPr="00E849E7">
        <w:rPr>
          <w:rFonts w:ascii="Times New Roman" w:hAnsi="Times New Roman" w:cs="Times New Roman"/>
          <w:b/>
          <w:sz w:val="24"/>
          <w:szCs w:val="24"/>
        </w:rPr>
        <w:t>d the Advancement of Communism</w:t>
      </w:r>
    </w:p>
    <w:p w:rsidR="00E849E7" w:rsidRPr="00E849E7" w:rsidRDefault="00E849E7" w:rsidP="00E849E7">
      <w:pPr>
        <w:spacing w:line="480" w:lineRule="auto"/>
        <w:jc w:val="center"/>
        <w:rPr>
          <w:rFonts w:ascii="Times New Roman" w:hAnsi="Times New Roman" w:cs="Times New Roman"/>
          <w:b/>
          <w:sz w:val="24"/>
          <w:szCs w:val="24"/>
        </w:rPr>
      </w:pPr>
    </w:p>
    <w:p w:rsidR="001A6D27" w:rsidRDefault="001A6D27" w:rsidP="001A6D27">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 Name</w:t>
      </w:r>
    </w:p>
    <w:p w:rsidR="001A6D27" w:rsidRDefault="001A6D27" w:rsidP="001A6D27">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w:t>
      </w:r>
    </w:p>
    <w:p w:rsidR="001A6D27" w:rsidRDefault="001A6D27" w:rsidP="001A6D27">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1A6D27" w:rsidRDefault="001A6D27" w:rsidP="001A6D2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Professor </w:t>
      </w:r>
    </w:p>
    <w:p w:rsidR="001A6D27" w:rsidRDefault="001A6D27" w:rsidP="001A6D27">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1A6D27" w:rsidRDefault="001A6D27" w:rsidP="001A6D27">
      <w:pPr>
        <w:spacing w:line="480" w:lineRule="auto"/>
        <w:jc w:val="center"/>
        <w:rPr>
          <w:rFonts w:ascii="Times New Roman" w:hAnsi="Times New Roman" w:cs="Times New Roman"/>
          <w:sz w:val="24"/>
          <w:szCs w:val="24"/>
        </w:rPr>
      </w:pPr>
    </w:p>
    <w:p w:rsidR="001A6D27" w:rsidRDefault="001A6D27" w:rsidP="001A6D27">
      <w:pPr>
        <w:spacing w:line="480" w:lineRule="auto"/>
        <w:jc w:val="center"/>
        <w:rPr>
          <w:rFonts w:ascii="Times New Roman" w:hAnsi="Times New Roman" w:cs="Times New Roman"/>
          <w:sz w:val="24"/>
          <w:szCs w:val="24"/>
        </w:rPr>
      </w:pPr>
    </w:p>
    <w:p w:rsidR="001A6D27" w:rsidRDefault="001A6D27" w:rsidP="001A6D27">
      <w:pPr>
        <w:spacing w:line="480" w:lineRule="auto"/>
        <w:jc w:val="center"/>
        <w:rPr>
          <w:rFonts w:ascii="Times New Roman" w:hAnsi="Times New Roman" w:cs="Times New Roman"/>
          <w:sz w:val="24"/>
          <w:szCs w:val="24"/>
        </w:rPr>
      </w:pPr>
    </w:p>
    <w:p w:rsidR="001A6D27" w:rsidRDefault="001A6D27" w:rsidP="001A6D27">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rsidR="00E849E7" w:rsidRPr="00E849E7" w:rsidRDefault="00E849E7" w:rsidP="00E849E7">
      <w:pPr>
        <w:spacing w:line="480" w:lineRule="auto"/>
        <w:ind w:firstLine="720"/>
        <w:rPr>
          <w:rFonts w:ascii="Times New Roman" w:hAnsi="Times New Roman" w:cs="Times New Roman"/>
          <w:sz w:val="24"/>
          <w:szCs w:val="24"/>
        </w:rPr>
      </w:pPr>
      <w:r w:rsidRPr="00E849E7">
        <w:rPr>
          <w:rFonts w:ascii="Times New Roman" w:hAnsi="Times New Roman" w:cs="Times New Roman"/>
          <w:sz w:val="24"/>
          <w:szCs w:val="24"/>
        </w:rPr>
        <w:lastRenderedPageBreak/>
        <w:t xml:space="preserve">The United States of America designed various policies that functioned efficiently to obstruct communism from being adopted or spreading to the whole of </w:t>
      </w:r>
      <w:r>
        <w:rPr>
          <w:rFonts w:ascii="Times New Roman" w:hAnsi="Times New Roman" w:cs="Times New Roman"/>
          <w:sz w:val="24"/>
          <w:szCs w:val="24"/>
        </w:rPr>
        <w:t>Europe after World War II. The</w:t>
      </w:r>
      <w:r w:rsidRPr="00E849E7">
        <w:rPr>
          <w:rFonts w:ascii="Times New Roman" w:hAnsi="Times New Roman" w:cs="Times New Roman"/>
          <w:sz w:val="24"/>
          <w:szCs w:val="24"/>
        </w:rPr>
        <w:t xml:space="preserve"> policies include the Marshall plan, SALT I and SALT II and the Strategic Defense Initiative. These policies were effected over a period of time after which communism was rejected by European countries.  </w:t>
      </w:r>
    </w:p>
    <w:p w:rsidR="00E849E7" w:rsidRPr="00E849E7" w:rsidRDefault="00E849E7" w:rsidP="00E849E7">
      <w:pPr>
        <w:spacing w:line="480" w:lineRule="auto"/>
        <w:ind w:firstLine="720"/>
        <w:rPr>
          <w:rFonts w:ascii="Times New Roman" w:hAnsi="Times New Roman" w:cs="Times New Roman"/>
          <w:sz w:val="24"/>
          <w:szCs w:val="24"/>
        </w:rPr>
      </w:pPr>
      <w:r w:rsidRPr="00E849E7">
        <w:rPr>
          <w:rFonts w:ascii="Times New Roman" w:hAnsi="Times New Roman" w:cs="Times New Roman"/>
          <w:sz w:val="24"/>
          <w:szCs w:val="24"/>
        </w:rPr>
        <w:t>The Marshall plan was crucial in e</w:t>
      </w:r>
      <w:r>
        <w:rPr>
          <w:rFonts w:ascii="Times New Roman" w:hAnsi="Times New Roman" w:cs="Times New Roman"/>
          <w:sz w:val="24"/>
          <w:szCs w:val="24"/>
        </w:rPr>
        <w:t xml:space="preserve">liminating communism influence in </w:t>
      </w:r>
      <w:r w:rsidRPr="00E849E7">
        <w:rPr>
          <w:rFonts w:ascii="Times New Roman" w:hAnsi="Times New Roman" w:cs="Times New Roman"/>
          <w:sz w:val="24"/>
          <w:szCs w:val="24"/>
        </w:rPr>
        <w:t>Europe. It shifted the focus of Europeans from communist leaders and the Soviet Union to western capitalism. The monetary aid provided to the European countries by the United States of America guaranteed their freedom from the Soviet Union and advancement in their bruised economy after World War II.</w:t>
      </w:r>
    </w:p>
    <w:p w:rsidR="00E849E7" w:rsidRPr="00E849E7" w:rsidRDefault="00E849E7" w:rsidP="00E849E7">
      <w:pPr>
        <w:spacing w:line="480" w:lineRule="auto"/>
        <w:ind w:firstLine="720"/>
        <w:rPr>
          <w:rFonts w:ascii="Times New Roman" w:hAnsi="Times New Roman" w:cs="Times New Roman"/>
          <w:sz w:val="24"/>
          <w:szCs w:val="24"/>
        </w:rPr>
      </w:pPr>
      <w:r>
        <w:rPr>
          <w:rFonts w:ascii="Times New Roman" w:hAnsi="Times New Roman" w:cs="Times New Roman"/>
          <w:sz w:val="24"/>
          <w:szCs w:val="24"/>
        </w:rPr>
        <w:t>On the other hand, t</w:t>
      </w:r>
      <w:r w:rsidRPr="00E849E7">
        <w:rPr>
          <w:rFonts w:ascii="Times New Roman" w:hAnsi="Times New Roman" w:cs="Times New Roman"/>
          <w:sz w:val="24"/>
          <w:szCs w:val="24"/>
        </w:rPr>
        <w:t>he Strategic Defense Initiative effectively restrained the s</w:t>
      </w:r>
      <w:r>
        <w:rPr>
          <w:rFonts w:ascii="Times New Roman" w:hAnsi="Times New Roman" w:cs="Times New Roman"/>
          <w:sz w:val="24"/>
          <w:szCs w:val="24"/>
        </w:rPr>
        <w:t xml:space="preserve">pread of communism in Europe by creating fear among the Soviet Union by the propagation of </w:t>
      </w:r>
      <w:r w:rsidRPr="00E849E7">
        <w:rPr>
          <w:rFonts w:ascii="Times New Roman" w:hAnsi="Times New Roman" w:cs="Times New Roman"/>
          <w:sz w:val="24"/>
          <w:szCs w:val="24"/>
        </w:rPr>
        <w:t>an ina</w:t>
      </w:r>
      <w:r>
        <w:rPr>
          <w:rFonts w:ascii="Times New Roman" w:hAnsi="Times New Roman" w:cs="Times New Roman"/>
          <w:sz w:val="24"/>
          <w:szCs w:val="24"/>
        </w:rPr>
        <w:t>bility to strike down America. Moreover, t</w:t>
      </w:r>
      <w:r w:rsidRPr="00E849E7">
        <w:rPr>
          <w:rFonts w:ascii="Times New Roman" w:hAnsi="Times New Roman" w:cs="Times New Roman"/>
          <w:sz w:val="24"/>
          <w:szCs w:val="24"/>
        </w:rPr>
        <w:t>he Strategic Defense Initiative was designed to shoot down nuclear missiles in space and created a shield that rendered nuclear weapons obsolete (Shultz, 1993). The obvious power of the U.S. as compared to the Soviet Union influenced European countries to adopt the western way of life that included capitalism.</w:t>
      </w:r>
    </w:p>
    <w:p w:rsidR="00E849E7" w:rsidRDefault="00E849E7" w:rsidP="00E849E7">
      <w:pPr>
        <w:spacing w:line="480" w:lineRule="auto"/>
        <w:ind w:firstLine="720"/>
        <w:rPr>
          <w:rFonts w:ascii="Times New Roman" w:hAnsi="Times New Roman" w:cs="Times New Roman"/>
          <w:sz w:val="24"/>
          <w:szCs w:val="24"/>
        </w:rPr>
      </w:pPr>
      <w:r w:rsidRPr="00E849E7">
        <w:rPr>
          <w:rFonts w:ascii="Times New Roman" w:hAnsi="Times New Roman" w:cs="Times New Roman"/>
          <w:sz w:val="24"/>
          <w:szCs w:val="24"/>
        </w:rPr>
        <w:t xml:space="preserve">The Strategic Arms Limitations Talks were vital in curbing communism in Europe and ending the cold war. The treaties were aimed to limit the development of offensive and defensive warfare systems thus ensuring peace (Office of The Historian). The Soviet Union redirected its focus from conquering other European countries and spreading communism to protecting its capital from a possible nuclear attack. </w:t>
      </w:r>
    </w:p>
    <w:p w:rsidR="00A67AF2" w:rsidRPr="00E849E7" w:rsidRDefault="00E849E7" w:rsidP="00E849E7">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In hind sight,</w:t>
      </w:r>
      <w:bookmarkStart w:id="0" w:name="_GoBack"/>
      <w:bookmarkEnd w:id="0"/>
      <w:r w:rsidRPr="00E849E7">
        <w:rPr>
          <w:rFonts w:ascii="Times New Roman" w:hAnsi="Times New Roman" w:cs="Times New Roman"/>
          <w:sz w:val="24"/>
          <w:szCs w:val="24"/>
        </w:rPr>
        <w:t xml:space="preserve"> the United States was right to fear international communists’ subversion since the dealings of the Soviet Union were a threat to peace. The more countries the Soviet Union conquered and the number of nuclear weapons it had could have led to World War III.</w:t>
      </w:r>
    </w:p>
    <w:p w:rsidR="00A67AF2" w:rsidRDefault="00A67AF2">
      <w:pPr>
        <w:rPr>
          <w:rFonts w:ascii="Times New Roman" w:hAnsi="Times New Roman" w:cs="Times New Roman"/>
          <w:sz w:val="24"/>
          <w:szCs w:val="24"/>
        </w:rPr>
      </w:pPr>
      <w:r>
        <w:rPr>
          <w:rFonts w:ascii="Times New Roman" w:hAnsi="Times New Roman" w:cs="Times New Roman"/>
          <w:sz w:val="24"/>
          <w:szCs w:val="24"/>
        </w:rPr>
        <w:br w:type="page"/>
      </w:r>
    </w:p>
    <w:p w:rsidR="00A67AF2" w:rsidRPr="006A7DFA" w:rsidRDefault="00A67AF2" w:rsidP="006A7DFA">
      <w:pPr>
        <w:spacing w:line="480" w:lineRule="auto"/>
        <w:jc w:val="center"/>
        <w:rPr>
          <w:rFonts w:ascii="Times New Roman" w:hAnsi="Times New Roman" w:cs="Times New Roman"/>
          <w:b/>
          <w:sz w:val="24"/>
          <w:szCs w:val="24"/>
        </w:rPr>
      </w:pPr>
      <w:r w:rsidRPr="006A7DFA">
        <w:rPr>
          <w:rFonts w:ascii="Times New Roman" w:hAnsi="Times New Roman" w:cs="Times New Roman"/>
          <w:b/>
          <w:sz w:val="24"/>
          <w:szCs w:val="24"/>
        </w:rPr>
        <w:lastRenderedPageBreak/>
        <w:t>References</w:t>
      </w:r>
    </w:p>
    <w:p w:rsidR="00DB27D5" w:rsidRPr="00DB27D5" w:rsidRDefault="00DB27D5" w:rsidP="001A6D27">
      <w:pPr>
        <w:spacing w:line="480" w:lineRule="auto"/>
        <w:rPr>
          <w:rFonts w:ascii="Times New Roman" w:hAnsi="Times New Roman" w:cs="Times New Roman"/>
          <w:sz w:val="24"/>
          <w:szCs w:val="24"/>
        </w:rPr>
      </w:pPr>
      <w:r>
        <w:rPr>
          <w:rFonts w:ascii="Times New Roman" w:hAnsi="Times New Roman" w:cs="Times New Roman"/>
          <w:sz w:val="24"/>
          <w:szCs w:val="24"/>
        </w:rPr>
        <w:t xml:space="preserve">Office of The Historian. “Strategic Arms Limitations Talks/ Treaty (SALT) I and II.” </w:t>
      </w:r>
      <w:r>
        <w:rPr>
          <w:rFonts w:ascii="Times New Roman" w:hAnsi="Times New Roman" w:cs="Times New Roman"/>
          <w:i/>
          <w:sz w:val="24"/>
          <w:szCs w:val="24"/>
        </w:rPr>
        <w:t xml:space="preserve">United States Department of States. </w:t>
      </w:r>
      <w:hyperlink r:id="rId6" w:history="1">
        <w:r w:rsidRPr="004A242E">
          <w:rPr>
            <w:rStyle w:val="Hyperlink"/>
            <w:rFonts w:ascii="Times New Roman" w:hAnsi="Times New Roman" w:cs="Times New Roman"/>
            <w:sz w:val="24"/>
            <w:szCs w:val="24"/>
          </w:rPr>
          <w:t>https://history.state.gov/milestones/1969-1976/salt</w:t>
        </w:r>
      </w:hyperlink>
      <w:r>
        <w:rPr>
          <w:rFonts w:ascii="Times New Roman" w:hAnsi="Times New Roman" w:cs="Times New Roman"/>
          <w:sz w:val="24"/>
          <w:szCs w:val="24"/>
        </w:rPr>
        <w:t xml:space="preserve"> </w:t>
      </w:r>
      <w:r w:rsidR="00CC0E38">
        <w:rPr>
          <w:rFonts w:ascii="Times New Roman" w:hAnsi="Times New Roman" w:cs="Times New Roman"/>
          <w:sz w:val="24"/>
          <w:szCs w:val="24"/>
        </w:rPr>
        <w:t>s</w:t>
      </w:r>
    </w:p>
    <w:p w:rsidR="006A7DFA" w:rsidRDefault="00A67AF2" w:rsidP="001A6D27">
      <w:pPr>
        <w:spacing w:line="480" w:lineRule="auto"/>
        <w:rPr>
          <w:rFonts w:ascii="Times New Roman" w:hAnsi="Times New Roman" w:cs="Times New Roman"/>
          <w:i/>
          <w:sz w:val="24"/>
          <w:szCs w:val="24"/>
        </w:rPr>
      </w:pPr>
      <w:r>
        <w:rPr>
          <w:rFonts w:ascii="Times New Roman" w:hAnsi="Times New Roman" w:cs="Times New Roman"/>
          <w:sz w:val="24"/>
          <w:szCs w:val="24"/>
        </w:rPr>
        <w:t xml:space="preserve">Shultz, G. P. (1993). “Turmoil and Triumph: Diplomacy, Power, and the Victory of the American Ideal.” </w:t>
      </w:r>
      <w:r>
        <w:rPr>
          <w:rFonts w:ascii="Times New Roman" w:hAnsi="Times New Roman" w:cs="Times New Roman"/>
          <w:i/>
          <w:sz w:val="24"/>
          <w:szCs w:val="24"/>
        </w:rPr>
        <w:t xml:space="preserve">New York: Charles Scriber’s Sons. </w:t>
      </w:r>
    </w:p>
    <w:p w:rsidR="00A67AF2" w:rsidRPr="00A67AF2" w:rsidRDefault="00A67AF2" w:rsidP="001A6D27">
      <w:pPr>
        <w:spacing w:line="480" w:lineRule="auto"/>
        <w:rPr>
          <w:rFonts w:ascii="Times New Roman" w:hAnsi="Times New Roman" w:cs="Times New Roman"/>
          <w:i/>
          <w:sz w:val="24"/>
          <w:szCs w:val="24"/>
        </w:rPr>
      </w:pPr>
      <w:r>
        <w:rPr>
          <w:rFonts w:ascii="Times New Roman" w:hAnsi="Times New Roman" w:cs="Times New Roman"/>
          <w:i/>
          <w:sz w:val="24"/>
          <w:szCs w:val="24"/>
        </w:rPr>
        <w:t xml:space="preserve"> </w:t>
      </w:r>
    </w:p>
    <w:p w:rsidR="00A67AF2" w:rsidRDefault="00A67AF2" w:rsidP="001A6D27">
      <w:pPr>
        <w:spacing w:line="480" w:lineRule="auto"/>
        <w:rPr>
          <w:rFonts w:ascii="Times New Roman" w:hAnsi="Times New Roman" w:cs="Times New Roman"/>
          <w:sz w:val="24"/>
          <w:szCs w:val="24"/>
        </w:rPr>
      </w:pPr>
    </w:p>
    <w:p w:rsidR="001A6D27" w:rsidRPr="008F4A9B" w:rsidRDefault="00BC0F6D" w:rsidP="001A6D27">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sectPr w:rsidR="001A6D27" w:rsidRPr="008F4A9B">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18D9" w:rsidRDefault="000218D9" w:rsidP="00645465">
      <w:pPr>
        <w:spacing w:after="0" w:line="240" w:lineRule="auto"/>
      </w:pPr>
      <w:r>
        <w:separator/>
      </w:r>
    </w:p>
  </w:endnote>
  <w:endnote w:type="continuationSeparator" w:id="0">
    <w:p w:rsidR="000218D9" w:rsidRDefault="000218D9" w:rsidP="006454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18D9" w:rsidRDefault="000218D9" w:rsidP="00645465">
      <w:pPr>
        <w:spacing w:after="0" w:line="240" w:lineRule="auto"/>
      </w:pPr>
      <w:r>
        <w:separator/>
      </w:r>
    </w:p>
  </w:footnote>
  <w:footnote w:type="continuationSeparator" w:id="0">
    <w:p w:rsidR="000218D9" w:rsidRDefault="000218D9" w:rsidP="006454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6340568"/>
      <w:docPartObj>
        <w:docPartGallery w:val="Page Numbers (Top of Page)"/>
        <w:docPartUnique/>
      </w:docPartObj>
    </w:sdtPr>
    <w:sdtEndPr>
      <w:rPr>
        <w:noProof/>
      </w:rPr>
    </w:sdtEndPr>
    <w:sdtContent>
      <w:p w:rsidR="00645465" w:rsidRDefault="00645465">
        <w:pPr>
          <w:pStyle w:val="Header"/>
          <w:jc w:val="right"/>
        </w:pPr>
        <w:r>
          <w:fldChar w:fldCharType="begin"/>
        </w:r>
        <w:r>
          <w:instrText xml:space="preserve"> PAGE   \* MERGEFORMAT </w:instrText>
        </w:r>
        <w:r>
          <w:fldChar w:fldCharType="separate"/>
        </w:r>
        <w:r w:rsidR="00E849E7">
          <w:rPr>
            <w:noProof/>
          </w:rPr>
          <w:t>4</w:t>
        </w:r>
        <w:r>
          <w:rPr>
            <w:noProof/>
          </w:rPr>
          <w:fldChar w:fldCharType="end"/>
        </w:r>
      </w:p>
    </w:sdtContent>
  </w:sdt>
  <w:p w:rsidR="00645465" w:rsidRDefault="006454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465"/>
    <w:rsid w:val="000218D9"/>
    <w:rsid w:val="001A6D27"/>
    <w:rsid w:val="003C7D5D"/>
    <w:rsid w:val="00645465"/>
    <w:rsid w:val="006A7DFA"/>
    <w:rsid w:val="00856644"/>
    <w:rsid w:val="008F4A9B"/>
    <w:rsid w:val="00967783"/>
    <w:rsid w:val="00A35BBE"/>
    <w:rsid w:val="00A67AF2"/>
    <w:rsid w:val="00AA70D5"/>
    <w:rsid w:val="00BC0F6D"/>
    <w:rsid w:val="00BC3D31"/>
    <w:rsid w:val="00CC0E38"/>
    <w:rsid w:val="00DB27D5"/>
    <w:rsid w:val="00E849E7"/>
    <w:rsid w:val="00ED55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8B48D"/>
  <w15:chartTrackingRefBased/>
  <w15:docId w15:val="{ECF30863-63A8-40C8-998D-FE3559BF7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54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5465"/>
  </w:style>
  <w:style w:type="paragraph" w:styleId="Footer">
    <w:name w:val="footer"/>
    <w:basedOn w:val="Normal"/>
    <w:link w:val="FooterChar"/>
    <w:uiPriority w:val="99"/>
    <w:unhideWhenUsed/>
    <w:rsid w:val="006454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5465"/>
  </w:style>
  <w:style w:type="character" w:styleId="Hyperlink">
    <w:name w:val="Hyperlink"/>
    <w:basedOn w:val="DefaultParagraphFont"/>
    <w:uiPriority w:val="99"/>
    <w:unhideWhenUsed/>
    <w:rsid w:val="00DB27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istory.state.gov/milestones/1969-1976/sal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369</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Priscah Orori</dc:creator>
  <cp:keywords/>
  <dc:description/>
  <cp:lastModifiedBy>Conrad Orori</cp:lastModifiedBy>
  <cp:revision>2</cp:revision>
  <dcterms:created xsi:type="dcterms:W3CDTF">2021-02-17T17:17:00Z</dcterms:created>
  <dcterms:modified xsi:type="dcterms:W3CDTF">2021-02-17T17:17:00Z</dcterms:modified>
</cp:coreProperties>
</file>