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4717" w:rsidRDefault="00644717" w:rsidP="00E94F4B">
      <w:pPr>
        <w:spacing w:after="120"/>
        <w:jc w:val="center"/>
        <w:rPr>
          <w:b/>
          <w:bCs/>
        </w:rPr>
      </w:pPr>
    </w:p>
    <w:p w:rsidR="00644717" w:rsidRDefault="00644717" w:rsidP="00E94F4B">
      <w:pPr>
        <w:spacing w:after="120"/>
        <w:jc w:val="center"/>
        <w:rPr>
          <w:b/>
          <w:bCs/>
        </w:rPr>
      </w:pPr>
    </w:p>
    <w:p w:rsidR="00644717" w:rsidRDefault="00644717" w:rsidP="00E94F4B">
      <w:pPr>
        <w:spacing w:after="120"/>
        <w:jc w:val="center"/>
        <w:rPr>
          <w:b/>
          <w:bCs/>
        </w:rPr>
      </w:pPr>
    </w:p>
    <w:p w:rsidR="00644717" w:rsidRDefault="00644717" w:rsidP="00E94F4B">
      <w:pPr>
        <w:spacing w:after="120"/>
        <w:jc w:val="center"/>
        <w:rPr>
          <w:b/>
          <w:bCs/>
        </w:rPr>
      </w:pPr>
    </w:p>
    <w:p w:rsidR="00644717" w:rsidRDefault="00644717" w:rsidP="00E94F4B">
      <w:pPr>
        <w:spacing w:after="120"/>
        <w:jc w:val="center"/>
        <w:rPr>
          <w:b/>
          <w:bCs/>
        </w:rPr>
      </w:pPr>
    </w:p>
    <w:p w:rsidR="00644717" w:rsidRPr="00644717" w:rsidRDefault="00644717" w:rsidP="00E94F4B">
      <w:pPr>
        <w:spacing w:after="120"/>
        <w:jc w:val="center"/>
        <w:rPr>
          <w:bCs/>
        </w:rPr>
      </w:pPr>
      <w:r w:rsidRPr="00644717">
        <w:rPr>
          <w:bCs/>
        </w:rPr>
        <w:t>The Fearless Girl Case Study: Question 4</w:t>
      </w:r>
    </w:p>
    <w:p w:rsidR="00644717" w:rsidRPr="00644717" w:rsidRDefault="00644717" w:rsidP="00E94F4B">
      <w:pPr>
        <w:spacing w:after="120"/>
        <w:jc w:val="center"/>
        <w:rPr>
          <w:bCs/>
        </w:rPr>
      </w:pPr>
      <w:r w:rsidRPr="00644717">
        <w:rPr>
          <w:bCs/>
        </w:rPr>
        <w:t>Student</w:t>
      </w:r>
    </w:p>
    <w:p w:rsidR="00644717" w:rsidRPr="00644717" w:rsidRDefault="00644717" w:rsidP="00E94F4B">
      <w:pPr>
        <w:spacing w:after="120"/>
        <w:jc w:val="center"/>
        <w:rPr>
          <w:bCs/>
        </w:rPr>
      </w:pPr>
      <w:r w:rsidRPr="00644717">
        <w:rPr>
          <w:bCs/>
        </w:rPr>
        <w:t>Institution</w:t>
      </w:r>
    </w:p>
    <w:p w:rsidR="00644717" w:rsidRPr="00644717" w:rsidRDefault="00644717" w:rsidP="00E94F4B">
      <w:pPr>
        <w:spacing w:after="120"/>
        <w:jc w:val="center"/>
        <w:rPr>
          <w:bCs/>
        </w:rPr>
      </w:pPr>
      <w:r w:rsidRPr="00644717">
        <w:rPr>
          <w:bCs/>
        </w:rPr>
        <w:t>Class</w:t>
      </w:r>
    </w:p>
    <w:p w:rsidR="00644717" w:rsidRPr="00644717" w:rsidRDefault="00644717" w:rsidP="00E94F4B">
      <w:pPr>
        <w:spacing w:after="120"/>
        <w:jc w:val="center"/>
        <w:rPr>
          <w:bCs/>
        </w:rPr>
      </w:pPr>
      <w:r w:rsidRPr="00644717">
        <w:rPr>
          <w:bCs/>
        </w:rPr>
        <w:t>Professor</w:t>
      </w:r>
    </w:p>
    <w:p w:rsidR="00644717" w:rsidRPr="00644717" w:rsidRDefault="00644717" w:rsidP="00E94F4B">
      <w:pPr>
        <w:spacing w:after="120"/>
        <w:jc w:val="center"/>
        <w:rPr>
          <w:bCs/>
        </w:rPr>
      </w:pPr>
      <w:r w:rsidRPr="00644717">
        <w:rPr>
          <w:bCs/>
        </w:rPr>
        <w:t>Date</w:t>
      </w:r>
    </w:p>
    <w:p w:rsidR="00644717" w:rsidRDefault="00644717">
      <w:pPr>
        <w:rPr>
          <w:b/>
          <w:bCs/>
        </w:rPr>
      </w:pPr>
      <w:r>
        <w:rPr>
          <w:b/>
          <w:bCs/>
        </w:rPr>
        <w:br w:type="page"/>
      </w:r>
    </w:p>
    <w:p w:rsidR="0011312D" w:rsidRPr="0011312D" w:rsidRDefault="00E94F4B" w:rsidP="00E94F4B">
      <w:pPr>
        <w:spacing w:after="120"/>
        <w:jc w:val="center"/>
        <w:rPr>
          <w:b/>
          <w:bCs/>
        </w:rPr>
      </w:pPr>
      <w:r>
        <w:rPr>
          <w:b/>
          <w:bCs/>
        </w:rPr>
        <w:lastRenderedPageBreak/>
        <w:t>The Fearless Girl Case Study: Question 4</w:t>
      </w:r>
    </w:p>
    <w:p w:rsidR="00AB7E42" w:rsidRPr="00AB7E42" w:rsidRDefault="00AB7E42" w:rsidP="00AB7E42">
      <w:pPr>
        <w:spacing w:after="120"/>
        <w:ind w:firstLine="720"/>
      </w:pPr>
      <w:r w:rsidRPr="00AB7E42">
        <w:t>The Fearless Girl sculpture was highly praised due to its relevance, timeliness, and message. It was created by Kristen Visbal and was commissioned by State Street Global. The campaign began when the bronze sculpture was placed directly opposite of the famous Wall Street’s charging bull (Peluso, 2017). The establishment of the structure occurred on the eve of International Women’s Day. This was meant to send a clear message to the world regarding the relevance of women in society. In this case, the fearless girl represents the powerful women in society in the present-day and future.</w:t>
      </w:r>
    </w:p>
    <w:p w:rsidR="00AB7E42" w:rsidRPr="00AB7E42" w:rsidRDefault="00AB7E42" w:rsidP="00AB7E42">
      <w:pPr>
        <w:spacing w:after="120"/>
        <w:ind w:firstLine="720"/>
      </w:pPr>
      <w:r w:rsidRPr="00AB7E42">
        <w:t>The shape, nature, and characteristics of the fearless girl were all considered when developing it. The fearless girl’s brave stance, the decision of its location, and the timing all backed up the call to an inclusive workplace with much emphasis on businesses and financial districts around the world like Wall Street. The campaign became viral and spread to more than 128 countries. Amazingly, it acquired more than one billion Twitter impressions within the first 12 hours of its launch (Peluso, 2017). Just over a month, the campaign had over 3.3 billion Twitter impressions and 405 million Instagram impressions (Peluso, 2017). This campaign had a significant global impact, and its spread can further be understood using Michael Porter’s Five Forces. </w:t>
      </w:r>
    </w:p>
    <w:p w:rsidR="00AB7E42" w:rsidRPr="00AB7E42" w:rsidRDefault="00AB7E42" w:rsidP="00AB7E42">
      <w:pPr>
        <w:spacing w:after="120"/>
        <w:ind w:firstLine="720"/>
      </w:pPr>
      <w:r w:rsidRPr="00AB7E42">
        <w:t>Porter’s Five Forces is a vital analysis tool typically used to understand the competitive environment of a company, business, or campaign (Dobbs, 2014).</w:t>
      </w:r>
    </w:p>
    <w:p w:rsidR="00AB7E42" w:rsidRPr="00AB7E42" w:rsidRDefault="00AB7E42" w:rsidP="00AB7E42">
      <w:pPr>
        <w:spacing w:after="120"/>
        <w:ind w:firstLine="720"/>
      </w:pPr>
      <w:r w:rsidRPr="00AB7E42">
        <w:rPr>
          <w:b/>
          <w:bCs/>
        </w:rPr>
        <w:t>The threat of substitutes</w:t>
      </w:r>
      <w:r w:rsidRPr="00AB7E42">
        <w:t> - refers to the likelihood of customers finding alternative ways of doing what a person does. For instance, the donors may find alternative campaigns that appeal more to them instead of supporting the Fearless Girl. They can also support different movements that are closer to their homes or are more unique in approach. </w:t>
      </w:r>
    </w:p>
    <w:p w:rsidR="00AB7E42" w:rsidRPr="00AB7E42" w:rsidRDefault="00AB7E42" w:rsidP="00AB7E42">
      <w:pPr>
        <w:spacing w:after="120"/>
        <w:ind w:firstLine="720"/>
      </w:pPr>
      <w:r w:rsidRPr="00AB7E42">
        <w:rPr>
          <w:b/>
          <w:bCs/>
        </w:rPr>
        <w:t>Bargaining power of buyers </w:t>
      </w:r>
      <w:r w:rsidRPr="00AB7E42">
        <w:t>- this force is concerned with knowing and understanding a person’s buyers’ details. It focuses on “how many are they and how much/big are their orders or contributions?” The Fearless Girl didn’t sell a product, but it managed to raise funds that significantly increased State Street Global’s fund by a huge percentage (Peluso, 2017). The funds were acquired from the donations and financial support that the organization received from donors in more than 128 nations. </w:t>
      </w:r>
    </w:p>
    <w:p w:rsidR="00AB7E42" w:rsidRPr="00AB7E42" w:rsidRDefault="00AB7E42" w:rsidP="00AB7E42">
      <w:pPr>
        <w:spacing w:after="120"/>
        <w:ind w:firstLine="720"/>
      </w:pPr>
      <w:r w:rsidRPr="00AB7E42">
        <w:rPr>
          <w:b/>
          <w:bCs/>
        </w:rPr>
        <w:t>Bargaining power of suppliers </w:t>
      </w:r>
      <w:r w:rsidRPr="00AB7E42">
        <w:t>– practically, this force looks at how easy the suppliers can raise prices or how unique their products or services are. Based on the campaign, the sculptor’s work is indeed unique and doesn’t reflect anything else that has been displayed anywhere across the globe. The uniqueness contributed to the sculpture’s appeal, thereby managing to intrigue people from all over the world (Peluso, 2017).</w:t>
      </w:r>
    </w:p>
    <w:p w:rsidR="00AB7E42" w:rsidRPr="00AB7E42" w:rsidRDefault="00AB7E42" w:rsidP="00AB7E42">
      <w:pPr>
        <w:spacing w:after="120"/>
        <w:ind w:firstLine="720"/>
      </w:pPr>
      <w:r w:rsidRPr="00AB7E42">
        <w:rPr>
          <w:b/>
          <w:bCs/>
        </w:rPr>
        <w:t>Industry rivalry</w:t>
      </w:r>
      <w:r w:rsidRPr="00AB7E42">
        <w:t> – focuses on the number and strength of competitors. In the case of the Fearless Girl Campaign, there were many movements and girl power campaigns all over the internet. But this specific campaign managed to stand out to me following its uniqueness in location, material, and timing.</w:t>
      </w:r>
    </w:p>
    <w:p w:rsidR="00AB7E42" w:rsidRPr="00AB7E42" w:rsidRDefault="00AB7E42" w:rsidP="00AB7E42">
      <w:pPr>
        <w:spacing w:after="120"/>
        <w:ind w:firstLine="720"/>
      </w:pPr>
      <w:r w:rsidRPr="00AB7E42">
        <w:rPr>
          <w:b/>
          <w:bCs/>
        </w:rPr>
        <w:t>The threat of new entrants </w:t>
      </w:r>
      <w:r w:rsidRPr="00AB7E42">
        <w:t>– this force analyses the ability of other competitors to enter the market. The Fearless Girl Campaign worked out well since it was placed at Wall Street’s heart, directly in front of the charging bull. This sent out a message about the women’s strength and courage amid challenges. There is a threat of taking away the location in case there are other newer campaigns that emerge. Launching another campaign with more brilliant ideas and a better picture threatens the Fearless Girl statue’s existence.</w:t>
      </w:r>
    </w:p>
    <w:p w:rsidR="00550EE7" w:rsidRDefault="00AB7E42" w:rsidP="00FF772C">
      <w:pPr>
        <w:spacing w:after="120"/>
        <w:ind w:firstLine="720"/>
      </w:pPr>
      <w:r w:rsidRPr="00AB7E42">
        <w:t>In conclusion, the fearless girl campaign worked out well because it encompassed the combinations of timeliness, right location, and right figure. Additionally, the sculpture sent out an important message that unexpectedly became viral and reached.</w:t>
      </w:r>
    </w:p>
    <w:p w:rsidR="003E7170" w:rsidRDefault="003E7170" w:rsidP="00FF5296">
      <w:pPr>
        <w:spacing w:after="120"/>
        <w:jc w:val="center"/>
      </w:pPr>
      <w:r>
        <w:t>Reference</w:t>
      </w:r>
      <w:r w:rsidR="00FF5296">
        <w:t>s</w:t>
      </w:r>
    </w:p>
    <w:p w:rsidR="003E7170" w:rsidRDefault="003E7170" w:rsidP="0061315F">
      <w:pPr>
        <w:spacing w:after="120"/>
        <w:ind w:left="720" w:hanging="720"/>
      </w:pPr>
      <w:r w:rsidRPr="003E7170">
        <w:t>Dobbs, M. E. (2014). Guidelines for applying Porter's five forces framework: a set of industry analysis templates. </w:t>
      </w:r>
      <w:r w:rsidRPr="003E7170">
        <w:rPr>
          <w:i/>
          <w:iCs/>
        </w:rPr>
        <w:t>Competitiveness Review</w:t>
      </w:r>
      <w:r w:rsidRPr="003E7170">
        <w:t>.</w:t>
      </w:r>
      <w:r w:rsidR="00F36A1C">
        <w:t xml:space="preserve"> Retrieved from </w:t>
      </w:r>
      <w:hyperlink r:id="rId7" w:history="1">
        <w:r w:rsidR="00F63034" w:rsidRPr="0055486A">
          <w:rPr>
            <w:rStyle w:val="Hyperlink"/>
          </w:rPr>
          <w:t>https://www.uniba.it/docenti/somma-ernesto/CR0620130059.pdf</w:t>
        </w:r>
      </w:hyperlink>
      <w:r w:rsidR="00F63034">
        <w:t xml:space="preserve"> </w:t>
      </w:r>
      <w:bookmarkStart w:id="0" w:name="_GoBack"/>
      <w:bookmarkEnd w:id="0"/>
    </w:p>
    <w:p w:rsidR="00550EE7" w:rsidRDefault="00550EE7" w:rsidP="0061315F">
      <w:pPr>
        <w:spacing w:after="120"/>
        <w:ind w:left="720" w:hanging="720"/>
      </w:pPr>
      <w:r w:rsidRPr="00550EE7">
        <w:t>Peluso, D. M. (2017). Fearless girl facing Charging Bull simply restates outdated gender stereotypes. Public art and gender politics clash in corporate America. </w:t>
      </w:r>
      <w:r w:rsidRPr="00550EE7">
        <w:rPr>
          <w:i/>
          <w:iCs/>
        </w:rPr>
        <w:t>The Conversation</w:t>
      </w:r>
      <w:r w:rsidRPr="00550EE7">
        <w:t>.</w:t>
      </w:r>
      <w:r>
        <w:t xml:space="preserve"> </w:t>
      </w:r>
    </w:p>
    <w:sectPr w:rsidR="00550EE7" w:rsidSect="007C135E">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1B99" w:rsidRDefault="00C31B99" w:rsidP="007C135E">
      <w:pPr>
        <w:spacing w:after="0" w:line="240" w:lineRule="auto"/>
      </w:pPr>
      <w:r>
        <w:separator/>
      </w:r>
    </w:p>
  </w:endnote>
  <w:endnote w:type="continuationSeparator" w:id="0">
    <w:p w:rsidR="00C31B99" w:rsidRDefault="00C31B99" w:rsidP="007C1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1B99" w:rsidRDefault="00C31B99" w:rsidP="007C135E">
      <w:pPr>
        <w:spacing w:after="0" w:line="240" w:lineRule="auto"/>
      </w:pPr>
      <w:r>
        <w:separator/>
      </w:r>
    </w:p>
  </w:footnote>
  <w:footnote w:type="continuationSeparator" w:id="0">
    <w:p w:rsidR="00C31B99" w:rsidRDefault="00C31B99" w:rsidP="007C13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5190162"/>
      <w:docPartObj>
        <w:docPartGallery w:val="Page Numbers (Top of Page)"/>
        <w:docPartUnique/>
      </w:docPartObj>
    </w:sdtPr>
    <w:sdtEndPr>
      <w:rPr>
        <w:noProof/>
      </w:rPr>
    </w:sdtEndPr>
    <w:sdtContent>
      <w:p w:rsidR="007C135E" w:rsidRDefault="007C135E">
        <w:pPr>
          <w:pStyle w:val="Header"/>
        </w:pPr>
        <w:r w:rsidRPr="007C135E">
          <w:t xml:space="preserve">THE FEARLESS GIRL </w:t>
        </w:r>
        <w:r>
          <w:tab/>
        </w:r>
        <w:r>
          <w:tab/>
        </w:r>
        <w:r>
          <w:fldChar w:fldCharType="begin"/>
        </w:r>
        <w:r>
          <w:instrText xml:space="preserve"> PAGE   \* MERGEFORMAT </w:instrText>
        </w:r>
        <w:r>
          <w:fldChar w:fldCharType="separate"/>
        </w:r>
        <w:r w:rsidR="00F63034">
          <w:rPr>
            <w:noProof/>
          </w:rPr>
          <w:t>4</w:t>
        </w:r>
        <w:r>
          <w:rPr>
            <w:noProof/>
          </w:rPr>
          <w:fldChar w:fldCharType="end"/>
        </w:r>
      </w:p>
    </w:sdtContent>
  </w:sdt>
  <w:p w:rsidR="007C135E" w:rsidRDefault="007C135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35E" w:rsidRDefault="007C135E">
    <w:pPr>
      <w:pStyle w:val="Header"/>
    </w:pPr>
    <w:r>
      <w:t>Running Head: THE FEARLESS GIRL</w:t>
    </w:r>
    <w:r>
      <w:tab/>
    </w:r>
    <w:r>
      <w:tab/>
    </w:r>
    <w:sdt>
      <w:sdtPr>
        <w:id w:val="-108699476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31B99">
          <w:rPr>
            <w:noProof/>
          </w:rPr>
          <w:t>1</w:t>
        </w:r>
        <w:r>
          <w:rPr>
            <w:noProof/>
          </w:rPr>
          <w:fldChar w:fldCharType="end"/>
        </w:r>
      </w:sdtContent>
    </w:sdt>
  </w:p>
  <w:p w:rsidR="007C135E" w:rsidRDefault="007C135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D01498"/>
    <w:multiLevelType w:val="multilevel"/>
    <w:tmpl w:val="5E66C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C17"/>
    <w:rsid w:val="00046D71"/>
    <w:rsid w:val="000736D8"/>
    <w:rsid w:val="000A2ED0"/>
    <w:rsid w:val="000A6BE8"/>
    <w:rsid w:val="000A7959"/>
    <w:rsid w:val="000C4C5A"/>
    <w:rsid w:val="000E2C17"/>
    <w:rsid w:val="0011312D"/>
    <w:rsid w:val="0019701B"/>
    <w:rsid w:val="001A5004"/>
    <w:rsid w:val="00207218"/>
    <w:rsid w:val="0024541C"/>
    <w:rsid w:val="00261A58"/>
    <w:rsid w:val="002778BE"/>
    <w:rsid w:val="00293A81"/>
    <w:rsid w:val="002E4A62"/>
    <w:rsid w:val="003E7170"/>
    <w:rsid w:val="0043611C"/>
    <w:rsid w:val="00453240"/>
    <w:rsid w:val="00461FD4"/>
    <w:rsid w:val="0048443D"/>
    <w:rsid w:val="004859EC"/>
    <w:rsid w:val="004B6D2F"/>
    <w:rsid w:val="004F21D4"/>
    <w:rsid w:val="004F75AC"/>
    <w:rsid w:val="00550EE7"/>
    <w:rsid w:val="0055283F"/>
    <w:rsid w:val="00576FEA"/>
    <w:rsid w:val="005F6BD0"/>
    <w:rsid w:val="0061315F"/>
    <w:rsid w:val="00644717"/>
    <w:rsid w:val="00684DF8"/>
    <w:rsid w:val="00691C3E"/>
    <w:rsid w:val="006A3CC7"/>
    <w:rsid w:val="006E6ACB"/>
    <w:rsid w:val="0074698B"/>
    <w:rsid w:val="007806E9"/>
    <w:rsid w:val="007B1970"/>
    <w:rsid w:val="007C135E"/>
    <w:rsid w:val="007F0EBB"/>
    <w:rsid w:val="00807A35"/>
    <w:rsid w:val="00830A05"/>
    <w:rsid w:val="00844B80"/>
    <w:rsid w:val="00847216"/>
    <w:rsid w:val="008B21B0"/>
    <w:rsid w:val="008F12C6"/>
    <w:rsid w:val="00906AE9"/>
    <w:rsid w:val="009104C1"/>
    <w:rsid w:val="00921C51"/>
    <w:rsid w:val="009220C3"/>
    <w:rsid w:val="00930DCC"/>
    <w:rsid w:val="009B58FF"/>
    <w:rsid w:val="009C133C"/>
    <w:rsid w:val="009F132B"/>
    <w:rsid w:val="00A02D00"/>
    <w:rsid w:val="00A35C67"/>
    <w:rsid w:val="00A67964"/>
    <w:rsid w:val="00AA38D1"/>
    <w:rsid w:val="00AB0EDB"/>
    <w:rsid w:val="00AB7E42"/>
    <w:rsid w:val="00B27B83"/>
    <w:rsid w:val="00B6245A"/>
    <w:rsid w:val="00B62A86"/>
    <w:rsid w:val="00B931C3"/>
    <w:rsid w:val="00BD6063"/>
    <w:rsid w:val="00C31B99"/>
    <w:rsid w:val="00CB76B8"/>
    <w:rsid w:val="00D2472B"/>
    <w:rsid w:val="00D55D28"/>
    <w:rsid w:val="00D657C2"/>
    <w:rsid w:val="00D671BE"/>
    <w:rsid w:val="00D746DC"/>
    <w:rsid w:val="00DB6193"/>
    <w:rsid w:val="00DC2C89"/>
    <w:rsid w:val="00E12883"/>
    <w:rsid w:val="00E1759A"/>
    <w:rsid w:val="00E85241"/>
    <w:rsid w:val="00E94F4B"/>
    <w:rsid w:val="00EB4A05"/>
    <w:rsid w:val="00F06C28"/>
    <w:rsid w:val="00F36A1C"/>
    <w:rsid w:val="00F61553"/>
    <w:rsid w:val="00F63034"/>
    <w:rsid w:val="00F815CF"/>
    <w:rsid w:val="00FF5296"/>
    <w:rsid w:val="00FF77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B04675"/>
  <w15:chartTrackingRefBased/>
  <w15:docId w15:val="{D8C0925F-20DF-4CB7-9ADC-B19DCCB15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13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35E"/>
  </w:style>
  <w:style w:type="paragraph" w:styleId="Footer">
    <w:name w:val="footer"/>
    <w:basedOn w:val="Normal"/>
    <w:link w:val="FooterChar"/>
    <w:uiPriority w:val="99"/>
    <w:unhideWhenUsed/>
    <w:rsid w:val="007C13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35E"/>
  </w:style>
  <w:style w:type="character" w:styleId="Hyperlink">
    <w:name w:val="Hyperlink"/>
    <w:basedOn w:val="DefaultParagraphFont"/>
    <w:uiPriority w:val="99"/>
    <w:unhideWhenUsed/>
    <w:rsid w:val="00F630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558073">
      <w:bodyDiv w:val="1"/>
      <w:marLeft w:val="0"/>
      <w:marRight w:val="0"/>
      <w:marTop w:val="0"/>
      <w:marBottom w:val="0"/>
      <w:divBdr>
        <w:top w:val="none" w:sz="0" w:space="0" w:color="auto"/>
        <w:left w:val="none" w:sz="0" w:space="0" w:color="auto"/>
        <w:bottom w:val="none" w:sz="0" w:space="0" w:color="auto"/>
        <w:right w:val="none" w:sz="0" w:space="0" w:color="auto"/>
      </w:divBdr>
    </w:div>
    <w:div w:id="176048194">
      <w:bodyDiv w:val="1"/>
      <w:marLeft w:val="0"/>
      <w:marRight w:val="0"/>
      <w:marTop w:val="0"/>
      <w:marBottom w:val="0"/>
      <w:divBdr>
        <w:top w:val="none" w:sz="0" w:space="0" w:color="auto"/>
        <w:left w:val="none" w:sz="0" w:space="0" w:color="auto"/>
        <w:bottom w:val="none" w:sz="0" w:space="0" w:color="auto"/>
        <w:right w:val="none" w:sz="0" w:space="0" w:color="auto"/>
      </w:divBdr>
      <w:divsChild>
        <w:div w:id="1598096843">
          <w:marLeft w:val="0"/>
          <w:marRight w:val="0"/>
          <w:marTop w:val="0"/>
          <w:marBottom w:val="0"/>
          <w:divBdr>
            <w:top w:val="none" w:sz="0" w:space="0" w:color="auto"/>
            <w:left w:val="none" w:sz="0" w:space="0" w:color="auto"/>
            <w:bottom w:val="none" w:sz="0" w:space="0" w:color="auto"/>
            <w:right w:val="none" w:sz="0" w:space="0" w:color="auto"/>
          </w:divBdr>
          <w:divsChild>
            <w:div w:id="157616481">
              <w:marLeft w:val="0"/>
              <w:marRight w:val="0"/>
              <w:marTop w:val="0"/>
              <w:marBottom w:val="0"/>
              <w:divBdr>
                <w:top w:val="none" w:sz="0" w:space="0" w:color="auto"/>
                <w:left w:val="none" w:sz="0" w:space="0" w:color="auto"/>
                <w:bottom w:val="none" w:sz="0" w:space="0" w:color="auto"/>
                <w:right w:val="none" w:sz="0" w:space="0" w:color="auto"/>
              </w:divBdr>
              <w:divsChild>
                <w:div w:id="269944672">
                  <w:marLeft w:val="0"/>
                  <w:marRight w:val="0"/>
                  <w:marTop w:val="0"/>
                  <w:marBottom w:val="0"/>
                  <w:divBdr>
                    <w:top w:val="none" w:sz="0" w:space="0" w:color="auto"/>
                    <w:left w:val="none" w:sz="0" w:space="0" w:color="auto"/>
                    <w:bottom w:val="none" w:sz="0" w:space="0" w:color="auto"/>
                    <w:right w:val="none" w:sz="0" w:space="0" w:color="auto"/>
                  </w:divBdr>
                </w:div>
                <w:div w:id="168520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045261">
      <w:bodyDiv w:val="1"/>
      <w:marLeft w:val="0"/>
      <w:marRight w:val="0"/>
      <w:marTop w:val="0"/>
      <w:marBottom w:val="0"/>
      <w:divBdr>
        <w:top w:val="none" w:sz="0" w:space="0" w:color="auto"/>
        <w:left w:val="none" w:sz="0" w:space="0" w:color="auto"/>
        <w:bottom w:val="none" w:sz="0" w:space="0" w:color="auto"/>
        <w:right w:val="none" w:sz="0" w:space="0" w:color="auto"/>
      </w:divBdr>
    </w:div>
    <w:div w:id="1116871154">
      <w:bodyDiv w:val="1"/>
      <w:marLeft w:val="0"/>
      <w:marRight w:val="0"/>
      <w:marTop w:val="0"/>
      <w:marBottom w:val="0"/>
      <w:divBdr>
        <w:top w:val="none" w:sz="0" w:space="0" w:color="auto"/>
        <w:left w:val="none" w:sz="0" w:space="0" w:color="auto"/>
        <w:bottom w:val="none" w:sz="0" w:space="0" w:color="auto"/>
        <w:right w:val="none" w:sz="0" w:space="0" w:color="auto"/>
      </w:divBdr>
      <w:divsChild>
        <w:div w:id="1377848415">
          <w:marLeft w:val="0"/>
          <w:marRight w:val="0"/>
          <w:marTop w:val="0"/>
          <w:marBottom w:val="0"/>
          <w:divBdr>
            <w:top w:val="none" w:sz="0" w:space="0" w:color="auto"/>
            <w:left w:val="none" w:sz="0" w:space="0" w:color="auto"/>
            <w:bottom w:val="none" w:sz="0" w:space="0" w:color="auto"/>
            <w:right w:val="none" w:sz="0" w:space="0" w:color="auto"/>
          </w:divBdr>
          <w:divsChild>
            <w:div w:id="980423420">
              <w:marLeft w:val="0"/>
              <w:marRight w:val="0"/>
              <w:marTop w:val="0"/>
              <w:marBottom w:val="0"/>
              <w:divBdr>
                <w:top w:val="none" w:sz="0" w:space="0" w:color="auto"/>
                <w:left w:val="none" w:sz="0" w:space="0" w:color="auto"/>
                <w:bottom w:val="none" w:sz="0" w:space="0" w:color="auto"/>
                <w:right w:val="none" w:sz="0" w:space="0" w:color="auto"/>
              </w:divBdr>
              <w:divsChild>
                <w:div w:id="1655177474">
                  <w:marLeft w:val="0"/>
                  <w:marRight w:val="0"/>
                  <w:marTop w:val="0"/>
                  <w:marBottom w:val="0"/>
                  <w:divBdr>
                    <w:top w:val="none" w:sz="0" w:space="0" w:color="auto"/>
                    <w:left w:val="none" w:sz="0" w:space="0" w:color="auto"/>
                    <w:bottom w:val="none" w:sz="0" w:space="0" w:color="auto"/>
                    <w:right w:val="none" w:sz="0" w:space="0" w:color="auto"/>
                  </w:divBdr>
                </w:div>
                <w:div w:id="80111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240482">
      <w:bodyDiv w:val="1"/>
      <w:marLeft w:val="0"/>
      <w:marRight w:val="0"/>
      <w:marTop w:val="0"/>
      <w:marBottom w:val="0"/>
      <w:divBdr>
        <w:top w:val="none" w:sz="0" w:space="0" w:color="auto"/>
        <w:left w:val="none" w:sz="0" w:space="0" w:color="auto"/>
        <w:bottom w:val="none" w:sz="0" w:space="0" w:color="auto"/>
        <w:right w:val="none" w:sz="0" w:space="0" w:color="auto"/>
      </w:divBdr>
    </w:div>
    <w:div w:id="180206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uniba.it/docenti/somma-ernesto/CR0620130059.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1078</TotalTime>
  <Pages>4</Pages>
  <Words>666</Words>
  <Characters>3800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86</cp:revision>
  <dcterms:created xsi:type="dcterms:W3CDTF">2021-02-09T11:38:00Z</dcterms:created>
  <dcterms:modified xsi:type="dcterms:W3CDTF">2021-02-10T05:36:00Z</dcterms:modified>
</cp:coreProperties>
</file>