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076B" w:rsidRPr="00DD7EC1" w:rsidRDefault="000220AE" w:rsidP="002A27A2">
      <w:pPr>
        <w:spacing w:line="480" w:lineRule="auto"/>
        <w:ind w:firstLine="720"/>
        <w:jc w:val="both"/>
        <w:rPr>
          <w:rFonts w:ascii="Times New Roman" w:hAnsi="Times New Roman" w:cs="Times New Roman"/>
          <w:sz w:val="24"/>
          <w:szCs w:val="24"/>
        </w:rPr>
      </w:pPr>
      <w:r w:rsidRPr="00DD7EC1">
        <w:rPr>
          <w:rFonts w:ascii="Times New Roman" w:hAnsi="Times New Roman" w:cs="Times New Roman"/>
          <w:sz w:val="24"/>
          <w:szCs w:val="24"/>
        </w:rPr>
        <w:t xml:space="preserve">The Sarbanes Oxley Act </w:t>
      </w:r>
      <w:r w:rsidRPr="00DD7EC1">
        <w:rPr>
          <w:rFonts w:ascii="Times New Roman" w:hAnsi="Times New Roman" w:cs="Times New Roman"/>
          <w:sz w:val="24"/>
          <w:szCs w:val="24"/>
        </w:rPr>
        <w:t xml:space="preserve">was passed in 2002 with an aim of strengthening investor confidence in the financial markets. The act apart </w:t>
      </w:r>
      <w:r w:rsidR="008C7CD2" w:rsidRPr="00DD7EC1">
        <w:rPr>
          <w:rFonts w:ascii="Times New Roman" w:hAnsi="Times New Roman" w:cs="Times New Roman"/>
          <w:sz w:val="24"/>
          <w:szCs w:val="24"/>
        </w:rPr>
        <w:t xml:space="preserve">from </w:t>
      </w:r>
      <w:r w:rsidR="008C7CD2">
        <w:rPr>
          <w:rFonts w:ascii="Times New Roman" w:hAnsi="Times New Roman" w:cs="Times New Roman"/>
          <w:sz w:val="24"/>
          <w:szCs w:val="24"/>
        </w:rPr>
        <w:t>intrducing</w:t>
      </w:r>
      <w:r w:rsidR="002F2F62" w:rsidRPr="00DD7EC1">
        <w:rPr>
          <w:rFonts w:ascii="Times New Roman" w:hAnsi="Times New Roman" w:cs="Times New Roman"/>
          <w:sz w:val="24"/>
          <w:szCs w:val="24"/>
        </w:rPr>
        <w:t xml:space="preserve"> a more thorough approach to corporate governance also established a more strict internal controls regime in order to increase the reliability of financial statements. Under </w:t>
      </w:r>
      <w:r w:rsidR="008C7CD2">
        <w:rPr>
          <w:rFonts w:ascii="Times New Roman" w:hAnsi="Times New Roman" w:cs="Times New Roman"/>
          <w:sz w:val="24"/>
          <w:szCs w:val="24"/>
        </w:rPr>
        <w:t>the Sarbanes Oxley Act</w:t>
      </w:r>
      <w:r w:rsidR="002F2F62" w:rsidRPr="00DD7EC1">
        <w:rPr>
          <w:rFonts w:ascii="Times New Roman" w:hAnsi="Times New Roman" w:cs="Times New Roman"/>
          <w:sz w:val="24"/>
          <w:szCs w:val="24"/>
        </w:rPr>
        <w:t xml:space="preserve"> requirements the company will be required to produce an internal control report which contains managements assertions related to effectiveness of internal controls the company has in place over financial reporting. </w:t>
      </w:r>
      <w:r w:rsidR="002A27A2" w:rsidRPr="00DD7EC1">
        <w:rPr>
          <w:rFonts w:ascii="Times New Roman" w:hAnsi="Times New Roman" w:cs="Times New Roman"/>
          <w:sz w:val="24"/>
          <w:szCs w:val="24"/>
        </w:rPr>
        <w:t xml:space="preserve"> </w:t>
      </w:r>
      <w:r w:rsidR="00A569C0" w:rsidRPr="00DD7EC1">
        <w:rPr>
          <w:rFonts w:ascii="Times New Roman" w:hAnsi="Times New Roman" w:cs="Times New Roman"/>
          <w:sz w:val="24"/>
          <w:szCs w:val="24"/>
        </w:rPr>
        <w:t>(Protiviti, 2020)</w:t>
      </w:r>
    </w:p>
    <w:p w:rsidR="000220AE" w:rsidRPr="00DD7EC1" w:rsidRDefault="00585124" w:rsidP="002A27A2">
      <w:pPr>
        <w:spacing w:line="480" w:lineRule="auto"/>
        <w:ind w:firstLine="720"/>
        <w:jc w:val="both"/>
        <w:rPr>
          <w:rFonts w:ascii="Times New Roman" w:hAnsi="Times New Roman" w:cs="Times New Roman"/>
          <w:sz w:val="24"/>
          <w:szCs w:val="24"/>
        </w:rPr>
      </w:pPr>
      <w:r w:rsidRPr="00DD7EC1">
        <w:rPr>
          <w:rFonts w:ascii="Times New Roman" w:hAnsi="Times New Roman" w:cs="Times New Roman"/>
          <w:sz w:val="24"/>
          <w:szCs w:val="24"/>
        </w:rPr>
        <w:t xml:space="preserve">Specifically, the act places a number of responsibilities </w:t>
      </w:r>
      <w:r w:rsidR="0073381A" w:rsidRPr="00DD7EC1">
        <w:rPr>
          <w:rFonts w:ascii="Times New Roman" w:hAnsi="Times New Roman" w:cs="Times New Roman"/>
          <w:sz w:val="24"/>
          <w:szCs w:val="24"/>
        </w:rPr>
        <w:t xml:space="preserve">on company management particularly with regards to establishing and maintaining adequate internal controls over financial reporting. Similarly the act requires external auditors to not only report on but to also attest the assessment made by company management regarding internal controls. </w:t>
      </w:r>
      <w:r w:rsidR="002A27A2" w:rsidRPr="00DD7EC1">
        <w:rPr>
          <w:rFonts w:ascii="Times New Roman" w:hAnsi="Times New Roman" w:cs="Times New Roman"/>
          <w:sz w:val="24"/>
          <w:szCs w:val="24"/>
        </w:rPr>
        <w:t xml:space="preserve">(Protiviti, 2020) </w:t>
      </w:r>
    </w:p>
    <w:p w:rsidR="005F7FCF" w:rsidRPr="00DD7EC1" w:rsidRDefault="0073381A" w:rsidP="005F7FCF">
      <w:pPr>
        <w:spacing w:line="480" w:lineRule="auto"/>
        <w:ind w:firstLine="720"/>
        <w:jc w:val="both"/>
        <w:rPr>
          <w:rFonts w:ascii="Times New Roman" w:hAnsi="Times New Roman" w:cs="Times New Roman"/>
          <w:sz w:val="24"/>
          <w:szCs w:val="24"/>
        </w:rPr>
      </w:pPr>
      <w:r w:rsidRPr="00DD7EC1">
        <w:rPr>
          <w:rFonts w:ascii="Times New Roman" w:hAnsi="Times New Roman" w:cs="Times New Roman"/>
          <w:sz w:val="24"/>
          <w:szCs w:val="24"/>
        </w:rPr>
        <w:t xml:space="preserve">With respect to </w:t>
      </w:r>
      <w:r w:rsidR="000220AE" w:rsidRPr="00DD7EC1">
        <w:rPr>
          <w:rFonts w:ascii="Times New Roman" w:hAnsi="Times New Roman" w:cs="Times New Roman"/>
          <w:sz w:val="24"/>
          <w:szCs w:val="24"/>
        </w:rPr>
        <w:t xml:space="preserve">PCAOB Auditing Standard </w:t>
      </w:r>
      <w:r w:rsidRPr="00DD7EC1">
        <w:rPr>
          <w:rFonts w:ascii="Times New Roman" w:hAnsi="Times New Roman" w:cs="Times New Roman"/>
          <w:sz w:val="24"/>
          <w:szCs w:val="24"/>
        </w:rPr>
        <w:t xml:space="preserve">once the company goes public it will need to develop and implement and internal control policy </w:t>
      </w:r>
      <w:r w:rsidR="00DA00A3" w:rsidRPr="00DD7EC1">
        <w:rPr>
          <w:rFonts w:ascii="Times New Roman" w:hAnsi="Times New Roman" w:cs="Times New Roman"/>
          <w:sz w:val="24"/>
          <w:szCs w:val="24"/>
        </w:rPr>
        <w:t xml:space="preserve">along with providing adequate human and technological resources for implementation of internal controls. Specifically, under the PCAOB standard auditors </w:t>
      </w:r>
      <w:r w:rsidR="00BA0B42">
        <w:rPr>
          <w:rFonts w:ascii="Times New Roman" w:hAnsi="Times New Roman" w:cs="Times New Roman"/>
          <w:sz w:val="24"/>
          <w:szCs w:val="24"/>
        </w:rPr>
        <w:t>will be</w:t>
      </w:r>
      <w:r w:rsidR="00DA00A3" w:rsidRPr="00DD7EC1">
        <w:rPr>
          <w:rFonts w:ascii="Times New Roman" w:hAnsi="Times New Roman" w:cs="Times New Roman"/>
          <w:sz w:val="24"/>
          <w:szCs w:val="24"/>
        </w:rPr>
        <w:t xml:space="preserve"> required to test entity level controls which have an impact on their opinion regarding effectiveness of overall internal control structure. In this regard, focus </w:t>
      </w:r>
      <w:r w:rsidR="00FC68F3">
        <w:rPr>
          <w:rFonts w:ascii="Times New Roman" w:hAnsi="Times New Roman" w:cs="Times New Roman"/>
          <w:sz w:val="24"/>
          <w:szCs w:val="24"/>
        </w:rPr>
        <w:t xml:space="preserve">will be </w:t>
      </w:r>
      <w:r w:rsidR="00DA00A3" w:rsidRPr="00DD7EC1">
        <w:rPr>
          <w:rFonts w:ascii="Times New Roman" w:hAnsi="Times New Roman" w:cs="Times New Roman"/>
          <w:sz w:val="24"/>
          <w:szCs w:val="24"/>
        </w:rPr>
        <w:t xml:space="preserve">placed on controls related to management override, company’s risk assessment processes, control related to monitoring of operational results etc. </w:t>
      </w:r>
      <w:r w:rsidR="00F809E1" w:rsidRPr="00DD7EC1">
        <w:rPr>
          <w:rFonts w:ascii="Times New Roman" w:hAnsi="Times New Roman" w:cs="Times New Roman"/>
          <w:sz w:val="24"/>
          <w:szCs w:val="24"/>
        </w:rPr>
        <w:t xml:space="preserve">(PCAOB, 2020) </w:t>
      </w:r>
    </w:p>
    <w:p w:rsidR="00D01897" w:rsidRPr="00DD7EC1" w:rsidRDefault="00F809E1" w:rsidP="005F7FCF">
      <w:pPr>
        <w:spacing w:line="480" w:lineRule="auto"/>
        <w:ind w:firstLine="720"/>
        <w:jc w:val="both"/>
        <w:rPr>
          <w:rFonts w:ascii="Times New Roman" w:hAnsi="Times New Roman" w:cs="Times New Roman"/>
          <w:sz w:val="24"/>
          <w:szCs w:val="24"/>
        </w:rPr>
      </w:pPr>
      <w:r w:rsidRPr="00DD7EC1">
        <w:rPr>
          <w:rFonts w:ascii="Times New Roman" w:hAnsi="Times New Roman" w:cs="Times New Roman"/>
          <w:sz w:val="24"/>
          <w:szCs w:val="24"/>
        </w:rPr>
        <w:t xml:space="preserve">In conclusion the company may expect Sarbanes Oxley Act to not only increase the responsibility of the management over financial reporting but also require a more thorough compliance regime related to internal controls of the company. </w:t>
      </w:r>
    </w:p>
    <w:p w:rsidR="00D01897" w:rsidRPr="00DD7EC1" w:rsidRDefault="00D01897">
      <w:pPr>
        <w:rPr>
          <w:rFonts w:ascii="Times New Roman" w:hAnsi="Times New Roman" w:cs="Times New Roman"/>
          <w:sz w:val="24"/>
          <w:szCs w:val="24"/>
        </w:rPr>
      </w:pPr>
      <w:r w:rsidRPr="00DD7EC1">
        <w:rPr>
          <w:rFonts w:ascii="Times New Roman" w:hAnsi="Times New Roman" w:cs="Times New Roman"/>
          <w:sz w:val="24"/>
          <w:szCs w:val="24"/>
        </w:rPr>
        <w:br w:type="page"/>
      </w:r>
    </w:p>
    <w:p w:rsidR="00F809E1" w:rsidRPr="00DD7EC1" w:rsidRDefault="00D01897" w:rsidP="00D01897">
      <w:pPr>
        <w:spacing w:line="480" w:lineRule="auto"/>
        <w:jc w:val="both"/>
        <w:rPr>
          <w:rFonts w:ascii="Times New Roman" w:hAnsi="Times New Roman" w:cs="Times New Roman"/>
          <w:b/>
          <w:sz w:val="24"/>
          <w:szCs w:val="24"/>
        </w:rPr>
      </w:pPr>
      <w:r w:rsidRPr="00DD7EC1">
        <w:rPr>
          <w:rFonts w:ascii="Times New Roman" w:hAnsi="Times New Roman" w:cs="Times New Roman"/>
          <w:b/>
          <w:sz w:val="24"/>
          <w:szCs w:val="24"/>
        </w:rPr>
        <w:lastRenderedPageBreak/>
        <w:t>Reference</w:t>
      </w:r>
    </w:p>
    <w:p w:rsidR="00D01897" w:rsidRPr="00D01897" w:rsidRDefault="00D01897" w:rsidP="00D01897">
      <w:pPr>
        <w:spacing w:after="180" w:line="480" w:lineRule="auto"/>
        <w:ind w:left="450" w:hanging="450"/>
        <w:jc w:val="both"/>
        <w:rPr>
          <w:rFonts w:ascii="Times New Roman" w:eastAsia="Times New Roman" w:hAnsi="Times New Roman" w:cs="Times New Roman"/>
          <w:color w:val="000000"/>
          <w:sz w:val="24"/>
          <w:szCs w:val="24"/>
        </w:rPr>
      </w:pPr>
      <w:r w:rsidRPr="00D01897">
        <w:rPr>
          <w:rFonts w:ascii="Times New Roman" w:eastAsia="Times New Roman" w:hAnsi="Times New Roman" w:cs="Times New Roman"/>
          <w:color w:val="000000"/>
          <w:sz w:val="24"/>
          <w:szCs w:val="24"/>
        </w:rPr>
        <w:t>PCAOB. (2020). AUDITING STANDARDS. Retrieved 22 January 2021, from https://pcaob-assets.azureedge.net/pcaob-dev/docs/default-source/standards/auditing/documents/auditing-standards-as-of-december-15-2017575662230.pdf?sfvrsn=bc30bcc8_2</w:t>
      </w:r>
    </w:p>
    <w:p w:rsidR="00D01897" w:rsidRPr="00D01897" w:rsidRDefault="00D01897" w:rsidP="00D01897">
      <w:pPr>
        <w:spacing w:after="180" w:line="480" w:lineRule="auto"/>
        <w:ind w:left="450" w:hanging="450"/>
        <w:jc w:val="both"/>
        <w:rPr>
          <w:rFonts w:ascii="Times New Roman" w:eastAsia="Times New Roman" w:hAnsi="Times New Roman" w:cs="Times New Roman"/>
          <w:color w:val="000000"/>
          <w:sz w:val="24"/>
          <w:szCs w:val="24"/>
        </w:rPr>
      </w:pPr>
      <w:r w:rsidRPr="00D01897">
        <w:rPr>
          <w:rFonts w:ascii="Times New Roman" w:eastAsia="Times New Roman" w:hAnsi="Times New Roman" w:cs="Times New Roman"/>
          <w:color w:val="000000"/>
          <w:sz w:val="24"/>
          <w:szCs w:val="24"/>
        </w:rPr>
        <w:t>Protiviti. (2020). </w:t>
      </w:r>
      <w:r w:rsidRPr="00D01897">
        <w:rPr>
          <w:rFonts w:ascii="Times New Roman" w:eastAsia="Times New Roman" w:hAnsi="Times New Roman" w:cs="Times New Roman"/>
          <w:i/>
          <w:iCs/>
          <w:color w:val="000000"/>
          <w:sz w:val="24"/>
          <w:szCs w:val="24"/>
        </w:rPr>
        <w:t>Guide to SOX</w:t>
      </w:r>
      <w:r w:rsidRPr="00D01897">
        <w:rPr>
          <w:rFonts w:ascii="Times New Roman" w:eastAsia="Times New Roman" w:hAnsi="Times New Roman" w:cs="Times New Roman"/>
          <w:color w:val="000000"/>
          <w:sz w:val="24"/>
          <w:szCs w:val="24"/>
        </w:rPr>
        <w:t> [Ebook]. Retrieved from https://www.protiviti.com/sites/default/files/united_states/insights/protiviti_section_404_faq_guide.pdf</w:t>
      </w:r>
    </w:p>
    <w:p w:rsidR="00D01897" w:rsidRPr="00DD7EC1" w:rsidRDefault="00D01897" w:rsidP="00D01897">
      <w:pPr>
        <w:spacing w:line="480" w:lineRule="auto"/>
        <w:jc w:val="both"/>
        <w:rPr>
          <w:rFonts w:ascii="Times New Roman" w:hAnsi="Times New Roman" w:cs="Times New Roman"/>
          <w:b/>
          <w:sz w:val="24"/>
          <w:szCs w:val="24"/>
        </w:rPr>
      </w:pPr>
    </w:p>
    <w:p w:rsidR="00D115AD" w:rsidRPr="00DD7EC1" w:rsidRDefault="00D115AD" w:rsidP="000220AE">
      <w:pPr>
        <w:rPr>
          <w:rFonts w:ascii="Times New Roman" w:hAnsi="Times New Roman" w:cs="Times New Roman"/>
          <w:sz w:val="24"/>
          <w:szCs w:val="24"/>
        </w:rPr>
      </w:pPr>
    </w:p>
    <w:sectPr w:rsidR="00D115AD" w:rsidRPr="00DD7EC1" w:rsidSect="00D115AD">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770EF" w:rsidRDefault="008770EF" w:rsidP="000220AE">
      <w:pPr>
        <w:spacing w:after="0" w:line="240" w:lineRule="auto"/>
      </w:pPr>
      <w:r>
        <w:separator/>
      </w:r>
    </w:p>
  </w:endnote>
  <w:endnote w:type="continuationSeparator" w:id="1">
    <w:p w:rsidR="008770EF" w:rsidRDefault="008770EF" w:rsidP="000220A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sz w:val="24"/>
        <w:szCs w:val="24"/>
      </w:rPr>
      <w:id w:val="1655657"/>
      <w:docPartObj>
        <w:docPartGallery w:val="Page Numbers (Bottom of Page)"/>
        <w:docPartUnique/>
      </w:docPartObj>
    </w:sdtPr>
    <w:sdtContent>
      <w:p w:rsidR="000220AE" w:rsidRPr="000220AE" w:rsidRDefault="000220AE" w:rsidP="000220AE">
        <w:pPr>
          <w:pStyle w:val="Footer"/>
          <w:pBdr>
            <w:top w:val="single" w:sz="4" w:space="1" w:color="auto"/>
          </w:pBdr>
          <w:jc w:val="right"/>
          <w:rPr>
            <w:rFonts w:ascii="Times New Roman" w:hAnsi="Times New Roman" w:cs="Times New Roman"/>
            <w:sz w:val="24"/>
            <w:szCs w:val="24"/>
          </w:rPr>
        </w:pPr>
        <w:r w:rsidRPr="000220AE">
          <w:rPr>
            <w:rFonts w:ascii="Times New Roman" w:hAnsi="Times New Roman" w:cs="Times New Roman"/>
            <w:sz w:val="24"/>
            <w:szCs w:val="24"/>
          </w:rPr>
          <w:fldChar w:fldCharType="begin"/>
        </w:r>
        <w:r w:rsidRPr="000220AE">
          <w:rPr>
            <w:rFonts w:ascii="Times New Roman" w:hAnsi="Times New Roman" w:cs="Times New Roman"/>
            <w:sz w:val="24"/>
            <w:szCs w:val="24"/>
          </w:rPr>
          <w:instrText xml:space="preserve"> PAGE   \* MERGEFORMAT </w:instrText>
        </w:r>
        <w:r w:rsidRPr="000220AE">
          <w:rPr>
            <w:rFonts w:ascii="Times New Roman" w:hAnsi="Times New Roman" w:cs="Times New Roman"/>
            <w:sz w:val="24"/>
            <w:szCs w:val="24"/>
          </w:rPr>
          <w:fldChar w:fldCharType="separate"/>
        </w:r>
        <w:r w:rsidR="00FC68F3">
          <w:rPr>
            <w:rFonts w:ascii="Times New Roman" w:hAnsi="Times New Roman" w:cs="Times New Roman"/>
            <w:noProof/>
            <w:sz w:val="24"/>
            <w:szCs w:val="24"/>
          </w:rPr>
          <w:t>1</w:t>
        </w:r>
        <w:r w:rsidRPr="000220AE">
          <w:rPr>
            <w:rFonts w:ascii="Times New Roman" w:hAnsi="Times New Roman" w:cs="Times New Roman"/>
            <w:sz w:val="24"/>
            <w:szCs w:val="24"/>
          </w:rPr>
          <w:fldChar w:fldCharType="end"/>
        </w:r>
      </w:p>
    </w:sdtContent>
  </w:sdt>
  <w:p w:rsidR="000220AE" w:rsidRPr="000220AE" w:rsidRDefault="000220AE" w:rsidP="000220AE">
    <w:pPr>
      <w:pStyle w:val="Footer"/>
      <w:pBdr>
        <w:top w:val="single" w:sz="4" w:space="1" w:color="auto"/>
      </w:pBdr>
      <w:rPr>
        <w:rFonts w:ascii="Times New Roman" w:hAnsi="Times New Roman" w:cs="Times New Roman"/>
        <w:sz w:val="24"/>
        <w:szCs w:val="2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770EF" w:rsidRDefault="008770EF" w:rsidP="000220AE">
      <w:pPr>
        <w:spacing w:after="0" w:line="240" w:lineRule="auto"/>
      </w:pPr>
      <w:r>
        <w:separator/>
      </w:r>
    </w:p>
  </w:footnote>
  <w:footnote w:type="continuationSeparator" w:id="1">
    <w:p w:rsidR="008770EF" w:rsidRDefault="008770EF" w:rsidP="000220A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20AE" w:rsidRPr="000220AE" w:rsidRDefault="000220AE" w:rsidP="000220AE">
    <w:pPr>
      <w:pStyle w:val="Header"/>
      <w:pBdr>
        <w:bottom w:val="single" w:sz="4" w:space="1" w:color="auto"/>
      </w:pBdr>
      <w:rPr>
        <w:rFonts w:ascii="Times New Roman" w:hAnsi="Times New Roman" w:cs="Times New Roman"/>
        <w:b/>
        <w:sz w:val="24"/>
        <w:szCs w:val="24"/>
      </w:rPr>
    </w:pPr>
    <w:r w:rsidRPr="000220AE">
      <w:rPr>
        <w:rFonts w:ascii="Times New Roman" w:hAnsi="Times New Roman" w:cs="Times New Roman"/>
        <w:b/>
        <w:sz w:val="24"/>
        <w:szCs w:val="24"/>
      </w:rPr>
      <w:t>QID 47404 - Solution</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characterSpacingControl w:val="doNotCompress"/>
  <w:hdrShapeDefaults>
    <o:shapedefaults v:ext="edit" spidmax="3074"/>
  </w:hdrShapeDefaults>
  <w:footnotePr>
    <w:footnote w:id="0"/>
    <w:footnote w:id="1"/>
  </w:footnotePr>
  <w:endnotePr>
    <w:endnote w:id="0"/>
    <w:endnote w:id="1"/>
  </w:endnotePr>
  <w:compat/>
  <w:rsids>
    <w:rsidRoot w:val="000220AE"/>
    <w:rsid w:val="000220AE"/>
    <w:rsid w:val="002A27A2"/>
    <w:rsid w:val="002F2F62"/>
    <w:rsid w:val="00585124"/>
    <w:rsid w:val="005F7FCF"/>
    <w:rsid w:val="0073381A"/>
    <w:rsid w:val="008770EF"/>
    <w:rsid w:val="008C7CD2"/>
    <w:rsid w:val="00A569C0"/>
    <w:rsid w:val="00A6076B"/>
    <w:rsid w:val="00B63AE3"/>
    <w:rsid w:val="00BA0B42"/>
    <w:rsid w:val="00D01897"/>
    <w:rsid w:val="00D115AD"/>
    <w:rsid w:val="00DA00A3"/>
    <w:rsid w:val="00DD7EC1"/>
    <w:rsid w:val="00F809E1"/>
    <w:rsid w:val="00FC68F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15AD"/>
  </w:style>
  <w:style w:type="paragraph" w:styleId="Heading2">
    <w:name w:val="heading 2"/>
    <w:basedOn w:val="Normal"/>
    <w:link w:val="Heading2Char"/>
    <w:uiPriority w:val="9"/>
    <w:qFormat/>
    <w:rsid w:val="00D0189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0220A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220AE"/>
  </w:style>
  <w:style w:type="paragraph" w:styleId="Footer">
    <w:name w:val="footer"/>
    <w:basedOn w:val="Normal"/>
    <w:link w:val="FooterChar"/>
    <w:uiPriority w:val="99"/>
    <w:unhideWhenUsed/>
    <w:rsid w:val="000220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20AE"/>
  </w:style>
  <w:style w:type="character" w:customStyle="1" w:styleId="Heading2Char">
    <w:name w:val="Heading 2 Char"/>
    <w:basedOn w:val="DefaultParagraphFont"/>
    <w:link w:val="Heading2"/>
    <w:uiPriority w:val="9"/>
    <w:rsid w:val="00D01897"/>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D0189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63230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01C28C-18D2-498F-B292-31FAFEE04E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2</Pages>
  <Words>330</Words>
  <Characters>1886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awais.imran</dc:creator>
  <cp:keywords/>
  <dc:description/>
  <cp:lastModifiedBy>awais.imran</cp:lastModifiedBy>
  <cp:revision>14</cp:revision>
  <dcterms:created xsi:type="dcterms:W3CDTF">2021-01-22T12:57:00Z</dcterms:created>
  <dcterms:modified xsi:type="dcterms:W3CDTF">2021-01-22T13:53:00Z</dcterms:modified>
</cp:coreProperties>
</file>