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2324F" w:rsidRPr="00F2324F" w:rsidRDefault="00F2324F" w:rsidP="00F2324F">
      <w:pPr>
        <w:rPr>
          <w:lang w:val="en-US"/>
        </w:rPr>
      </w:pPr>
      <w:r w:rsidRPr="00F2324F">
        <w:rPr>
          <w:lang w:val="en-US"/>
        </w:rPr>
        <w:t>Mbuotidem Johnson</w:t>
      </w:r>
    </w:p>
    <w:p w:rsidR="00F2324F" w:rsidRPr="00F2324F" w:rsidRDefault="00F2324F" w:rsidP="00F2324F">
      <w:pPr>
        <w:rPr>
          <w:lang w:val="en-US"/>
        </w:rPr>
      </w:pPr>
      <w:r w:rsidRPr="00F2324F">
        <w:rPr>
          <w:lang w:val="en-US"/>
        </w:rPr>
        <w:t>PHIL3400</w:t>
      </w:r>
    </w:p>
    <w:p w:rsidR="00F2324F" w:rsidRPr="00F2324F" w:rsidRDefault="00F2324F" w:rsidP="00F2324F">
      <w:pPr>
        <w:rPr>
          <w:lang w:val="en-US"/>
        </w:rPr>
      </w:pPr>
      <w:r w:rsidRPr="00F2324F">
        <w:rPr>
          <w:lang w:val="en-US"/>
        </w:rPr>
        <w:t>Susan Hawthorne</w:t>
      </w:r>
    </w:p>
    <w:p w:rsidR="00B23CB5" w:rsidRDefault="00EF7A02" w:rsidP="00F2324F">
      <w:pPr>
        <w:rPr>
          <w:lang w:val="en-US"/>
        </w:rPr>
      </w:pPr>
      <w:r>
        <w:rPr>
          <w:lang w:val="en-US"/>
        </w:rPr>
        <w:t>Jan 13, 2021</w:t>
      </w:r>
    </w:p>
    <w:p w:rsidR="00B6245A" w:rsidRDefault="006E5A08" w:rsidP="00BA36CD">
      <w:pPr>
        <w:jc w:val="center"/>
      </w:pPr>
      <w:r w:rsidRPr="006E5A08">
        <w:rPr>
          <w:lang w:val="en-US"/>
        </w:rPr>
        <w:t>Death, Dying and the Physician's Role</w:t>
      </w:r>
    </w:p>
    <w:p w:rsidR="00BA36CD" w:rsidRPr="00A15317" w:rsidRDefault="00AB0E7D" w:rsidP="00BA36CD">
      <w:pPr>
        <w:rPr>
          <w:b/>
        </w:rPr>
      </w:pPr>
      <w:bookmarkStart w:id="0" w:name="_GoBack"/>
      <w:r w:rsidRPr="00A15317">
        <w:rPr>
          <w:b/>
        </w:rPr>
        <w:t>Introduction</w:t>
      </w:r>
    </w:p>
    <w:bookmarkEnd w:id="0"/>
    <w:p w:rsidR="00D04AD7" w:rsidRPr="00D04AD7" w:rsidRDefault="00D04AD7" w:rsidP="00D04AD7">
      <w:pPr>
        <w:ind w:firstLine="720"/>
      </w:pPr>
      <w:r w:rsidRPr="00D04AD7">
        <w:t>Death, dying and the role of physicians have continued to raise controversial topics in the medical sector. Death is a natural irresistible phenomenon, but nobody has the right to illegally terminate the life of the other. An individual is considered legally dead if he/she experiences the “irreversible cessation of all functions of the brain” (Monteverde and Rid). The most challenging issue is the fact that a person who is brain dead can be kept alive and breathing using a ventilator, with the heart still functioning (Monteverde and Rid). Based on this fact, hot arguments have emerged to establish when an individual should be considered dead.</w:t>
      </w:r>
    </w:p>
    <w:p w:rsidR="00D04AD7" w:rsidRPr="00D04AD7" w:rsidRDefault="00D04AD7" w:rsidP="00D04AD7">
      <w:pPr>
        <w:ind w:firstLine="720"/>
      </w:pPr>
      <w:r w:rsidRPr="00D04AD7">
        <w:t>Contemporary medical ethics require health professionals to take good care of the patient until the last moment. Also, medical ethics allow physicians to assist the patient in dying if necessary, but in a dignified and unpainful manner. However, it remains unclear when to consider a patient dead or dying. It is also unclear whether the clinicians should care for the dying patients or assist to end their lives since caring for the dying patients is emotional and ethically difficult for the families, physicians, and the patients themselves. The increased urgency to establish between a dying and dead patient and the role of the physician-led to this study. When should a patient be considered dead or dying, and what is the role of a physician?</w:t>
      </w:r>
    </w:p>
    <w:p w:rsidR="00D04AD7" w:rsidRPr="00D04AD7" w:rsidRDefault="00D04AD7" w:rsidP="00A0067C">
      <w:pPr>
        <w:jc w:val="center"/>
      </w:pPr>
      <w:r w:rsidRPr="00D04AD7">
        <w:rPr>
          <w:b/>
          <w:bCs/>
        </w:rPr>
        <w:lastRenderedPageBreak/>
        <w:t>Background</w:t>
      </w:r>
    </w:p>
    <w:p w:rsidR="00D04AD7" w:rsidRPr="00D04AD7" w:rsidRDefault="00D04AD7" w:rsidP="00D04AD7">
      <w:pPr>
        <w:ind w:firstLine="720"/>
      </w:pPr>
      <w:r w:rsidRPr="00D04AD7">
        <w:t>Death remains a long-time companion of medical practice and human nature. However, defining death has been a controversial issue for the physicians together with the medical, legal, political, and social perspectives. The views on death have been determined in the past using the maintenance of the body function of an individual. Some groups considered a patient to be dead when his/her heart and lungs ceased functioning (LiPuma and DeMarco). Initially, the definition of death was based on the whole brain and stem brain deaths together with the circulatory and respiratory arrest (Monteverde and Rid). According to this concept, circulatory and respiratory arrest quickly led to irreversible brain damage (Monteverde and Rid). Similarly, brain damage rapidly led to respiratory and circulatory arrest. The discovery of the ventilation equipment led to hot criticism of this idea. Soon after, a hot debate arose to establish whether ventilated patients with no brain activity should be considered dead or dying (LiPuma and DeMarco). Also, an argument emerged to establish whether the physicians were obliged to treat such patients or assist to end their lives.</w:t>
      </w:r>
    </w:p>
    <w:p w:rsidR="00D04AD7" w:rsidRPr="00D04AD7" w:rsidRDefault="00D04AD7" w:rsidP="00D04AD7">
      <w:pPr>
        <w:ind w:firstLine="720"/>
      </w:pPr>
      <w:r w:rsidRPr="00D04AD7">
        <w:t>Higher brain death refers to a scenario where a person experiences irreversible cessation of functioning of the higher brain and lacks the capacity for regaining consciousness (Monteverde and Rid). In other words, it involves the irreversible loss of the function of the higher brain, resulting in permanent loss of consciousness and breathing ability. Various scholars have boldly come out to defend higher brain death as the best medical concept of defining death. Although these scholars supporting higher brain death differ in few ideas, all of their definitions include the “irreversible loss” of somebody's ability which primarily focuses on consciousness (Monteverde and Rid). Furthermore, these scholars jointly argue that the essence of human life is based on the self-awareness and understanding of oneself, facilitated by consciousness (LiPuma and DeMarco). This implies that death occurs when consciousness is permanently lost.</w:t>
      </w:r>
    </w:p>
    <w:p w:rsidR="00D04AD7" w:rsidRPr="00D04AD7" w:rsidRDefault="00D04AD7" w:rsidP="00D04AD7">
      <w:pPr>
        <w:ind w:firstLine="720"/>
      </w:pPr>
      <w:r w:rsidRPr="00D04AD7">
        <w:t>However, no jurisdiction has adopted a higher brain definition of death to date. The higher brain functions are the ones that determine the quality of life of an individual. Having a patient who has a gag reflex but with irreversible loss of consciousness is of no difference to having a dead patient (LiPuma and DeMarco). However, according to American law that supports the whole-brain concept, the patient is considered alive since he or she does not have entire brain damage (LiPuma and DeMarco). Brain damage and death have brought about lots of contention which the physician has to have the wit to handle effectively. The ethical issue that arises from the whole-brain concept is the inability to quantify the degree of brain damage to make the physician consider the patient dead. The higher brain concept guides the physicians to emphasize four aspects including the absence of responsivity, circulatory arrest, respiration failure, and reflexes failure with respect to a patient's irreversible loss of brain function (LiPuma and DeMarco).</w:t>
      </w:r>
    </w:p>
    <w:p w:rsidR="00D04AD7" w:rsidRPr="00D04AD7" w:rsidRDefault="00D04AD7" w:rsidP="00D04AD7">
      <w:pPr>
        <w:jc w:val="center"/>
      </w:pPr>
      <w:r w:rsidRPr="00D04AD7">
        <w:rPr>
          <w:b/>
          <w:bCs/>
        </w:rPr>
        <w:t>Discussion</w:t>
      </w:r>
    </w:p>
    <w:p w:rsidR="00D04AD7" w:rsidRPr="00D04AD7" w:rsidRDefault="00D04AD7" w:rsidP="00D04AD7">
      <w:pPr>
        <w:ind w:firstLine="720"/>
      </w:pPr>
      <w:r w:rsidRPr="00D04AD7">
        <w:t>Indeed, having a patient who has a gag reflex but with irreversible loss of consciousness is of no difference to having a dead patient. The higher brain concept bases its definition of death on responsivity, circulatory arrest, respiration failure, and absence of reflexes (Monteverde and Rid). I consider this approach more reliable than the whole brain approach and cardiopulmonary ideology. According to the cardiopulmonary concept, an individual was considered dead immediately he/she permanently stopped to breathe and circulate blood (LiPuma and DeMarco). The definition worked out so well until the technological advancement in the medical sector resulted in the discovery of mechanical ventilation. The physicians were able to keep the patients alive using the ventilators, even though the patients were in a deep coma. Closer examination proved to the physicians that the patients were neither fully dead nor alive and the term “irreversible coma” was first used to refer to this condition. “Brain death” was later used to refer to the half-alive state (LiPuma and DeMarco).</w:t>
      </w:r>
    </w:p>
    <w:p w:rsidR="00D04AD7" w:rsidRPr="00D04AD7" w:rsidRDefault="00D04AD7" w:rsidP="00D04AD7">
      <w:pPr>
        <w:ind w:firstLine="720"/>
      </w:pPr>
      <w:r w:rsidRPr="00D04AD7">
        <w:t>The Harvard study defines the irreversible coma led to further acquisition of information that supports higher brain death. The study proved that it is sensible to consider a human dead if the brain functioning permanently ceased from working even if the heart and the lungs continued to function. According to higher brain death, the life of a human is fundamentally controlled by consciousness (Monteverde and Rid). It’s of no surprise to consider a person with a permanently lost sense of consciousness dead. In other words, the permanent cessation of higher brain functioning qualifies a person to cease living due to the death of personhood (LiPuma and DeMarco). Based on the above arguments, I consider higher brain death’s definition the most suitable than cardiopulmonary and whole-brain definitions.</w:t>
      </w:r>
    </w:p>
    <w:p w:rsidR="00D04AD7" w:rsidRPr="00D04AD7" w:rsidRDefault="00D04AD7" w:rsidP="00D04AD7">
      <w:pPr>
        <w:ind w:firstLine="720"/>
      </w:pPr>
      <w:r w:rsidRPr="00D04AD7">
        <w:t>Due to the legal implications, the physician is left with the dilemma of prolonging life versus the quality of life. In most cases, the physician faces the dilemma for patients who are on life support. The definition of health is regarded as a comprehensive state of wellness thus for the patient who is continuously in need of life support the question of whether to continue life support indefinitely becomes a big issue. Moreover, the worth of continuing life support for an individual who will never recover to have a good quality of life is also a significant problem for the physician. However, the issue is that the family of such a patient may not be ready to accept the higher brain function definition of death and stick to the circulatory definition hence require continuous life support.</w:t>
      </w:r>
    </w:p>
    <w:p w:rsidR="00D04AD7" w:rsidRPr="00D04AD7" w:rsidRDefault="00D04AD7" w:rsidP="00D04AD7">
      <w:pPr>
        <w:jc w:val="center"/>
      </w:pPr>
      <w:r w:rsidRPr="00D04AD7">
        <w:rPr>
          <w:b/>
          <w:bCs/>
        </w:rPr>
        <w:t>Objection</w:t>
      </w:r>
    </w:p>
    <w:p w:rsidR="00D04AD7" w:rsidRPr="00D04AD7" w:rsidRDefault="00D04AD7" w:rsidP="00D04AD7">
      <w:pPr>
        <w:ind w:firstLine="720"/>
      </w:pPr>
      <w:r w:rsidRPr="00D04AD7">
        <w:t>To date, no legislature across the world has adopted the higher brain definition of death. Almost all nations rely on the whole brain death definition since it prohibits the active killing of humans by all means. Despite the patient's suffering or quality of life, there is no legal acceptance for active killing (Campbell, pp. 733). Active killing is defined using the whole brain function definition of death such that even a patient who can never recover consciousness but with minimal brain function on minor aspects is considered alive. However, the physicians have handled the issue of euthanasia of the terminally ill in different ways. In most cases, it involves passive killing through the withdrawal of active treatment and assisting the patient to die in an unpainful manner that upholds human dignity (Campbell, pp. 733).</w:t>
      </w:r>
    </w:p>
    <w:p w:rsidR="00D04AD7" w:rsidRPr="00D04AD7" w:rsidRDefault="00D04AD7" w:rsidP="00D04AD7">
      <w:pPr>
        <w:jc w:val="center"/>
      </w:pPr>
      <w:r w:rsidRPr="00D04AD7">
        <w:rPr>
          <w:b/>
          <w:bCs/>
        </w:rPr>
        <w:t>Justification of my Argument</w:t>
      </w:r>
    </w:p>
    <w:p w:rsidR="00D04AD7" w:rsidRPr="00D04AD7" w:rsidRDefault="00D04AD7" w:rsidP="00D04AD7">
      <w:pPr>
        <w:ind w:firstLine="720"/>
      </w:pPr>
      <w:r w:rsidRPr="00D04AD7">
        <w:t>Ethically, human life is very important and should not be terminated at all costs. However, euthanasia involves the active killing of someone who is terminally ill to end their suffering (Nour pp. 141). In the practice, the physician believes that death benefits the patient by easing their suffering. The debate surrounding euthanasia has been ongoing for a long time with legal dilemmas in place. The physician's role in death has been questioned especially by religious sectors that challenge the termination of life, which should only be done by God (Nour pp. 141).</w:t>
      </w:r>
    </w:p>
    <w:p w:rsidR="00D04AD7" w:rsidRPr="00D04AD7" w:rsidRDefault="00D04AD7" w:rsidP="00D04AD7">
      <w:pPr>
        <w:ind w:firstLine="720"/>
      </w:pPr>
      <w:r w:rsidRPr="00D04AD7">
        <w:t>From an ethical standpoint, euthanasia is aimed at achieving the best for the patient. From the principles of utilitarianism, euthanasia is a concept that should be acceptable. It serves to ease suffering and ensure that the family is also able to deal with the situation in a controlled setup (Nour pp. 141). Physician-assisted suicide has also been a considerable aspect that has been of focus in legal spheres. From a political view, physician-assisted suicide is more tolerable and has been legalized in five American states. Indeed, having a patient who has a gag reflex but with irreversible loss of consciousness is of no difference to having a dead patient (Campbell, pp. 733). The higher brain concept bases its definition of death on responsivity, circulatory arrest, respiration failure, and absence of reflexes. I, therefore, support dignified and unpainful termination of the patient’s life who has permanently lost consciousness.</w:t>
      </w:r>
    </w:p>
    <w:p w:rsidR="00D04AD7" w:rsidRPr="00D04AD7" w:rsidRDefault="00D04AD7" w:rsidP="00D04AD7">
      <w:pPr>
        <w:jc w:val="center"/>
      </w:pPr>
      <w:r w:rsidRPr="00D04AD7">
        <w:rPr>
          <w:b/>
          <w:bCs/>
        </w:rPr>
        <w:t>Conclusion</w:t>
      </w:r>
    </w:p>
    <w:p w:rsidR="00B23CB5" w:rsidRPr="00D04AD7" w:rsidRDefault="00D04AD7" w:rsidP="00A82673">
      <w:pPr>
        <w:ind w:firstLine="720"/>
      </w:pPr>
      <w:r w:rsidRPr="00D04AD7">
        <w:t>The definition of death remains a controversial issue for medical, legal, and political sectors. An individual is considered legally dead if he/she experiences the “irreversible cessation of all functions of the brain.” The higher brain death best defines death based on permanent loss of consciousness which leads to the absence of responsivity, circulatory arrest, respiration failure, and reflexes failure. Indeed, having a patient who has a gag reflex but with irreversible loss of consciousness is of no difference to having a dead patient. The higher brain concept bases its definition of death on responsivity, circulatory, respiration, and reflexes functionality. This approach is thus more reliable than the whole brain approach and cardiopulmonary model. Euthanasia should be accepted since it aims to benefit the patient through termination of the suffering in an unpainful and dignified manner.</w:t>
      </w:r>
    </w:p>
    <w:p w:rsidR="00B23CB5" w:rsidRDefault="00B23CB5">
      <w:pPr>
        <w:rPr>
          <w:lang w:val="en-US"/>
        </w:rPr>
      </w:pPr>
      <w:r>
        <w:rPr>
          <w:lang w:val="en-US"/>
        </w:rPr>
        <w:br w:type="page"/>
      </w:r>
    </w:p>
    <w:p w:rsidR="000B2CE3" w:rsidRDefault="00B23CB5" w:rsidP="00B23CB5">
      <w:pPr>
        <w:jc w:val="center"/>
      </w:pPr>
      <w:r>
        <w:t>Works Cited</w:t>
      </w:r>
    </w:p>
    <w:p w:rsidR="00EB3F37" w:rsidRDefault="00EB3F37" w:rsidP="009C3340">
      <w:pPr>
        <w:ind w:left="720" w:hanging="720"/>
      </w:pPr>
      <w:r w:rsidRPr="00B23CB5">
        <w:t>Campbell, Courtney S. "Focus: Death: Mortal Responsibilities: Bioethics and Medical-Assisted Dying." </w:t>
      </w:r>
      <w:r w:rsidRPr="00B23CB5">
        <w:rPr>
          <w:i/>
          <w:iCs/>
        </w:rPr>
        <w:t>The Yale Journal of Biology and Medicine</w:t>
      </w:r>
      <w:r w:rsidRPr="00B23CB5">
        <w:t> 92.4 (2019): 733.</w:t>
      </w:r>
      <w:r>
        <w:t xml:space="preserve"> </w:t>
      </w:r>
      <w:hyperlink r:id="rId6" w:history="1">
        <w:r w:rsidRPr="00E17A97">
          <w:rPr>
            <w:rStyle w:val="Hyperlink"/>
          </w:rPr>
          <w:t>https://www.ncbi.nlm.nih.gov/pmc/articles/PMC6913808/</w:t>
        </w:r>
      </w:hyperlink>
      <w:r>
        <w:t xml:space="preserve">.  </w:t>
      </w:r>
    </w:p>
    <w:p w:rsidR="00EB3F37" w:rsidRDefault="00EB3F37" w:rsidP="009C3340">
      <w:pPr>
        <w:ind w:left="720" w:hanging="720"/>
      </w:pPr>
      <w:r w:rsidRPr="00FA08E1">
        <w:t>LiPuma, S. H., and J. P. DeMarco. "Defending a Functionalist View of Higer Brain Death." (2016).</w:t>
      </w:r>
      <w:r>
        <w:t xml:space="preserve"> </w:t>
      </w:r>
      <w:hyperlink r:id="rId7" w:history="1">
        <w:r w:rsidRPr="00E17A97">
          <w:rPr>
            <w:rStyle w:val="Hyperlink"/>
          </w:rPr>
          <w:t>https://www.longdom.org/open-access/defending-a-functionalist-view-of-higher-brain-death-2155-9627-1000262.pdf</w:t>
        </w:r>
      </w:hyperlink>
      <w:r>
        <w:t xml:space="preserve">. </w:t>
      </w:r>
    </w:p>
    <w:p w:rsidR="00EB3F37" w:rsidRDefault="00EB3F37" w:rsidP="009C3340">
      <w:pPr>
        <w:ind w:left="720" w:hanging="720"/>
      </w:pPr>
      <w:r w:rsidRPr="00B0076F">
        <w:t>Monteverde, Settimio, and Annette Rid. "Controversies in the determination of death: perspectives from Switzerland." </w:t>
      </w:r>
      <w:r w:rsidRPr="00B0076F">
        <w:rPr>
          <w:i/>
          <w:iCs/>
        </w:rPr>
        <w:t>Swiss Medical Weekly</w:t>
      </w:r>
      <w:r w:rsidRPr="00B0076F">
        <w:t> 142 (2012): w13667.</w:t>
      </w:r>
      <w:r>
        <w:t xml:space="preserve"> </w:t>
      </w:r>
      <w:hyperlink r:id="rId8" w:history="1">
        <w:r w:rsidRPr="00E17A97">
          <w:rPr>
            <w:rStyle w:val="Hyperlink"/>
          </w:rPr>
          <w:t>https://www.who.int/servicedeliverysafety/ddcr42.pdf</w:t>
        </w:r>
      </w:hyperlink>
      <w:r>
        <w:t xml:space="preserve">. </w:t>
      </w:r>
    </w:p>
    <w:p w:rsidR="00EB3F37" w:rsidRPr="00A75FDE" w:rsidRDefault="00EB3F37" w:rsidP="009C3340">
      <w:pPr>
        <w:ind w:left="720" w:hanging="720"/>
      </w:pPr>
      <w:r w:rsidRPr="00A31F83">
        <w:t>Nour, Andrada. "Euthanasia–A Right of the Human Being or a Crime against Humanity." </w:t>
      </w:r>
      <w:r w:rsidRPr="00A31F83">
        <w:rPr>
          <w:i/>
          <w:iCs/>
        </w:rPr>
        <w:t>Scholars International Journal of Law, Crime and Justice. Dubai: Scholars Middle East Publisher</w:t>
      </w:r>
      <w:r w:rsidRPr="00A31F83">
        <w:t> 3.5 (2020): 141.</w:t>
      </w:r>
      <w:r>
        <w:t xml:space="preserve"> </w:t>
      </w:r>
      <w:hyperlink r:id="rId9" w:history="1">
        <w:r w:rsidRPr="00E17A97">
          <w:rPr>
            <w:rStyle w:val="Hyperlink"/>
          </w:rPr>
          <w:t>https://saudijournals.com/media/articles/SIJLCJ_35_139-143.pdf</w:t>
        </w:r>
      </w:hyperlink>
      <w:r>
        <w:t xml:space="preserve">. </w:t>
      </w:r>
    </w:p>
    <w:sectPr w:rsidR="00EB3F37" w:rsidRPr="00A75FDE">
      <w:head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7492E" w:rsidRDefault="0007492E" w:rsidP="00880E3D">
      <w:pPr>
        <w:spacing w:after="0" w:line="240" w:lineRule="auto"/>
      </w:pPr>
      <w:r>
        <w:separator/>
      </w:r>
    </w:p>
  </w:endnote>
  <w:endnote w:type="continuationSeparator" w:id="0">
    <w:p w:rsidR="0007492E" w:rsidRDefault="0007492E" w:rsidP="00880E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7492E" w:rsidRDefault="0007492E" w:rsidP="00880E3D">
      <w:pPr>
        <w:spacing w:after="0" w:line="240" w:lineRule="auto"/>
      </w:pPr>
      <w:r>
        <w:separator/>
      </w:r>
    </w:p>
  </w:footnote>
  <w:footnote w:type="continuationSeparator" w:id="0">
    <w:p w:rsidR="0007492E" w:rsidRDefault="0007492E" w:rsidP="00880E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19898897"/>
      <w:docPartObj>
        <w:docPartGallery w:val="Page Numbers (Top of Page)"/>
        <w:docPartUnique/>
      </w:docPartObj>
    </w:sdtPr>
    <w:sdtEndPr>
      <w:rPr>
        <w:noProof/>
      </w:rPr>
    </w:sdtEndPr>
    <w:sdtContent>
      <w:p w:rsidR="00880E3D" w:rsidRDefault="00880E3D">
        <w:pPr>
          <w:pStyle w:val="Header"/>
          <w:jc w:val="right"/>
        </w:pPr>
        <w:r>
          <w:t xml:space="preserve">SURNAME </w:t>
        </w:r>
        <w:r>
          <w:fldChar w:fldCharType="begin"/>
        </w:r>
        <w:r>
          <w:instrText xml:space="preserve"> PAGE   \* MERGEFORMAT </w:instrText>
        </w:r>
        <w:r>
          <w:fldChar w:fldCharType="separate"/>
        </w:r>
        <w:r w:rsidR="0007492E">
          <w:rPr>
            <w:noProof/>
          </w:rPr>
          <w:t>1</w:t>
        </w:r>
        <w:r>
          <w:rPr>
            <w:noProof/>
          </w:rPr>
          <w:fldChar w:fldCharType="end"/>
        </w:r>
      </w:p>
    </w:sdtContent>
  </w:sdt>
  <w:p w:rsidR="00880E3D" w:rsidRDefault="00880E3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5BB3"/>
    <w:rsid w:val="00020A73"/>
    <w:rsid w:val="000459C4"/>
    <w:rsid w:val="000475DB"/>
    <w:rsid w:val="0006120D"/>
    <w:rsid w:val="00062D86"/>
    <w:rsid w:val="0007492E"/>
    <w:rsid w:val="00076A4D"/>
    <w:rsid w:val="00087205"/>
    <w:rsid w:val="000933FF"/>
    <w:rsid w:val="00093D1D"/>
    <w:rsid w:val="000A09B4"/>
    <w:rsid w:val="000A493F"/>
    <w:rsid w:val="000B2CE3"/>
    <w:rsid w:val="000F3867"/>
    <w:rsid w:val="000F723F"/>
    <w:rsid w:val="00111BE0"/>
    <w:rsid w:val="0011675D"/>
    <w:rsid w:val="001262F0"/>
    <w:rsid w:val="00144D3A"/>
    <w:rsid w:val="001522F0"/>
    <w:rsid w:val="0015310E"/>
    <w:rsid w:val="00154F8C"/>
    <w:rsid w:val="0016428F"/>
    <w:rsid w:val="001667E4"/>
    <w:rsid w:val="001A0779"/>
    <w:rsid w:val="001E772D"/>
    <w:rsid w:val="0020533E"/>
    <w:rsid w:val="00227D36"/>
    <w:rsid w:val="00234B36"/>
    <w:rsid w:val="00235961"/>
    <w:rsid w:val="00242854"/>
    <w:rsid w:val="0025521E"/>
    <w:rsid w:val="002651E7"/>
    <w:rsid w:val="002878E3"/>
    <w:rsid w:val="002D5946"/>
    <w:rsid w:val="002D5F53"/>
    <w:rsid w:val="002E545C"/>
    <w:rsid w:val="002F5F98"/>
    <w:rsid w:val="003A6A59"/>
    <w:rsid w:val="003D2A53"/>
    <w:rsid w:val="003D4294"/>
    <w:rsid w:val="003E0F00"/>
    <w:rsid w:val="00413B9C"/>
    <w:rsid w:val="00424155"/>
    <w:rsid w:val="004530EE"/>
    <w:rsid w:val="00461501"/>
    <w:rsid w:val="00472097"/>
    <w:rsid w:val="00482608"/>
    <w:rsid w:val="004B26DE"/>
    <w:rsid w:val="004C5FF2"/>
    <w:rsid w:val="004D2A71"/>
    <w:rsid w:val="004F5AD3"/>
    <w:rsid w:val="00505933"/>
    <w:rsid w:val="00506B7C"/>
    <w:rsid w:val="005255F6"/>
    <w:rsid w:val="005661B2"/>
    <w:rsid w:val="00592534"/>
    <w:rsid w:val="005930F5"/>
    <w:rsid w:val="005A2E02"/>
    <w:rsid w:val="005B54F9"/>
    <w:rsid w:val="005C48AD"/>
    <w:rsid w:val="005C5302"/>
    <w:rsid w:val="005D471F"/>
    <w:rsid w:val="00610C8A"/>
    <w:rsid w:val="0064316D"/>
    <w:rsid w:val="0064769E"/>
    <w:rsid w:val="00663700"/>
    <w:rsid w:val="00665BB3"/>
    <w:rsid w:val="00674E52"/>
    <w:rsid w:val="00685629"/>
    <w:rsid w:val="00692040"/>
    <w:rsid w:val="00696137"/>
    <w:rsid w:val="006A06DC"/>
    <w:rsid w:val="006B2659"/>
    <w:rsid w:val="006B630C"/>
    <w:rsid w:val="006C16C5"/>
    <w:rsid w:val="006D36F3"/>
    <w:rsid w:val="006E5A08"/>
    <w:rsid w:val="00701EED"/>
    <w:rsid w:val="00702956"/>
    <w:rsid w:val="007119FD"/>
    <w:rsid w:val="0072016C"/>
    <w:rsid w:val="00744B52"/>
    <w:rsid w:val="0075305C"/>
    <w:rsid w:val="007843D7"/>
    <w:rsid w:val="00790662"/>
    <w:rsid w:val="007A046E"/>
    <w:rsid w:val="007B4C48"/>
    <w:rsid w:val="007D2D34"/>
    <w:rsid w:val="007E10F2"/>
    <w:rsid w:val="007E284F"/>
    <w:rsid w:val="0080081E"/>
    <w:rsid w:val="00812F55"/>
    <w:rsid w:val="008447DB"/>
    <w:rsid w:val="008769BA"/>
    <w:rsid w:val="00877F85"/>
    <w:rsid w:val="00880E3D"/>
    <w:rsid w:val="00882D10"/>
    <w:rsid w:val="008942C5"/>
    <w:rsid w:val="008A0D2D"/>
    <w:rsid w:val="008B0A1E"/>
    <w:rsid w:val="008C7637"/>
    <w:rsid w:val="008D4C18"/>
    <w:rsid w:val="008D6E04"/>
    <w:rsid w:val="008F2C50"/>
    <w:rsid w:val="008F44D4"/>
    <w:rsid w:val="00912E9D"/>
    <w:rsid w:val="00922462"/>
    <w:rsid w:val="00960BDC"/>
    <w:rsid w:val="00992EA1"/>
    <w:rsid w:val="009A2275"/>
    <w:rsid w:val="009B7CCF"/>
    <w:rsid w:val="009C3340"/>
    <w:rsid w:val="009E4777"/>
    <w:rsid w:val="00A0067C"/>
    <w:rsid w:val="00A15317"/>
    <w:rsid w:val="00A25FE4"/>
    <w:rsid w:val="00A30D7E"/>
    <w:rsid w:val="00A31F83"/>
    <w:rsid w:val="00A35FC5"/>
    <w:rsid w:val="00A5387B"/>
    <w:rsid w:val="00A75FDE"/>
    <w:rsid w:val="00A82673"/>
    <w:rsid w:val="00AA1CF0"/>
    <w:rsid w:val="00AB0E7D"/>
    <w:rsid w:val="00AB339A"/>
    <w:rsid w:val="00AD368F"/>
    <w:rsid w:val="00AE2443"/>
    <w:rsid w:val="00AE7187"/>
    <w:rsid w:val="00AF1B6A"/>
    <w:rsid w:val="00AF6090"/>
    <w:rsid w:val="00AF7783"/>
    <w:rsid w:val="00B0076F"/>
    <w:rsid w:val="00B22962"/>
    <w:rsid w:val="00B23CB5"/>
    <w:rsid w:val="00B6245A"/>
    <w:rsid w:val="00B81E8D"/>
    <w:rsid w:val="00BA36CD"/>
    <w:rsid w:val="00BA568B"/>
    <w:rsid w:val="00BB4A7A"/>
    <w:rsid w:val="00BB72B8"/>
    <w:rsid w:val="00BD3309"/>
    <w:rsid w:val="00BE41E7"/>
    <w:rsid w:val="00C04888"/>
    <w:rsid w:val="00C4227C"/>
    <w:rsid w:val="00C47A1F"/>
    <w:rsid w:val="00C723E7"/>
    <w:rsid w:val="00C72994"/>
    <w:rsid w:val="00C81ED3"/>
    <w:rsid w:val="00C830F2"/>
    <w:rsid w:val="00CA70A2"/>
    <w:rsid w:val="00CE2EC7"/>
    <w:rsid w:val="00CF56A8"/>
    <w:rsid w:val="00D04AD7"/>
    <w:rsid w:val="00D23C2B"/>
    <w:rsid w:val="00D346F7"/>
    <w:rsid w:val="00D475DC"/>
    <w:rsid w:val="00D7171B"/>
    <w:rsid w:val="00DD4A8A"/>
    <w:rsid w:val="00DD6E42"/>
    <w:rsid w:val="00E21263"/>
    <w:rsid w:val="00E234A0"/>
    <w:rsid w:val="00E376E8"/>
    <w:rsid w:val="00E446FE"/>
    <w:rsid w:val="00E55B69"/>
    <w:rsid w:val="00E728B0"/>
    <w:rsid w:val="00E85F14"/>
    <w:rsid w:val="00E86B99"/>
    <w:rsid w:val="00E90CFA"/>
    <w:rsid w:val="00E94650"/>
    <w:rsid w:val="00EA1D55"/>
    <w:rsid w:val="00EB3F37"/>
    <w:rsid w:val="00EB46C3"/>
    <w:rsid w:val="00ED01D2"/>
    <w:rsid w:val="00ED2809"/>
    <w:rsid w:val="00EF7A02"/>
    <w:rsid w:val="00F2324F"/>
    <w:rsid w:val="00F33050"/>
    <w:rsid w:val="00F5303C"/>
    <w:rsid w:val="00F55366"/>
    <w:rsid w:val="00F56588"/>
    <w:rsid w:val="00F61AEF"/>
    <w:rsid w:val="00F6423A"/>
    <w:rsid w:val="00F87B3C"/>
    <w:rsid w:val="00F90526"/>
    <w:rsid w:val="00FA08E1"/>
    <w:rsid w:val="00FB045D"/>
    <w:rsid w:val="00FE5759"/>
    <w:rsid w:val="00FE688D"/>
    <w:rsid w:val="00FF751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98B984"/>
  <w15:chartTrackingRefBased/>
  <w15:docId w15:val="{200AE55C-4929-4692-B6B6-CB2BE3779F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4"/>
        <w:szCs w:val="22"/>
        <w:lang w:val="en-GB" w:eastAsia="en-US" w:bidi="ar-SA"/>
      </w:rPr>
    </w:rPrDefault>
    <w:pPrDefault>
      <w:pPr>
        <w:spacing w:after="160" w:line="48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80E3D"/>
    <w:pPr>
      <w:tabs>
        <w:tab w:val="center" w:pos="4513"/>
        <w:tab w:val="right" w:pos="9026"/>
      </w:tabs>
      <w:spacing w:after="0" w:line="240" w:lineRule="auto"/>
    </w:pPr>
  </w:style>
  <w:style w:type="character" w:customStyle="1" w:styleId="HeaderChar">
    <w:name w:val="Header Char"/>
    <w:basedOn w:val="DefaultParagraphFont"/>
    <w:link w:val="Header"/>
    <w:uiPriority w:val="99"/>
    <w:rsid w:val="00880E3D"/>
  </w:style>
  <w:style w:type="paragraph" w:styleId="Footer">
    <w:name w:val="footer"/>
    <w:basedOn w:val="Normal"/>
    <w:link w:val="FooterChar"/>
    <w:uiPriority w:val="99"/>
    <w:unhideWhenUsed/>
    <w:rsid w:val="00880E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880E3D"/>
  </w:style>
  <w:style w:type="character" w:styleId="Hyperlink">
    <w:name w:val="Hyperlink"/>
    <w:basedOn w:val="DefaultParagraphFont"/>
    <w:uiPriority w:val="99"/>
    <w:unhideWhenUsed/>
    <w:rsid w:val="00F3305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8984864">
      <w:bodyDiv w:val="1"/>
      <w:marLeft w:val="0"/>
      <w:marRight w:val="0"/>
      <w:marTop w:val="0"/>
      <w:marBottom w:val="0"/>
      <w:divBdr>
        <w:top w:val="none" w:sz="0" w:space="0" w:color="auto"/>
        <w:left w:val="none" w:sz="0" w:space="0" w:color="auto"/>
        <w:bottom w:val="none" w:sz="0" w:space="0" w:color="auto"/>
        <w:right w:val="none" w:sz="0" w:space="0" w:color="auto"/>
      </w:divBdr>
    </w:div>
    <w:div w:id="19696982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ho.int/servicedeliverysafety/ddcr42.pdf" TargetMode="External"/><Relationship Id="rId3" Type="http://schemas.openxmlformats.org/officeDocument/2006/relationships/webSettings" Target="webSettings.xml"/><Relationship Id="rId7" Type="http://schemas.openxmlformats.org/officeDocument/2006/relationships/hyperlink" Target="https://www.longdom.org/open-access/defending-a-functionalist-view-of-higher-brain-death-2155-9627-1000262.pdf"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ncbi.nlm.nih.gov/pmc/articles/PMC6913808/"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https://saudijournals.com/media/articles/SIJLCJ_35_139-143.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346</TotalTime>
  <Pages>7</Pages>
  <Words>1782</Words>
  <Characters>10160</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sammy molla</dc:creator>
  <cp:keywords/>
  <dc:description/>
  <cp:lastModifiedBy>sammy molla</cp:lastModifiedBy>
  <cp:revision>182</cp:revision>
  <dcterms:created xsi:type="dcterms:W3CDTF">2021-01-13T06:49:00Z</dcterms:created>
  <dcterms:modified xsi:type="dcterms:W3CDTF">2021-01-13T13:23:00Z</dcterms:modified>
</cp:coreProperties>
</file>