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080D" w:rsidRDefault="00E369D7" w:rsidP="00E369D7">
      <w:pPr>
        <w:spacing w:line="480" w:lineRule="auto"/>
        <w:rPr>
          <w:rFonts w:ascii="Times New Roman" w:hAnsi="Times New Roman" w:cs="Times New Roman"/>
          <w:sz w:val="24"/>
          <w:szCs w:val="24"/>
        </w:rPr>
      </w:pPr>
      <w:r w:rsidRPr="00E369D7">
        <w:rPr>
          <w:rFonts w:ascii="Times New Roman" w:hAnsi="Times New Roman" w:cs="Times New Roman"/>
          <w:b/>
          <w:sz w:val="24"/>
          <w:szCs w:val="24"/>
        </w:rPr>
        <w:t>APA Citation:</w:t>
      </w:r>
      <w:r>
        <w:rPr>
          <w:rFonts w:ascii="Times New Roman" w:hAnsi="Times New Roman" w:cs="Times New Roman"/>
          <w:sz w:val="24"/>
          <w:szCs w:val="24"/>
        </w:rPr>
        <w:t xml:space="preserve"> </w:t>
      </w:r>
      <w:r w:rsidRPr="00E369D7">
        <w:rPr>
          <w:rFonts w:ascii="Times New Roman" w:hAnsi="Times New Roman" w:cs="Times New Roman"/>
          <w:sz w:val="24"/>
          <w:szCs w:val="24"/>
        </w:rPr>
        <w:t xml:space="preserve">Mackintosh, J. (2019). Finding Meaning in Quantitative Easing. Retrieved 2 December 2020, from </w:t>
      </w:r>
      <w:hyperlink r:id="rId7" w:history="1">
        <w:r w:rsidRPr="001036CB">
          <w:rPr>
            <w:rStyle w:val="Hyperlink"/>
            <w:rFonts w:ascii="Times New Roman" w:hAnsi="Times New Roman" w:cs="Times New Roman"/>
            <w:sz w:val="24"/>
            <w:szCs w:val="24"/>
          </w:rPr>
          <w:t>https://www.wsj.com/articles/finding-meaning-in-quantitative-easing-11570872601</w:t>
        </w:r>
      </w:hyperlink>
      <w:r>
        <w:rPr>
          <w:rFonts w:ascii="Times New Roman" w:hAnsi="Times New Roman" w:cs="Times New Roman"/>
          <w:sz w:val="24"/>
          <w:szCs w:val="24"/>
        </w:rPr>
        <w:t xml:space="preserve"> </w:t>
      </w:r>
    </w:p>
    <w:p w:rsidR="00E369D7" w:rsidRDefault="00E369D7" w:rsidP="00E369D7">
      <w:pPr>
        <w:spacing w:line="480" w:lineRule="auto"/>
        <w:rPr>
          <w:rFonts w:ascii="Times New Roman" w:hAnsi="Times New Roman" w:cs="Times New Roman"/>
          <w:sz w:val="24"/>
          <w:szCs w:val="24"/>
        </w:rPr>
      </w:pPr>
      <w:r w:rsidRPr="00E369D7">
        <w:rPr>
          <w:rFonts w:ascii="Times New Roman" w:hAnsi="Times New Roman" w:cs="Times New Roman"/>
          <w:b/>
          <w:sz w:val="24"/>
          <w:szCs w:val="24"/>
        </w:rPr>
        <w:t>Topic:</w:t>
      </w:r>
      <w:r>
        <w:rPr>
          <w:rFonts w:ascii="Times New Roman" w:hAnsi="Times New Roman" w:cs="Times New Roman"/>
          <w:sz w:val="24"/>
          <w:szCs w:val="24"/>
        </w:rPr>
        <w:t xml:space="preserve"> Quantitative Easing</w:t>
      </w:r>
    </w:p>
    <w:p w:rsidR="00860D0C" w:rsidRPr="00860D0C" w:rsidRDefault="00860D0C" w:rsidP="00860D0C">
      <w:pPr>
        <w:spacing w:line="480" w:lineRule="auto"/>
        <w:ind w:firstLine="720"/>
        <w:jc w:val="both"/>
        <w:rPr>
          <w:rFonts w:ascii="Times New Roman" w:hAnsi="Times New Roman" w:cs="Times New Roman"/>
          <w:sz w:val="24"/>
          <w:szCs w:val="24"/>
        </w:rPr>
      </w:pPr>
      <w:r w:rsidRPr="00860D0C">
        <w:rPr>
          <w:rFonts w:ascii="Times New Roman" w:hAnsi="Times New Roman" w:cs="Times New Roman"/>
          <w:sz w:val="24"/>
          <w:szCs w:val="24"/>
        </w:rPr>
        <w:t xml:space="preserve">The article selected for this week’s work was published in Wall Street Journal in 2019 and was primarily motivated by the author's desire to address the Federal Reserve’s policy decision to buy treasury securities worth USD 60 billion each month and its impact in the context of quantitative easing. Specifically, the author expresses his opinion as to why the Fed’s policy and should not be viewed as a return to the days of quantitative easing but rather as a means to maintain interest rates.  </w:t>
      </w:r>
    </w:p>
    <w:p w:rsidR="00860D0C" w:rsidRPr="00860D0C" w:rsidRDefault="00860D0C" w:rsidP="00860D0C">
      <w:pPr>
        <w:spacing w:line="480" w:lineRule="auto"/>
        <w:ind w:firstLine="720"/>
        <w:jc w:val="both"/>
        <w:rPr>
          <w:rFonts w:ascii="Times New Roman" w:hAnsi="Times New Roman" w:cs="Times New Roman"/>
          <w:sz w:val="24"/>
          <w:szCs w:val="24"/>
        </w:rPr>
      </w:pPr>
      <w:r w:rsidRPr="00860D0C">
        <w:rPr>
          <w:rFonts w:ascii="Times New Roman" w:hAnsi="Times New Roman" w:cs="Times New Roman"/>
          <w:sz w:val="24"/>
          <w:szCs w:val="24"/>
        </w:rPr>
        <w:t xml:space="preserve">The article in essence critically argues that despite being engaged in the purchase of government securities which is primarily an injection of money into the economy by the central bank the action in itself does not meet the definition of quantitative easing. According to the author for a policy to be viewed as quantitative easing the underlying motivation for said policy decision needs to be evaluated and as the fed does not intend to provide additional monetary accommodation its decision does not qualify as a means to complement quantitative easing. </w:t>
      </w:r>
    </w:p>
    <w:p w:rsidR="00E369D7" w:rsidRPr="00E369D7" w:rsidRDefault="00860D0C" w:rsidP="00860D0C">
      <w:pPr>
        <w:spacing w:line="480" w:lineRule="auto"/>
        <w:ind w:firstLine="720"/>
        <w:jc w:val="both"/>
        <w:rPr>
          <w:rFonts w:ascii="Times New Roman" w:hAnsi="Times New Roman" w:cs="Times New Roman"/>
          <w:sz w:val="24"/>
          <w:szCs w:val="24"/>
        </w:rPr>
      </w:pPr>
      <w:r w:rsidRPr="00860D0C">
        <w:rPr>
          <w:rFonts w:ascii="Times New Roman" w:hAnsi="Times New Roman" w:cs="Times New Roman"/>
          <w:sz w:val="24"/>
          <w:szCs w:val="24"/>
        </w:rPr>
        <w:t xml:space="preserve">Specifically, the author argues that before the financial crisis between the years 2002 to 2007 Fed was involved in the purchase of securities to the extent that its reserves increased by more than 25% to USD 790 billion, and this purchase was never viewed as quantitative easing nor was it considered to be inflationary. Hence the current Fed decision should be looked at in the context of overall shrinking Fed treasury reserves which according to the author are no longer at t level which enable the Fed to meet any unforeseen surges in demand as the ones </w:t>
      </w:r>
      <w:r w:rsidRPr="00860D0C">
        <w:rPr>
          <w:rFonts w:ascii="Times New Roman" w:hAnsi="Times New Roman" w:cs="Times New Roman"/>
          <w:sz w:val="24"/>
          <w:szCs w:val="24"/>
        </w:rPr>
        <w:lastRenderedPageBreak/>
        <w:t>which caused overnight lending rates to increase to 10% whereas the Funds rate too increased above the Fed’s target. Hence the author argues that the Fed’s decision to purchase securities should be viewed in the context of reserve building to deal with unforeseen demand pressures.</w:t>
      </w:r>
      <w:bookmarkStart w:id="0" w:name="_GoBack"/>
      <w:bookmarkEnd w:id="0"/>
    </w:p>
    <w:sectPr w:rsidR="00E369D7" w:rsidRPr="00E369D7">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19AA" w:rsidRDefault="00E119AA" w:rsidP="00E369D7">
      <w:pPr>
        <w:spacing w:after="0" w:line="240" w:lineRule="auto"/>
      </w:pPr>
      <w:r>
        <w:separator/>
      </w:r>
    </w:p>
  </w:endnote>
  <w:endnote w:type="continuationSeparator" w:id="0">
    <w:p w:rsidR="00E119AA" w:rsidRDefault="00E119AA" w:rsidP="00E369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4304223"/>
      <w:docPartObj>
        <w:docPartGallery w:val="Page Numbers (Bottom of Page)"/>
        <w:docPartUnique/>
      </w:docPartObj>
    </w:sdtPr>
    <w:sdtEndPr>
      <w:rPr>
        <w:noProof/>
      </w:rPr>
    </w:sdtEndPr>
    <w:sdtContent>
      <w:p w:rsidR="006178C9" w:rsidRDefault="006178C9" w:rsidP="006178C9">
        <w:pPr>
          <w:pStyle w:val="Footer"/>
          <w:pBdr>
            <w:top w:val="single" w:sz="4" w:space="1" w:color="auto"/>
          </w:pBdr>
          <w:jc w:val="right"/>
        </w:pPr>
        <w:r>
          <w:fldChar w:fldCharType="begin"/>
        </w:r>
        <w:r>
          <w:instrText xml:space="preserve"> PAGE   \* MERGEFORMAT </w:instrText>
        </w:r>
        <w:r>
          <w:fldChar w:fldCharType="separate"/>
        </w:r>
        <w:r w:rsidR="00860D0C">
          <w:rPr>
            <w:noProof/>
          </w:rPr>
          <w:t>1</w:t>
        </w:r>
        <w:r>
          <w:rPr>
            <w:noProof/>
          </w:rPr>
          <w:fldChar w:fldCharType="end"/>
        </w:r>
      </w:p>
    </w:sdtContent>
  </w:sdt>
  <w:p w:rsidR="006178C9" w:rsidRDefault="006178C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19AA" w:rsidRDefault="00E119AA" w:rsidP="00E369D7">
      <w:pPr>
        <w:spacing w:after="0" w:line="240" w:lineRule="auto"/>
      </w:pPr>
      <w:r>
        <w:separator/>
      </w:r>
    </w:p>
  </w:footnote>
  <w:footnote w:type="continuationSeparator" w:id="0">
    <w:p w:rsidR="00E119AA" w:rsidRDefault="00E119AA" w:rsidP="00E369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69D7" w:rsidRPr="00E369D7" w:rsidRDefault="00E369D7" w:rsidP="00E369D7">
    <w:pPr>
      <w:pStyle w:val="Header"/>
      <w:pBdr>
        <w:bottom w:val="single" w:sz="4" w:space="1" w:color="auto"/>
      </w:pBdr>
      <w:rPr>
        <w:rFonts w:ascii="Times New Roman" w:hAnsi="Times New Roman" w:cs="Times New Roman"/>
        <w:b/>
        <w:sz w:val="24"/>
        <w:szCs w:val="24"/>
      </w:rPr>
    </w:pPr>
    <w:r w:rsidRPr="00E369D7">
      <w:rPr>
        <w:rFonts w:ascii="Times New Roman" w:hAnsi="Times New Roman" w:cs="Times New Roman"/>
        <w:b/>
        <w:color w:val="202124"/>
        <w:sz w:val="24"/>
        <w:szCs w:val="24"/>
        <w:shd w:val="clear" w:color="auto" w:fill="FFFFFF"/>
      </w:rPr>
      <w:t>QID32122</w:t>
    </w:r>
    <w:r w:rsidRPr="00E369D7">
      <w:rPr>
        <w:rFonts w:ascii="Times New Roman" w:hAnsi="Times New Roman" w:cs="Times New Roman"/>
        <w:b/>
        <w:color w:val="202124"/>
        <w:sz w:val="24"/>
        <w:szCs w:val="24"/>
        <w:shd w:val="clear" w:color="auto" w:fill="FFFFFF"/>
      </w:rPr>
      <w:t xml:space="preserve"> Solution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E18"/>
    <w:rsid w:val="006178C9"/>
    <w:rsid w:val="00860D0C"/>
    <w:rsid w:val="00B07CF2"/>
    <w:rsid w:val="00C10E18"/>
    <w:rsid w:val="00D0080D"/>
    <w:rsid w:val="00E119AA"/>
    <w:rsid w:val="00E369D7"/>
    <w:rsid w:val="00E95F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69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69D7"/>
  </w:style>
  <w:style w:type="paragraph" w:styleId="Footer">
    <w:name w:val="footer"/>
    <w:basedOn w:val="Normal"/>
    <w:link w:val="FooterChar"/>
    <w:uiPriority w:val="99"/>
    <w:unhideWhenUsed/>
    <w:rsid w:val="00E369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69D7"/>
  </w:style>
  <w:style w:type="character" w:styleId="Hyperlink">
    <w:name w:val="Hyperlink"/>
    <w:basedOn w:val="DefaultParagraphFont"/>
    <w:uiPriority w:val="99"/>
    <w:unhideWhenUsed/>
    <w:rsid w:val="00E369D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69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69D7"/>
  </w:style>
  <w:style w:type="paragraph" w:styleId="Footer">
    <w:name w:val="footer"/>
    <w:basedOn w:val="Normal"/>
    <w:link w:val="FooterChar"/>
    <w:uiPriority w:val="99"/>
    <w:unhideWhenUsed/>
    <w:rsid w:val="00E369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69D7"/>
  </w:style>
  <w:style w:type="character" w:styleId="Hyperlink">
    <w:name w:val="Hyperlink"/>
    <w:basedOn w:val="DefaultParagraphFont"/>
    <w:uiPriority w:val="99"/>
    <w:unhideWhenUsed/>
    <w:rsid w:val="00E369D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wsj.com/articles/finding-meaning-in-quantitative-easing-1157087260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330</Words>
  <Characters>1882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2020-12-02T17:46:00Z</dcterms:created>
  <dcterms:modified xsi:type="dcterms:W3CDTF">2020-12-02T18:15:00Z</dcterms:modified>
</cp:coreProperties>
</file>