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3896" w:rsidRDefault="00BF3896" w:rsidP="00C64AA2">
      <w:pPr>
        <w:jc w:val="center"/>
      </w:pPr>
    </w:p>
    <w:p w:rsidR="00BF3896" w:rsidRDefault="00BF3896" w:rsidP="00C64AA2">
      <w:pPr>
        <w:jc w:val="center"/>
      </w:pPr>
    </w:p>
    <w:p w:rsidR="00BF3896" w:rsidRDefault="00BF3896" w:rsidP="00C64AA2">
      <w:pPr>
        <w:jc w:val="center"/>
      </w:pPr>
    </w:p>
    <w:p w:rsidR="00BF3896" w:rsidRDefault="00BF3896" w:rsidP="00C64AA2">
      <w:pPr>
        <w:jc w:val="center"/>
      </w:pPr>
    </w:p>
    <w:p w:rsidR="00BF3896" w:rsidRDefault="00BF3896" w:rsidP="00C64AA2">
      <w:pPr>
        <w:jc w:val="center"/>
      </w:pPr>
    </w:p>
    <w:p w:rsidR="00BF3896" w:rsidRDefault="00BF3896" w:rsidP="00C64AA2">
      <w:pPr>
        <w:jc w:val="center"/>
      </w:pPr>
      <w:r>
        <w:t>Gogos V. AMS</w:t>
      </w:r>
      <w:r w:rsidRPr="00BF3896">
        <w:t xml:space="preserve"> Mechanical Systems</w:t>
      </w:r>
    </w:p>
    <w:p w:rsidR="00BF3896" w:rsidRDefault="00BF3896" w:rsidP="00C64AA2">
      <w:pPr>
        <w:jc w:val="center"/>
      </w:pPr>
      <w:r>
        <w:t>Student</w:t>
      </w:r>
    </w:p>
    <w:p w:rsidR="00BF3896" w:rsidRDefault="00BF3896" w:rsidP="00C64AA2">
      <w:pPr>
        <w:jc w:val="center"/>
      </w:pPr>
      <w:r>
        <w:t>Institution</w:t>
      </w:r>
    </w:p>
    <w:p w:rsidR="00BF3896" w:rsidRDefault="00BF3896" w:rsidP="00C64AA2">
      <w:pPr>
        <w:jc w:val="center"/>
      </w:pPr>
      <w:r>
        <w:t>Class</w:t>
      </w:r>
    </w:p>
    <w:p w:rsidR="00BF3896" w:rsidRDefault="00BF3896" w:rsidP="00C64AA2">
      <w:pPr>
        <w:jc w:val="center"/>
      </w:pPr>
      <w:r>
        <w:t>Professor</w:t>
      </w:r>
    </w:p>
    <w:p w:rsidR="00BF3896" w:rsidRDefault="00BF3896" w:rsidP="00C64AA2">
      <w:pPr>
        <w:jc w:val="center"/>
      </w:pPr>
      <w:r>
        <w:t>Date</w:t>
      </w:r>
    </w:p>
    <w:p w:rsidR="00BF3896" w:rsidRDefault="00BF3896">
      <w:r>
        <w:br w:type="page"/>
      </w:r>
    </w:p>
    <w:p w:rsidR="00B6245A" w:rsidRPr="00221B87" w:rsidRDefault="00065C48" w:rsidP="00C64AA2">
      <w:pPr>
        <w:jc w:val="center"/>
      </w:pPr>
      <w:r w:rsidRPr="00221B87">
        <w:lastRenderedPageBreak/>
        <w:t>GOGOS V. AMS MECHANICAL SYSTEMS</w:t>
      </w:r>
    </w:p>
    <w:p w:rsidR="00F15425" w:rsidRDefault="00221B87" w:rsidP="00C64AA2">
      <w:pPr>
        <w:rPr>
          <w:b/>
        </w:rPr>
      </w:pPr>
      <w:r w:rsidRPr="00221B87">
        <w:rPr>
          <w:b/>
        </w:rPr>
        <w:t>Summary</w:t>
      </w:r>
      <w:r>
        <w:rPr>
          <w:b/>
        </w:rPr>
        <w:t>:</w:t>
      </w:r>
    </w:p>
    <w:p w:rsidR="003B2D01" w:rsidRDefault="003B2D01" w:rsidP="003B2D01">
      <w:pPr>
        <w:ind w:firstLine="720"/>
      </w:pPr>
      <w:r>
        <w:t>This case involves a scenario where Gogos was discriminated against by being fired by his foreman due to health conditions. Gogos, the plaintiff, was suffering from high blood pressure and was dismissed following his episodic health condition. He was an experienced welder for more than 45 years and had served at AMS for more than a month before being fired due to his health condition (Bennett-Alexander, 1998). Gogos claimed that the firing was an adverse employment action following his disability since it came immediately after reporting his health condition. However, the Seventh Circuit overturned the order of the district court granting summary judgment and reviewed EEOC's regulatory language, episodic conditions, mitigating measures, and short term conditions (Bennett-Alexander, 1998).</w:t>
      </w:r>
    </w:p>
    <w:p w:rsidR="006A71FF" w:rsidRPr="006A71FF" w:rsidRDefault="003B2D01" w:rsidP="003B2D01">
      <w:pPr>
        <w:ind w:firstLine="720"/>
      </w:pPr>
      <w:r>
        <w:t>According to Seventh Circuit, the episodic manifestation of the spiking blood pressure and vision loss was an issue that was currently addressed by the ADA and was no big deal even if the plaintiff was suffering (Bennett-Alexander, 1998). Also, short-lasting disabilities can be addressed by ADA, as evident in the appendix all the way to EEOC regulations. The plaintiff's blood pressure spiking and sporadic sightlessness could have adversely affected his normal eyesight and circulatory performance (Bennett-Alexander, 1998). The Seventh Circuit concluded by directing the courts to disregard the plaintiff's spiking blood pressure medication's ameliorative effects.</w:t>
      </w:r>
    </w:p>
    <w:p w:rsidR="00482E47" w:rsidRDefault="00482E47" w:rsidP="00C64AA2">
      <w:pPr>
        <w:rPr>
          <w:b/>
          <w:bCs/>
        </w:rPr>
      </w:pPr>
      <w:r>
        <w:rPr>
          <w:b/>
          <w:bCs/>
        </w:rPr>
        <w:br w:type="page"/>
      </w:r>
    </w:p>
    <w:p w:rsidR="006A71FF" w:rsidRPr="006A71FF" w:rsidRDefault="000934FF" w:rsidP="00C64AA2">
      <w:pPr>
        <w:pStyle w:val="ListParagraph"/>
        <w:keepNext/>
        <w:numPr>
          <w:ilvl w:val="0"/>
          <w:numId w:val="1"/>
        </w:numPr>
      </w:pPr>
      <w:r>
        <w:rPr>
          <w:b/>
          <w:bCs/>
        </w:rPr>
        <w:t xml:space="preserve"> </w:t>
      </w:r>
      <w:r w:rsidR="00923EA7">
        <w:rPr>
          <w:b/>
          <w:bCs/>
        </w:rPr>
        <w:t>“</w:t>
      </w:r>
      <w:r w:rsidR="00E6054F" w:rsidRPr="00E6054F">
        <w:rPr>
          <w:b/>
          <w:bCs/>
        </w:rPr>
        <w:t>Are episodic conditions covered by the ADAAA? Would they have been covered if Gogos had experienced high blood pressure before 2008?</w:t>
      </w:r>
      <w:r w:rsidR="00923EA7">
        <w:rPr>
          <w:b/>
          <w:bCs/>
        </w:rPr>
        <w:t>”</w:t>
      </w:r>
    </w:p>
    <w:p w:rsidR="006A71FF" w:rsidRPr="006A71FF" w:rsidRDefault="00530D63" w:rsidP="00530D63">
      <w:pPr>
        <w:keepNext/>
        <w:ind w:firstLine="720"/>
      </w:pPr>
      <w:r w:rsidRPr="00530D63">
        <w:t>Indeed, the episodic conditions have been covered by the ADAAA. Even if Gogos had experienced high blood pressure before 2008, his conditions would be addressed by the ADA. Gogos was discharged after January 1, 2009, but the 2008 amendments to the ADA widened the coverage of the Act (Bennett-Alexander, 1998). This made the Act apply in the Gogos case. According to the 2008 amendments, any individual with an impairment that limited major life activity was disabled, regardless of whether the impairment was transitory and minor (Bennett-Alexander, 1998). Gogos spiking blood pressure affected his vision, and this would have qualified him for the ADA cover.</w:t>
      </w:r>
    </w:p>
    <w:p w:rsidR="006A71FF" w:rsidRPr="006A71FF" w:rsidRDefault="00923EA7" w:rsidP="00C64AA2">
      <w:pPr>
        <w:pStyle w:val="ListParagraph"/>
        <w:numPr>
          <w:ilvl w:val="0"/>
          <w:numId w:val="1"/>
        </w:numPr>
      </w:pPr>
      <w:r>
        <w:rPr>
          <w:b/>
          <w:bCs/>
        </w:rPr>
        <w:t>“</w:t>
      </w:r>
      <w:r w:rsidR="0091080F" w:rsidRPr="0091080F">
        <w:rPr>
          <w:b/>
          <w:bCs/>
        </w:rPr>
        <w:t>Does it matter whether Gogos’s condition can be treated with medicine? If there is effective treatment available for a disability, is that person still protected under the ADAAA?</w:t>
      </w:r>
      <w:r>
        <w:rPr>
          <w:b/>
          <w:bCs/>
        </w:rPr>
        <w:t>”</w:t>
      </w:r>
    </w:p>
    <w:p w:rsidR="00043D5F" w:rsidRDefault="008C4C11" w:rsidP="008C4C11">
      <w:pPr>
        <w:ind w:firstLine="720"/>
      </w:pPr>
      <w:r w:rsidRPr="008C4C11">
        <w:t>It doesn't matter whether Gogos' condition can be treated with medication or not. Typically, people with disabilities like Gogos should work then take some time off to care for themselves without being dismissed from their job positions. Even in instances where a disabled person acquires effective treatment, he/she is still covered by the ADAAA since such a person is categorized as disabled with or without the medication (Bennett-Alexander, 1998). In situations where a person is not hired due to a post-offer medical examination that reveals a disability, bold reason must be given. The reason must also align with the requirements of the business (Bennett-Alexander, 1998). For instance, if the nature of the disability may make the person face hardship, then the case would be considered. If the post-offer medical examination reveals a disability that poses a significant threat at the workplace, an individual may disqualify from being hired.</w:t>
      </w:r>
      <w:bookmarkStart w:id="0" w:name="_GoBack"/>
      <w:bookmarkEnd w:id="0"/>
    </w:p>
    <w:p w:rsidR="00043D5F" w:rsidRDefault="00043D5F" w:rsidP="00C64AA2">
      <w:pPr>
        <w:jc w:val="center"/>
      </w:pPr>
      <w:r>
        <w:t>Reference</w:t>
      </w:r>
    </w:p>
    <w:p w:rsidR="00043D5F" w:rsidRPr="00114EB0" w:rsidRDefault="00043D5F" w:rsidP="009C0C62">
      <w:pPr>
        <w:ind w:left="720" w:hanging="720"/>
      </w:pPr>
      <w:r w:rsidRPr="00043D5F">
        <w:t>Bennett-Alexander, D. D. (1998). </w:t>
      </w:r>
      <w:r w:rsidRPr="00043D5F">
        <w:rPr>
          <w:i/>
          <w:iCs/>
        </w:rPr>
        <w:t>Employment law for business</w:t>
      </w:r>
      <w:r w:rsidRPr="00043D5F">
        <w:t>. Irwin, McGraw-Hill.</w:t>
      </w:r>
      <w:r>
        <w:t xml:space="preserve"> </w:t>
      </w:r>
    </w:p>
    <w:sectPr w:rsidR="00043D5F" w:rsidRPr="00114EB0" w:rsidSect="006E2EB7">
      <w:headerReference w:type="default" r:id="rId7"/>
      <w:headerReference w:type="firs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16EB8" w:rsidRDefault="00D16EB8" w:rsidP="006E2EB7">
      <w:pPr>
        <w:spacing w:after="0" w:line="240" w:lineRule="auto"/>
      </w:pPr>
      <w:r>
        <w:separator/>
      </w:r>
    </w:p>
  </w:endnote>
  <w:endnote w:type="continuationSeparator" w:id="0">
    <w:p w:rsidR="00D16EB8" w:rsidRDefault="00D16EB8" w:rsidP="006E2E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16EB8" w:rsidRDefault="00D16EB8" w:rsidP="006E2EB7">
      <w:pPr>
        <w:spacing w:after="0" w:line="240" w:lineRule="auto"/>
      </w:pPr>
      <w:r>
        <w:separator/>
      </w:r>
    </w:p>
  </w:footnote>
  <w:footnote w:type="continuationSeparator" w:id="0">
    <w:p w:rsidR="00D16EB8" w:rsidRDefault="00D16EB8" w:rsidP="006E2EB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13375997"/>
      <w:docPartObj>
        <w:docPartGallery w:val="Page Numbers (Top of Page)"/>
        <w:docPartUnique/>
      </w:docPartObj>
    </w:sdtPr>
    <w:sdtEndPr>
      <w:rPr>
        <w:noProof/>
      </w:rPr>
    </w:sdtEndPr>
    <w:sdtContent>
      <w:p w:rsidR="006E2EB7" w:rsidRDefault="006E2EB7">
        <w:pPr>
          <w:pStyle w:val="Header"/>
        </w:pPr>
        <w:r w:rsidRPr="006E2EB7">
          <w:t xml:space="preserve">GOGOS V. AMS MECHANICAL SYSTEMS </w:t>
        </w:r>
        <w:r>
          <w:tab/>
        </w:r>
        <w:r>
          <w:fldChar w:fldCharType="begin"/>
        </w:r>
        <w:r>
          <w:instrText xml:space="preserve"> PAGE   \* MERGEFORMAT </w:instrText>
        </w:r>
        <w:r>
          <w:fldChar w:fldCharType="separate"/>
        </w:r>
        <w:r w:rsidR="008C4C11">
          <w:rPr>
            <w:noProof/>
          </w:rPr>
          <w:t>4</w:t>
        </w:r>
        <w:r>
          <w:rPr>
            <w:noProof/>
          </w:rPr>
          <w:fldChar w:fldCharType="end"/>
        </w:r>
      </w:p>
    </w:sdtContent>
  </w:sdt>
  <w:p w:rsidR="006E2EB7" w:rsidRDefault="006E2EB7">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E2EB7" w:rsidRDefault="006E2EB7">
    <w:pPr>
      <w:pStyle w:val="Header"/>
    </w:pPr>
    <w:r>
      <w:t xml:space="preserve">Running Head: </w:t>
    </w:r>
    <w:r w:rsidRPr="006E2EB7">
      <w:t>GOGOS V. AMS MECHANICAL SYSTEMS</w:t>
    </w:r>
    <w:r>
      <w:tab/>
    </w:r>
    <w:sdt>
      <w:sdtPr>
        <w:id w:val="-2018150400"/>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D16EB8">
          <w:rPr>
            <w:noProof/>
          </w:rPr>
          <w:t>1</w:t>
        </w:r>
        <w:r>
          <w:rPr>
            <w:noProof/>
          </w:rPr>
          <w:fldChar w:fldCharType="end"/>
        </w:r>
      </w:sdtContent>
    </w:sdt>
  </w:p>
  <w:p w:rsidR="006E2EB7" w:rsidRDefault="006E2EB7">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533899"/>
    <w:multiLevelType w:val="hybridMultilevel"/>
    <w:tmpl w:val="3830EBE6"/>
    <w:lvl w:ilvl="0" w:tplc="618EF8D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1E95"/>
    <w:rsid w:val="00022AD1"/>
    <w:rsid w:val="00043D5F"/>
    <w:rsid w:val="00065C48"/>
    <w:rsid w:val="000934FF"/>
    <w:rsid w:val="001049A1"/>
    <w:rsid w:val="001142EE"/>
    <w:rsid w:val="00114EB0"/>
    <w:rsid w:val="00175299"/>
    <w:rsid w:val="001B1BEB"/>
    <w:rsid w:val="001B4B17"/>
    <w:rsid w:val="001C7848"/>
    <w:rsid w:val="001E51BE"/>
    <w:rsid w:val="0020517E"/>
    <w:rsid w:val="00221B87"/>
    <w:rsid w:val="00223B27"/>
    <w:rsid w:val="002B2648"/>
    <w:rsid w:val="002C2B97"/>
    <w:rsid w:val="002D0DF4"/>
    <w:rsid w:val="002E1700"/>
    <w:rsid w:val="00305992"/>
    <w:rsid w:val="00333E49"/>
    <w:rsid w:val="00361E95"/>
    <w:rsid w:val="0038530F"/>
    <w:rsid w:val="003B2D01"/>
    <w:rsid w:val="003C094E"/>
    <w:rsid w:val="003E6A3F"/>
    <w:rsid w:val="003F03D4"/>
    <w:rsid w:val="003F2C29"/>
    <w:rsid w:val="003F313E"/>
    <w:rsid w:val="003F695E"/>
    <w:rsid w:val="00446B4D"/>
    <w:rsid w:val="0047798A"/>
    <w:rsid w:val="00482E47"/>
    <w:rsid w:val="00485293"/>
    <w:rsid w:val="004B40BD"/>
    <w:rsid w:val="005042D4"/>
    <w:rsid w:val="00530D63"/>
    <w:rsid w:val="00540C14"/>
    <w:rsid w:val="005857B2"/>
    <w:rsid w:val="005E32FB"/>
    <w:rsid w:val="005F71F7"/>
    <w:rsid w:val="006723A1"/>
    <w:rsid w:val="006A71FF"/>
    <w:rsid w:val="006C3F7B"/>
    <w:rsid w:val="006E2EB7"/>
    <w:rsid w:val="00784A06"/>
    <w:rsid w:val="007855E8"/>
    <w:rsid w:val="007871ED"/>
    <w:rsid w:val="0082721C"/>
    <w:rsid w:val="00833F8F"/>
    <w:rsid w:val="008C4C11"/>
    <w:rsid w:val="008E0388"/>
    <w:rsid w:val="008F37FE"/>
    <w:rsid w:val="0091080F"/>
    <w:rsid w:val="00923EA7"/>
    <w:rsid w:val="00941062"/>
    <w:rsid w:val="00946E40"/>
    <w:rsid w:val="0095015E"/>
    <w:rsid w:val="009756CC"/>
    <w:rsid w:val="0098013E"/>
    <w:rsid w:val="009C0C62"/>
    <w:rsid w:val="00A553FD"/>
    <w:rsid w:val="00A57186"/>
    <w:rsid w:val="00A979F2"/>
    <w:rsid w:val="00AC0A63"/>
    <w:rsid w:val="00B1111C"/>
    <w:rsid w:val="00B12FB2"/>
    <w:rsid w:val="00B6245A"/>
    <w:rsid w:val="00B81097"/>
    <w:rsid w:val="00BB6D87"/>
    <w:rsid w:val="00BD1114"/>
    <w:rsid w:val="00BF3896"/>
    <w:rsid w:val="00C04B99"/>
    <w:rsid w:val="00C37C83"/>
    <w:rsid w:val="00C64AA2"/>
    <w:rsid w:val="00C91403"/>
    <w:rsid w:val="00CA01F5"/>
    <w:rsid w:val="00CB0BF6"/>
    <w:rsid w:val="00CC1ED5"/>
    <w:rsid w:val="00CC3EBA"/>
    <w:rsid w:val="00D06C56"/>
    <w:rsid w:val="00D16EB8"/>
    <w:rsid w:val="00D6273C"/>
    <w:rsid w:val="00D955FB"/>
    <w:rsid w:val="00DA1E77"/>
    <w:rsid w:val="00DF762E"/>
    <w:rsid w:val="00E1716B"/>
    <w:rsid w:val="00E21654"/>
    <w:rsid w:val="00E244D8"/>
    <w:rsid w:val="00E6054F"/>
    <w:rsid w:val="00E824D7"/>
    <w:rsid w:val="00E87062"/>
    <w:rsid w:val="00E95D35"/>
    <w:rsid w:val="00EB58C7"/>
    <w:rsid w:val="00EC41FC"/>
    <w:rsid w:val="00F007B8"/>
    <w:rsid w:val="00F15425"/>
    <w:rsid w:val="00F31717"/>
    <w:rsid w:val="00F56FD4"/>
    <w:rsid w:val="00F6094B"/>
    <w:rsid w:val="00FA2007"/>
    <w:rsid w:val="00FA7178"/>
    <w:rsid w:val="00FD71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A0EF4E"/>
  <w15:chartTrackingRefBased/>
  <w15:docId w15:val="{80D474FC-7FA1-49A9-A88E-7A78B74379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GB"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054F"/>
    <w:pPr>
      <w:ind w:left="720"/>
      <w:contextualSpacing/>
    </w:pPr>
  </w:style>
  <w:style w:type="paragraph" w:styleId="Header">
    <w:name w:val="header"/>
    <w:basedOn w:val="Normal"/>
    <w:link w:val="HeaderChar"/>
    <w:uiPriority w:val="99"/>
    <w:unhideWhenUsed/>
    <w:rsid w:val="006E2EB7"/>
    <w:pPr>
      <w:tabs>
        <w:tab w:val="center" w:pos="4513"/>
        <w:tab w:val="right" w:pos="9026"/>
      </w:tabs>
      <w:spacing w:after="0" w:line="240" w:lineRule="auto"/>
    </w:pPr>
  </w:style>
  <w:style w:type="character" w:customStyle="1" w:styleId="HeaderChar">
    <w:name w:val="Header Char"/>
    <w:basedOn w:val="DefaultParagraphFont"/>
    <w:link w:val="Header"/>
    <w:uiPriority w:val="99"/>
    <w:rsid w:val="006E2EB7"/>
  </w:style>
  <w:style w:type="paragraph" w:styleId="Footer">
    <w:name w:val="footer"/>
    <w:basedOn w:val="Normal"/>
    <w:link w:val="FooterChar"/>
    <w:uiPriority w:val="99"/>
    <w:unhideWhenUsed/>
    <w:rsid w:val="006E2EB7"/>
    <w:pPr>
      <w:tabs>
        <w:tab w:val="center" w:pos="4513"/>
        <w:tab w:val="right" w:pos="9026"/>
      </w:tabs>
      <w:spacing w:after="0" w:line="240" w:lineRule="auto"/>
    </w:pPr>
  </w:style>
  <w:style w:type="character" w:customStyle="1" w:styleId="FooterChar">
    <w:name w:val="Footer Char"/>
    <w:basedOn w:val="DefaultParagraphFont"/>
    <w:link w:val="Footer"/>
    <w:uiPriority w:val="99"/>
    <w:rsid w:val="006E2E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9944073">
      <w:bodyDiv w:val="1"/>
      <w:marLeft w:val="0"/>
      <w:marRight w:val="0"/>
      <w:marTop w:val="0"/>
      <w:marBottom w:val="0"/>
      <w:divBdr>
        <w:top w:val="none" w:sz="0" w:space="0" w:color="auto"/>
        <w:left w:val="none" w:sz="0" w:space="0" w:color="auto"/>
        <w:bottom w:val="none" w:sz="0" w:space="0" w:color="auto"/>
        <w:right w:val="none" w:sz="0" w:space="0" w:color="auto"/>
      </w:divBdr>
    </w:div>
    <w:div w:id="1000934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170</TotalTime>
  <Pages>4</Pages>
  <Words>539</Words>
  <Characters>3076</Characters>
  <Application>Microsoft Office Word</Application>
  <DocSecurity>0</DocSecurity>
  <Lines>25</Lines>
  <Paragraphs>7</Paragraphs>
  <ScaleCrop>false</ScaleCrop>
  <Company/>
  <LinksUpToDate>false</LinksUpToDate>
  <CharactersWithSpaces>3608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sammy molla</dc:creator>
  <cp:keywords/>
  <dc:description/>
  <cp:lastModifiedBy>sammy molla</cp:lastModifiedBy>
  <cp:revision>102</cp:revision>
  <dcterms:created xsi:type="dcterms:W3CDTF">2020-11-15T04:49:00Z</dcterms:created>
  <dcterms:modified xsi:type="dcterms:W3CDTF">2020-11-15T07:45:00Z</dcterms:modified>
</cp:coreProperties>
</file>