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6C6C1" w14:textId="082034DF" w:rsidR="00086EE7" w:rsidRPr="00900527" w:rsidRDefault="00086EE7" w:rsidP="00900527">
      <w:pPr>
        <w:spacing w:after="0" w:line="480" w:lineRule="auto"/>
        <w:jc w:val="center"/>
        <w:rPr>
          <w:rFonts w:ascii="Times New Roman" w:hAnsi="Times New Roman" w:cs="Times New Roman"/>
          <w:b/>
          <w:bCs/>
          <w:sz w:val="24"/>
          <w:szCs w:val="24"/>
        </w:rPr>
      </w:pPr>
      <w:r w:rsidRPr="00900527">
        <w:rPr>
          <w:rFonts w:ascii="Times New Roman" w:hAnsi="Times New Roman" w:cs="Times New Roman"/>
          <w:b/>
          <w:bCs/>
          <w:sz w:val="24"/>
          <w:szCs w:val="24"/>
        </w:rPr>
        <w:t>Introduction</w:t>
      </w:r>
    </w:p>
    <w:p w14:paraId="09291158" w14:textId="36F63F08" w:rsidR="000661FE" w:rsidRPr="00900527" w:rsidRDefault="000661FE" w:rsidP="00900527">
      <w:pPr>
        <w:spacing w:after="0" w:line="480" w:lineRule="auto"/>
        <w:ind w:firstLine="720"/>
        <w:rPr>
          <w:rFonts w:ascii="Times New Roman" w:hAnsi="Times New Roman" w:cs="Times New Roman"/>
          <w:color w:val="4D5156"/>
          <w:sz w:val="24"/>
          <w:szCs w:val="24"/>
          <w:shd w:val="clear" w:color="auto" w:fill="FFFFFF"/>
        </w:rPr>
      </w:pPr>
      <w:r w:rsidRPr="00900527">
        <w:rPr>
          <w:rFonts w:ascii="Times New Roman" w:hAnsi="Times New Roman" w:cs="Times New Roman"/>
          <w:sz w:val="24"/>
          <w:szCs w:val="24"/>
        </w:rPr>
        <w:t>The International Accounting Standard Board (IASB), established in 2001 as a successor of the International Accounting Standard Committee (IASC), engages in developing and approving international accounting and reporting standards called International Accounting Standards (IASs) and International Financial Reporting Standards (IFRSs)</w:t>
      </w:r>
      <w:sdt>
        <w:sdtPr>
          <w:rPr>
            <w:rFonts w:ascii="Times New Roman" w:hAnsi="Times New Roman" w:cs="Times New Roman"/>
            <w:sz w:val="24"/>
            <w:szCs w:val="24"/>
          </w:rPr>
          <w:id w:val="-78985947"/>
          <w:citation/>
        </w:sdtPr>
        <w:sdtEndPr/>
        <w:sdtContent>
          <w:r w:rsidR="005605FE" w:rsidRPr="00900527">
            <w:rPr>
              <w:rFonts w:ascii="Times New Roman" w:hAnsi="Times New Roman" w:cs="Times New Roman"/>
              <w:sz w:val="24"/>
              <w:szCs w:val="24"/>
            </w:rPr>
            <w:fldChar w:fldCharType="begin"/>
          </w:r>
          <w:r w:rsidR="005605FE" w:rsidRPr="00900527">
            <w:rPr>
              <w:rFonts w:ascii="Times New Roman" w:hAnsi="Times New Roman" w:cs="Times New Roman"/>
              <w:sz w:val="24"/>
              <w:szCs w:val="24"/>
            </w:rPr>
            <w:instrText xml:space="preserve"> CITATION Ann17 \l 1033 </w:instrText>
          </w:r>
          <w:r w:rsidR="005605FE" w:rsidRPr="00900527">
            <w:rPr>
              <w:rFonts w:ascii="Times New Roman" w:hAnsi="Times New Roman" w:cs="Times New Roman"/>
              <w:sz w:val="24"/>
              <w:szCs w:val="24"/>
            </w:rPr>
            <w:fldChar w:fldCharType="separate"/>
          </w:r>
          <w:r w:rsidR="005605FE" w:rsidRPr="00900527">
            <w:rPr>
              <w:rFonts w:ascii="Times New Roman" w:hAnsi="Times New Roman" w:cs="Times New Roman"/>
              <w:noProof/>
              <w:sz w:val="24"/>
              <w:szCs w:val="24"/>
            </w:rPr>
            <w:t xml:space="preserve"> (Britton, Alexander, Jorissen, Hoogendoorn, &amp; Mourik, 2017)</w:t>
          </w:r>
          <w:r w:rsidR="005605FE" w:rsidRPr="00900527">
            <w:rPr>
              <w:rFonts w:ascii="Times New Roman" w:hAnsi="Times New Roman" w:cs="Times New Roman"/>
              <w:sz w:val="24"/>
              <w:szCs w:val="24"/>
            </w:rPr>
            <w:fldChar w:fldCharType="end"/>
          </w:r>
        </w:sdtContent>
      </w:sdt>
      <w:r w:rsidRPr="00900527">
        <w:rPr>
          <w:rFonts w:ascii="Times New Roman" w:hAnsi="Times New Roman" w:cs="Times New Roman"/>
          <w:sz w:val="24"/>
          <w:szCs w:val="24"/>
        </w:rPr>
        <w:t>.</w:t>
      </w:r>
      <w:r w:rsidR="007C7097" w:rsidRPr="00900527">
        <w:rPr>
          <w:rFonts w:ascii="Times New Roman" w:hAnsi="Times New Roman" w:cs="Times New Roman"/>
          <w:sz w:val="24"/>
          <w:szCs w:val="24"/>
        </w:rPr>
        <w:t xml:space="preserve"> The IASs and IFRSs are set of principles that guide the preparation and presentation of financial statements by business organizations. </w:t>
      </w:r>
      <w:r w:rsidRPr="00900527">
        <w:rPr>
          <w:rFonts w:ascii="Times New Roman" w:hAnsi="Times New Roman" w:cs="Times New Roman"/>
          <w:sz w:val="24"/>
          <w:szCs w:val="24"/>
        </w:rPr>
        <w:t>These standards are created to establish a common language for interpreting the financial statements of companies. Currently, about 120 countries have adopted financial and reporting standards prescribed by IASB for external business organizations’ external reporting purposes. These help to maintain credibility and transparency in the financial reporting and enable users of financial reports in making informed economic decisions</w:t>
      </w:r>
      <w:sdt>
        <w:sdtPr>
          <w:rPr>
            <w:rFonts w:ascii="Times New Roman" w:hAnsi="Times New Roman" w:cs="Times New Roman"/>
            <w:sz w:val="24"/>
            <w:szCs w:val="24"/>
          </w:rPr>
          <w:id w:val="1096836269"/>
          <w:citation/>
        </w:sdtPr>
        <w:sdtEndPr/>
        <w:sdtContent>
          <w:r w:rsidR="005605FE" w:rsidRPr="00900527">
            <w:rPr>
              <w:rFonts w:ascii="Times New Roman" w:hAnsi="Times New Roman" w:cs="Times New Roman"/>
              <w:sz w:val="24"/>
              <w:szCs w:val="24"/>
            </w:rPr>
            <w:fldChar w:fldCharType="begin"/>
          </w:r>
          <w:r w:rsidR="005605FE" w:rsidRPr="00900527">
            <w:rPr>
              <w:rFonts w:ascii="Times New Roman" w:hAnsi="Times New Roman" w:cs="Times New Roman"/>
              <w:sz w:val="24"/>
              <w:szCs w:val="24"/>
            </w:rPr>
            <w:instrText xml:space="preserve"> CITATION Ann17 \l 1033 </w:instrText>
          </w:r>
          <w:r w:rsidR="005605FE" w:rsidRPr="00900527">
            <w:rPr>
              <w:rFonts w:ascii="Times New Roman" w:hAnsi="Times New Roman" w:cs="Times New Roman"/>
              <w:sz w:val="24"/>
              <w:szCs w:val="24"/>
            </w:rPr>
            <w:fldChar w:fldCharType="separate"/>
          </w:r>
          <w:r w:rsidR="005605FE" w:rsidRPr="00900527">
            <w:rPr>
              <w:rFonts w:ascii="Times New Roman" w:hAnsi="Times New Roman" w:cs="Times New Roman"/>
              <w:noProof/>
              <w:sz w:val="24"/>
              <w:szCs w:val="24"/>
            </w:rPr>
            <w:t xml:space="preserve"> (Britton, Alexander, Jorissen, Hoogendoorn, &amp; Mourik, 2017)</w:t>
          </w:r>
          <w:r w:rsidR="005605FE" w:rsidRPr="00900527">
            <w:rPr>
              <w:rFonts w:ascii="Times New Roman" w:hAnsi="Times New Roman" w:cs="Times New Roman"/>
              <w:sz w:val="24"/>
              <w:szCs w:val="24"/>
            </w:rPr>
            <w:fldChar w:fldCharType="end"/>
          </w:r>
        </w:sdtContent>
      </w:sdt>
      <w:r w:rsidRPr="00900527">
        <w:rPr>
          <w:rFonts w:ascii="Times New Roman" w:hAnsi="Times New Roman" w:cs="Times New Roman"/>
          <w:sz w:val="24"/>
          <w:szCs w:val="24"/>
        </w:rPr>
        <w:t>. The IASB reviews applicability and suitability of existing standards in the current business environment and circumstance</w:t>
      </w:r>
      <w:r w:rsidR="007305F2" w:rsidRPr="00900527">
        <w:rPr>
          <w:rFonts w:ascii="Times New Roman" w:hAnsi="Times New Roman" w:cs="Times New Roman"/>
          <w:sz w:val="24"/>
          <w:szCs w:val="24"/>
        </w:rPr>
        <w:t>s</w:t>
      </w:r>
      <w:r w:rsidRPr="00900527">
        <w:rPr>
          <w:rFonts w:ascii="Times New Roman" w:hAnsi="Times New Roman" w:cs="Times New Roman"/>
          <w:sz w:val="24"/>
          <w:szCs w:val="24"/>
        </w:rPr>
        <w:t>, and release updated or new versions of standard</w:t>
      </w:r>
      <w:sdt>
        <w:sdtPr>
          <w:rPr>
            <w:rFonts w:ascii="Times New Roman" w:hAnsi="Times New Roman" w:cs="Times New Roman"/>
            <w:sz w:val="24"/>
            <w:szCs w:val="24"/>
          </w:rPr>
          <w:id w:val="793406631"/>
          <w:citation/>
        </w:sdtPr>
        <w:sdtEndPr/>
        <w:sdtContent>
          <w:r w:rsidR="00030EC0" w:rsidRPr="00900527">
            <w:rPr>
              <w:rFonts w:ascii="Times New Roman" w:hAnsi="Times New Roman" w:cs="Times New Roman"/>
              <w:sz w:val="24"/>
              <w:szCs w:val="24"/>
            </w:rPr>
            <w:fldChar w:fldCharType="begin"/>
          </w:r>
          <w:r w:rsidR="00030EC0" w:rsidRPr="00900527">
            <w:rPr>
              <w:rFonts w:ascii="Times New Roman" w:hAnsi="Times New Roman" w:cs="Times New Roman"/>
              <w:sz w:val="24"/>
              <w:szCs w:val="24"/>
            </w:rPr>
            <w:instrText xml:space="preserve"> CITATION Ala19 \l 1033 </w:instrText>
          </w:r>
          <w:r w:rsidR="00030EC0" w:rsidRPr="00900527">
            <w:rPr>
              <w:rFonts w:ascii="Times New Roman" w:hAnsi="Times New Roman" w:cs="Times New Roman"/>
              <w:sz w:val="24"/>
              <w:szCs w:val="24"/>
            </w:rPr>
            <w:fldChar w:fldCharType="separate"/>
          </w:r>
          <w:r w:rsidR="00030EC0" w:rsidRPr="00900527">
            <w:rPr>
              <w:rFonts w:ascii="Times New Roman" w:hAnsi="Times New Roman" w:cs="Times New Roman"/>
              <w:noProof/>
              <w:sz w:val="24"/>
              <w:szCs w:val="24"/>
            </w:rPr>
            <w:t xml:space="preserve"> (Melville, 2019)</w:t>
          </w:r>
          <w:r w:rsidR="00030EC0" w:rsidRPr="00900527">
            <w:rPr>
              <w:rFonts w:ascii="Times New Roman" w:hAnsi="Times New Roman" w:cs="Times New Roman"/>
              <w:sz w:val="24"/>
              <w:szCs w:val="24"/>
            </w:rPr>
            <w:fldChar w:fldCharType="end"/>
          </w:r>
        </w:sdtContent>
      </w:sdt>
      <w:r w:rsidRPr="00900527">
        <w:rPr>
          <w:rFonts w:ascii="Times New Roman" w:hAnsi="Times New Roman" w:cs="Times New Roman"/>
          <w:sz w:val="24"/>
          <w:szCs w:val="24"/>
        </w:rPr>
        <w:t xml:space="preserve">. This paper aims to review the changes in IASs and IFRSs that occurred within the last year </w:t>
      </w:r>
      <w:r w:rsidR="00030EC0" w:rsidRPr="00900527">
        <w:rPr>
          <w:rFonts w:ascii="Times New Roman" w:hAnsi="Times New Roman" w:cs="Times New Roman"/>
          <w:sz w:val="24"/>
          <w:szCs w:val="24"/>
        </w:rPr>
        <w:t xml:space="preserve">(12 Months) </w:t>
      </w:r>
      <w:r w:rsidR="003F1785">
        <w:rPr>
          <w:rFonts w:ascii="Times New Roman" w:hAnsi="Times New Roman" w:cs="Times New Roman"/>
          <w:sz w:val="24"/>
          <w:szCs w:val="24"/>
        </w:rPr>
        <w:t xml:space="preserve">along with pending changes through exposure draft, </w:t>
      </w:r>
      <w:r w:rsidRPr="00900527">
        <w:rPr>
          <w:rFonts w:ascii="Times New Roman" w:hAnsi="Times New Roman" w:cs="Times New Roman"/>
          <w:sz w:val="24"/>
          <w:szCs w:val="24"/>
        </w:rPr>
        <w:t xml:space="preserve">and discuss the impact of these changes </w:t>
      </w:r>
      <w:r w:rsidR="00050565">
        <w:rPr>
          <w:rFonts w:ascii="Times New Roman" w:hAnsi="Times New Roman" w:cs="Times New Roman"/>
          <w:sz w:val="24"/>
          <w:szCs w:val="24"/>
        </w:rPr>
        <w:t>on</w:t>
      </w:r>
      <w:r w:rsidRPr="00900527">
        <w:rPr>
          <w:rFonts w:ascii="Times New Roman" w:hAnsi="Times New Roman" w:cs="Times New Roman"/>
          <w:sz w:val="24"/>
          <w:szCs w:val="24"/>
        </w:rPr>
        <w:t xml:space="preserve"> business organizations.</w:t>
      </w:r>
      <w:r w:rsidRPr="00900527">
        <w:rPr>
          <w:rFonts w:ascii="Times New Roman" w:hAnsi="Times New Roman" w:cs="Times New Roman"/>
          <w:color w:val="4D5156"/>
          <w:sz w:val="24"/>
          <w:szCs w:val="24"/>
          <w:shd w:val="clear" w:color="auto" w:fill="FFFFFF"/>
        </w:rPr>
        <w:t xml:space="preserve">  </w:t>
      </w:r>
    </w:p>
    <w:p w14:paraId="16C66420" w14:textId="131AB905" w:rsidR="00030EC0" w:rsidRDefault="00030EC0" w:rsidP="00900527">
      <w:pPr>
        <w:spacing w:after="0" w:line="480" w:lineRule="auto"/>
        <w:jc w:val="center"/>
        <w:rPr>
          <w:rFonts w:ascii="Times New Roman" w:hAnsi="Times New Roman" w:cs="Times New Roman"/>
          <w:b/>
          <w:bCs/>
          <w:sz w:val="24"/>
          <w:szCs w:val="24"/>
        </w:rPr>
      </w:pPr>
      <w:r w:rsidRPr="00900527">
        <w:rPr>
          <w:rFonts w:ascii="Times New Roman" w:hAnsi="Times New Roman" w:cs="Times New Roman"/>
          <w:b/>
          <w:bCs/>
          <w:sz w:val="24"/>
          <w:szCs w:val="24"/>
        </w:rPr>
        <w:t>Changes in IASs and IFRSs within Last 12 Months</w:t>
      </w:r>
    </w:p>
    <w:p w14:paraId="0338BA21" w14:textId="646C3F0E" w:rsidR="00900527" w:rsidRDefault="003E5C53" w:rsidP="0005056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Over last 12 months, IASB didn’t implement any change or introduce no new accounting standards for reporting standards. But it has published many Exposure Draft (ED) through which proposed changes to standards are communicated to market and comments from market participants (accounting experts, professional accountants, big-accounting firms, academicians, companies etc.) are sought out. Important c</w:t>
      </w:r>
      <w:r w:rsidR="00900527" w:rsidRPr="00050565">
        <w:rPr>
          <w:rFonts w:ascii="Times New Roman" w:hAnsi="Times New Roman" w:cs="Times New Roman"/>
          <w:sz w:val="24"/>
          <w:szCs w:val="24"/>
        </w:rPr>
        <w:t xml:space="preserve">hanges </w:t>
      </w:r>
      <w:r>
        <w:rPr>
          <w:rFonts w:ascii="Times New Roman" w:hAnsi="Times New Roman" w:cs="Times New Roman"/>
          <w:sz w:val="24"/>
          <w:szCs w:val="24"/>
        </w:rPr>
        <w:t xml:space="preserve">to some existing accounting standards </w:t>
      </w:r>
      <w:r w:rsidR="00900527" w:rsidRPr="00050565">
        <w:rPr>
          <w:rFonts w:ascii="Times New Roman" w:hAnsi="Times New Roman" w:cs="Times New Roman"/>
          <w:sz w:val="24"/>
          <w:szCs w:val="24"/>
        </w:rPr>
        <w:t>made</w:t>
      </w:r>
      <w:r>
        <w:rPr>
          <w:rFonts w:ascii="Times New Roman" w:hAnsi="Times New Roman" w:cs="Times New Roman"/>
          <w:sz w:val="24"/>
          <w:szCs w:val="24"/>
        </w:rPr>
        <w:t xml:space="preserve"> </w:t>
      </w:r>
      <w:r>
        <w:rPr>
          <w:rFonts w:ascii="Times New Roman" w:hAnsi="Times New Roman" w:cs="Times New Roman"/>
          <w:sz w:val="24"/>
          <w:szCs w:val="24"/>
        </w:rPr>
        <w:lastRenderedPageBreak/>
        <w:t>through ED</w:t>
      </w:r>
      <w:r w:rsidR="00900527" w:rsidRPr="00050565">
        <w:rPr>
          <w:rFonts w:ascii="Times New Roman" w:hAnsi="Times New Roman" w:cs="Times New Roman"/>
          <w:sz w:val="24"/>
          <w:szCs w:val="24"/>
        </w:rPr>
        <w:t xml:space="preserve"> by during last 12 months </w:t>
      </w:r>
      <w:r w:rsidR="00050565">
        <w:rPr>
          <w:rFonts w:ascii="Times New Roman" w:hAnsi="Times New Roman" w:cs="Times New Roman"/>
          <w:sz w:val="24"/>
          <w:szCs w:val="24"/>
        </w:rPr>
        <w:t xml:space="preserve">and impact of these changes on business organizations </w:t>
      </w:r>
      <w:r w:rsidR="00900527" w:rsidRPr="00050565">
        <w:rPr>
          <w:rFonts w:ascii="Times New Roman" w:hAnsi="Times New Roman" w:cs="Times New Roman"/>
          <w:sz w:val="24"/>
          <w:szCs w:val="24"/>
        </w:rPr>
        <w:t xml:space="preserve">are highlighted </w:t>
      </w:r>
      <w:r w:rsidR="00050565" w:rsidRPr="00050565">
        <w:rPr>
          <w:rFonts w:ascii="Times New Roman" w:hAnsi="Times New Roman" w:cs="Times New Roman"/>
          <w:sz w:val="24"/>
          <w:szCs w:val="24"/>
        </w:rPr>
        <w:t xml:space="preserve">below. </w:t>
      </w:r>
    </w:p>
    <w:tbl>
      <w:tblPr>
        <w:tblStyle w:val="TableGrid"/>
        <w:tblW w:w="0" w:type="auto"/>
        <w:tblLook w:val="04A0" w:firstRow="1" w:lastRow="0" w:firstColumn="1" w:lastColumn="0" w:noHBand="0" w:noVBand="1"/>
      </w:tblPr>
      <w:tblGrid>
        <w:gridCol w:w="713"/>
        <w:gridCol w:w="4291"/>
        <w:gridCol w:w="1216"/>
        <w:gridCol w:w="3130"/>
      </w:tblGrid>
      <w:tr w:rsidR="00050565" w:rsidRPr="00F42B51" w14:paraId="3149F392" w14:textId="77777777" w:rsidTr="003E5C53">
        <w:trPr>
          <w:trHeight w:val="206"/>
        </w:trPr>
        <w:tc>
          <w:tcPr>
            <w:tcW w:w="713" w:type="dxa"/>
            <w:shd w:val="clear" w:color="auto" w:fill="DEEAF6" w:themeFill="accent5" w:themeFillTint="33"/>
            <w:vAlign w:val="center"/>
          </w:tcPr>
          <w:p w14:paraId="16D25535" w14:textId="3B4BEDA0" w:rsidR="00050565" w:rsidRPr="00F42B51" w:rsidRDefault="00050565" w:rsidP="005E252C">
            <w:pPr>
              <w:jc w:val="center"/>
              <w:rPr>
                <w:rFonts w:ascii="Times New Roman" w:hAnsi="Times New Roman" w:cs="Times New Roman"/>
                <w:b/>
                <w:bCs/>
                <w:sz w:val="24"/>
                <w:szCs w:val="24"/>
              </w:rPr>
            </w:pPr>
            <w:r w:rsidRPr="00F42B51">
              <w:rPr>
                <w:rFonts w:ascii="Times New Roman" w:hAnsi="Times New Roman" w:cs="Times New Roman"/>
                <w:b/>
                <w:bCs/>
                <w:sz w:val="24"/>
                <w:szCs w:val="24"/>
              </w:rPr>
              <w:t>No.</w:t>
            </w:r>
          </w:p>
        </w:tc>
        <w:tc>
          <w:tcPr>
            <w:tcW w:w="4291" w:type="dxa"/>
            <w:shd w:val="clear" w:color="auto" w:fill="DEEAF6" w:themeFill="accent5" w:themeFillTint="33"/>
            <w:vAlign w:val="center"/>
          </w:tcPr>
          <w:p w14:paraId="1E1B9E9C" w14:textId="78D2DE19" w:rsidR="00050565" w:rsidRPr="00F42B51" w:rsidRDefault="00050565" w:rsidP="005E252C">
            <w:pPr>
              <w:jc w:val="center"/>
              <w:rPr>
                <w:rFonts w:ascii="Times New Roman" w:hAnsi="Times New Roman" w:cs="Times New Roman"/>
                <w:b/>
                <w:bCs/>
                <w:sz w:val="24"/>
                <w:szCs w:val="24"/>
              </w:rPr>
            </w:pPr>
            <w:r w:rsidRPr="00F42B51">
              <w:rPr>
                <w:rFonts w:ascii="Times New Roman" w:hAnsi="Times New Roman" w:cs="Times New Roman"/>
                <w:b/>
                <w:bCs/>
                <w:sz w:val="24"/>
                <w:szCs w:val="24"/>
              </w:rPr>
              <w:t>Particulars of Change</w:t>
            </w:r>
          </w:p>
        </w:tc>
        <w:tc>
          <w:tcPr>
            <w:tcW w:w="1216" w:type="dxa"/>
            <w:shd w:val="clear" w:color="auto" w:fill="DEEAF6" w:themeFill="accent5" w:themeFillTint="33"/>
            <w:vAlign w:val="center"/>
          </w:tcPr>
          <w:p w14:paraId="24A07DAC" w14:textId="6624F496" w:rsidR="00050565" w:rsidRPr="00F42B51" w:rsidRDefault="00050565" w:rsidP="005E252C">
            <w:pPr>
              <w:jc w:val="center"/>
              <w:rPr>
                <w:rFonts w:ascii="Times New Roman" w:hAnsi="Times New Roman" w:cs="Times New Roman"/>
                <w:b/>
                <w:bCs/>
                <w:sz w:val="24"/>
                <w:szCs w:val="24"/>
              </w:rPr>
            </w:pPr>
            <w:r w:rsidRPr="00F42B51">
              <w:rPr>
                <w:rFonts w:ascii="Times New Roman" w:hAnsi="Times New Roman" w:cs="Times New Roman"/>
                <w:b/>
                <w:bCs/>
                <w:sz w:val="24"/>
                <w:szCs w:val="24"/>
              </w:rPr>
              <w:t>Effective Time</w:t>
            </w:r>
          </w:p>
        </w:tc>
        <w:tc>
          <w:tcPr>
            <w:tcW w:w="3130" w:type="dxa"/>
            <w:shd w:val="clear" w:color="auto" w:fill="DEEAF6" w:themeFill="accent5" w:themeFillTint="33"/>
            <w:vAlign w:val="center"/>
          </w:tcPr>
          <w:p w14:paraId="3C01EF66" w14:textId="4C9F4B5C" w:rsidR="00050565" w:rsidRPr="00F42B51" w:rsidRDefault="00050565" w:rsidP="005E252C">
            <w:pPr>
              <w:jc w:val="center"/>
              <w:rPr>
                <w:rFonts w:ascii="Times New Roman" w:hAnsi="Times New Roman" w:cs="Times New Roman"/>
                <w:b/>
                <w:bCs/>
                <w:sz w:val="24"/>
                <w:szCs w:val="24"/>
              </w:rPr>
            </w:pPr>
            <w:r w:rsidRPr="00F42B51">
              <w:rPr>
                <w:rFonts w:ascii="Times New Roman" w:hAnsi="Times New Roman" w:cs="Times New Roman"/>
                <w:b/>
                <w:bCs/>
                <w:sz w:val="24"/>
                <w:szCs w:val="24"/>
              </w:rPr>
              <w:t>Impact of Change</w:t>
            </w:r>
          </w:p>
        </w:tc>
      </w:tr>
      <w:tr w:rsidR="00050565" w:rsidRPr="00F42B51" w14:paraId="58E1EEC9" w14:textId="77777777" w:rsidTr="003F6DC1">
        <w:tc>
          <w:tcPr>
            <w:tcW w:w="713" w:type="dxa"/>
          </w:tcPr>
          <w:p w14:paraId="6EE4774C" w14:textId="0A934157" w:rsidR="00050565" w:rsidRPr="00F42B51" w:rsidRDefault="003F6DC1" w:rsidP="00F42B51">
            <w:pPr>
              <w:spacing w:line="48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291" w:type="dxa"/>
          </w:tcPr>
          <w:p w14:paraId="362D5808" w14:textId="04C24A16" w:rsidR="003F1785" w:rsidRPr="00F42B51" w:rsidRDefault="003F1785" w:rsidP="00F42B51">
            <w:pPr>
              <w:spacing w:line="480" w:lineRule="auto"/>
              <w:rPr>
                <w:rFonts w:ascii="Times New Roman" w:hAnsi="Times New Roman" w:cs="Times New Roman"/>
                <w:sz w:val="24"/>
                <w:szCs w:val="24"/>
              </w:rPr>
            </w:pPr>
            <w:r w:rsidRPr="00F42B51">
              <w:rPr>
                <w:rFonts w:ascii="Times New Roman" w:hAnsi="Times New Roman" w:cs="Times New Roman"/>
                <w:sz w:val="24"/>
                <w:szCs w:val="24"/>
              </w:rPr>
              <w:t xml:space="preserve">Classification of Liabilities as current liabilities or non-current liabilities – Deferral of Effective Date </w:t>
            </w:r>
            <w:r w:rsidRPr="003E5C53">
              <w:rPr>
                <w:rFonts w:ascii="Times New Roman" w:hAnsi="Times New Roman" w:cs="Times New Roman"/>
                <w:b/>
                <w:bCs/>
                <w:sz w:val="24"/>
                <w:szCs w:val="24"/>
              </w:rPr>
              <w:t>[E</w:t>
            </w:r>
            <w:r w:rsidR="003E5C53" w:rsidRPr="003E5C53">
              <w:rPr>
                <w:rFonts w:ascii="Times New Roman" w:hAnsi="Times New Roman" w:cs="Times New Roman"/>
                <w:b/>
                <w:bCs/>
                <w:sz w:val="24"/>
                <w:szCs w:val="24"/>
              </w:rPr>
              <w:t>D</w:t>
            </w:r>
            <w:r w:rsidRPr="003E5C53">
              <w:rPr>
                <w:rFonts w:ascii="Times New Roman" w:hAnsi="Times New Roman" w:cs="Times New Roman"/>
                <w:b/>
                <w:bCs/>
                <w:sz w:val="24"/>
                <w:szCs w:val="24"/>
              </w:rPr>
              <w:t>]</w:t>
            </w:r>
            <w:r w:rsidRPr="00F42B51">
              <w:rPr>
                <w:rFonts w:ascii="Times New Roman" w:hAnsi="Times New Roman" w:cs="Times New Roman"/>
                <w:sz w:val="24"/>
                <w:szCs w:val="24"/>
              </w:rPr>
              <w:t xml:space="preserve">: A liability with respect to an existing loan facility can be treated as non-current liability is reporting entity expects or has a discretion to refinance or rollover the contract for </w:t>
            </w:r>
            <w:r w:rsidR="00F13F01" w:rsidRPr="00F42B51">
              <w:rPr>
                <w:rFonts w:ascii="Times New Roman" w:hAnsi="Times New Roman" w:cs="Times New Roman"/>
                <w:sz w:val="24"/>
                <w:szCs w:val="24"/>
              </w:rPr>
              <w:t>at least more than one year after reporting date</w:t>
            </w:r>
            <w:sdt>
              <w:sdtPr>
                <w:rPr>
                  <w:rFonts w:ascii="Times New Roman" w:hAnsi="Times New Roman" w:cs="Times New Roman"/>
                  <w:sz w:val="24"/>
                  <w:szCs w:val="24"/>
                </w:rPr>
                <w:id w:val="-827668434"/>
                <w:citation/>
              </w:sdtPr>
              <w:sdtContent>
                <w:r w:rsidR="00022A55">
                  <w:rPr>
                    <w:rFonts w:ascii="Times New Roman" w:hAnsi="Times New Roman" w:cs="Times New Roman"/>
                    <w:sz w:val="24"/>
                    <w:szCs w:val="24"/>
                  </w:rPr>
                  <w:fldChar w:fldCharType="begin"/>
                </w:r>
                <w:r w:rsidR="00022A55">
                  <w:rPr>
                    <w:rFonts w:ascii="Times New Roman" w:hAnsi="Times New Roman" w:cs="Times New Roman"/>
                    <w:sz w:val="24"/>
                    <w:szCs w:val="24"/>
                  </w:rPr>
                  <w:instrText xml:space="preserve"> CITATION IAS20 \l 1033 </w:instrText>
                </w:r>
                <w:r w:rsidR="00022A55">
                  <w:rPr>
                    <w:rFonts w:ascii="Times New Roman" w:hAnsi="Times New Roman" w:cs="Times New Roman"/>
                    <w:sz w:val="24"/>
                    <w:szCs w:val="24"/>
                  </w:rPr>
                  <w:fldChar w:fldCharType="separate"/>
                </w:r>
                <w:r w:rsidR="00022A55">
                  <w:rPr>
                    <w:rFonts w:ascii="Times New Roman" w:hAnsi="Times New Roman" w:cs="Times New Roman"/>
                    <w:noProof/>
                    <w:sz w:val="24"/>
                    <w:szCs w:val="24"/>
                  </w:rPr>
                  <w:t xml:space="preserve"> </w:t>
                </w:r>
                <w:r w:rsidR="00022A55" w:rsidRPr="00022A55">
                  <w:rPr>
                    <w:rFonts w:ascii="Times New Roman" w:hAnsi="Times New Roman" w:cs="Times New Roman"/>
                    <w:noProof/>
                    <w:sz w:val="24"/>
                    <w:szCs w:val="24"/>
                  </w:rPr>
                  <w:t>(IASB, 2020)</w:t>
                </w:r>
                <w:r w:rsidR="00022A55">
                  <w:rPr>
                    <w:rFonts w:ascii="Times New Roman" w:hAnsi="Times New Roman" w:cs="Times New Roman"/>
                    <w:sz w:val="24"/>
                    <w:szCs w:val="24"/>
                  </w:rPr>
                  <w:fldChar w:fldCharType="end"/>
                </w:r>
              </w:sdtContent>
            </w:sdt>
            <w:r w:rsidR="00F13F01" w:rsidRPr="00F42B51">
              <w:rPr>
                <w:rFonts w:ascii="Times New Roman" w:hAnsi="Times New Roman" w:cs="Times New Roman"/>
                <w:sz w:val="24"/>
                <w:szCs w:val="24"/>
              </w:rPr>
              <w:t xml:space="preserve">. </w:t>
            </w:r>
            <w:r w:rsidR="003C77EB" w:rsidRPr="00F42B51">
              <w:rPr>
                <w:rFonts w:ascii="Times New Roman" w:hAnsi="Times New Roman" w:cs="Times New Roman"/>
                <w:sz w:val="24"/>
                <w:szCs w:val="24"/>
              </w:rPr>
              <w:t xml:space="preserve">This is mainly a change in classification of liabilities (IAS 1). </w:t>
            </w:r>
          </w:p>
          <w:p w14:paraId="5D097FB4" w14:textId="77777777" w:rsidR="003F1785" w:rsidRPr="00F42B51" w:rsidRDefault="003F1785" w:rsidP="00F42B51">
            <w:pPr>
              <w:spacing w:line="480" w:lineRule="auto"/>
              <w:rPr>
                <w:rFonts w:ascii="Times New Roman" w:hAnsi="Times New Roman" w:cs="Times New Roman"/>
                <w:sz w:val="24"/>
                <w:szCs w:val="24"/>
              </w:rPr>
            </w:pPr>
          </w:p>
          <w:p w14:paraId="4DC1A22F" w14:textId="28B5AF0E" w:rsidR="003F1785" w:rsidRPr="00F42B51" w:rsidRDefault="003F1785" w:rsidP="00F42B51">
            <w:pPr>
              <w:spacing w:line="480" w:lineRule="auto"/>
              <w:rPr>
                <w:rFonts w:ascii="Times New Roman" w:hAnsi="Times New Roman" w:cs="Times New Roman"/>
                <w:sz w:val="24"/>
                <w:szCs w:val="24"/>
              </w:rPr>
            </w:pPr>
          </w:p>
        </w:tc>
        <w:tc>
          <w:tcPr>
            <w:tcW w:w="1216" w:type="dxa"/>
          </w:tcPr>
          <w:p w14:paraId="1877BD6B" w14:textId="3D2B0F97" w:rsidR="00050565" w:rsidRPr="00F42B51" w:rsidRDefault="003F1785" w:rsidP="00F42B51">
            <w:pPr>
              <w:spacing w:line="480" w:lineRule="auto"/>
              <w:rPr>
                <w:rFonts w:ascii="Times New Roman" w:hAnsi="Times New Roman" w:cs="Times New Roman"/>
                <w:sz w:val="24"/>
                <w:szCs w:val="24"/>
              </w:rPr>
            </w:pPr>
            <w:r w:rsidRPr="00F42B51">
              <w:rPr>
                <w:rFonts w:ascii="Times New Roman" w:hAnsi="Times New Roman" w:cs="Times New Roman"/>
                <w:sz w:val="24"/>
                <w:szCs w:val="24"/>
              </w:rPr>
              <w:t xml:space="preserve">Beginning or after 01 January, 2023 </w:t>
            </w:r>
          </w:p>
        </w:tc>
        <w:tc>
          <w:tcPr>
            <w:tcW w:w="3130" w:type="dxa"/>
          </w:tcPr>
          <w:p w14:paraId="44AA6B44" w14:textId="40913015" w:rsidR="00050565" w:rsidRPr="00F42B51" w:rsidRDefault="00F13F01" w:rsidP="00F42B51">
            <w:pPr>
              <w:spacing w:line="480" w:lineRule="auto"/>
              <w:rPr>
                <w:rFonts w:ascii="Times New Roman" w:hAnsi="Times New Roman" w:cs="Times New Roman"/>
                <w:sz w:val="24"/>
                <w:szCs w:val="24"/>
              </w:rPr>
            </w:pPr>
            <w:r w:rsidRPr="00F42B51">
              <w:rPr>
                <w:rFonts w:ascii="Times New Roman" w:hAnsi="Times New Roman" w:cs="Times New Roman"/>
                <w:sz w:val="24"/>
                <w:szCs w:val="24"/>
              </w:rPr>
              <w:t>Presentation of liabilities of the financial statements will be changed from this change. The short-term loan facilities are now reported as current assets under existing IAS 1</w:t>
            </w:r>
            <w:r w:rsidR="003C77EB" w:rsidRPr="00F42B51">
              <w:rPr>
                <w:rFonts w:ascii="Times New Roman" w:hAnsi="Times New Roman" w:cs="Times New Roman"/>
                <w:sz w:val="24"/>
                <w:szCs w:val="24"/>
              </w:rPr>
              <w:t xml:space="preserve">, can be reported as long-term liabilities if reporting entity expects or has a discretion to refinance or rollover the contract for at least more than one year after reporting date. From such type of reporting, long-term liabilities will be increased and short-term liabilities will be decreased. </w:t>
            </w:r>
          </w:p>
        </w:tc>
      </w:tr>
      <w:tr w:rsidR="00050565" w:rsidRPr="00F42B51" w14:paraId="4FB9F42E" w14:textId="77777777" w:rsidTr="003F6DC1">
        <w:tc>
          <w:tcPr>
            <w:tcW w:w="713" w:type="dxa"/>
          </w:tcPr>
          <w:p w14:paraId="6E92821D" w14:textId="5375ED5D" w:rsidR="00050565" w:rsidRPr="00F42B51" w:rsidRDefault="003F6DC1" w:rsidP="00F42B51">
            <w:pPr>
              <w:spacing w:line="48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291" w:type="dxa"/>
          </w:tcPr>
          <w:p w14:paraId="0046B98B" w14:textId="1B30FAC5" w:rsidR="00222C4C" w:rsidRPr="00222C4C" w:rsidRDefault="00022A55" w:rsidP="00222C4C">
            <w:pPr>
              <w:spacing w:line="480" w:lineRule="auto"/>
              <w:rPr>
                <w:rFonts w:ascii="Times New Roman" w:eastAsia="Times New Roman" w:hAnsi="Times New Roman" w:cs="Times New Roman"/>
                <w:sz w:val="24"/>
                <w:szCs w:val="24"/>
              </w:rPr>
            </w:pPr>
            <w:r w:rsidRPr="00222C4C">
              <w:rPr>
                <w:rFonts w:ascii="Times New Roman" w:hAnsi="Times New Roman" w:cs="Times New Roman"/>
                <w:sz w:val="24"/>
                <w:szCs w:val="24"/>
              </w:rPr>
              <w:t xml:space="preserve">Interest Rate Benchmark (IBOR) Reform (Amendment to </w:t>
            </w:r>
            <w:r w:rsidRPr="00222C4C">
              <w:rPr>
                <w:rFonts w:ascii="Times New Roman" w:hAnsi="Times New Roman" w:cs="Times New Roman"/>
                <w:sz w:val="24"/>
                <w:szCs w:val="24"/>
              </w:rPr>
              <w:t>IFRS 9, IAS 39 and IFRS 7</w:t>
            </w:r>
            <w:r w:rsidR="002B2CF1" w:rsidRPr="00222C4C">
              <w:rPr>
                <w:rFonts w:ascii="Times New Roman" w:hAnsi="Times New Roman" w:cs="Times New Roman"/>
                <w:sz w:val="24"/>
                <w:szCs w:val="24"/>
              </w:rPr>
              <w:t>)</w:t>
            </w:r>
            <w:r w:rsidR="0008385D">
              <w:rPr>
                <w:rFonts w:ascii="Times New Roman" w:hAnsi="Times New Roman" w:cs="Times New Roman"/>
                <w:sz w:val="24"/>
                <w:szCs w:val="24"/>
              </w:rPr>
              <w:t xml:space="preserve"> </w:t>
            </w:r>
            <w:r w:rsidR="003E5C53" w:rsidRPr="003E5C53">
              <w:rPr>
                <w:rFonts w:ascii="Times New Roman" w:hAnsi="Times New Roman" w:cs="Times New Roman"/>
                <w:b/>
                <w:bCs/>
                <w:sz w:val="24"/>
                <w:szCs w:val="24"/>
              </w:rPr>
              <w:t>[ED]</w:t>
            </w:r>
            <w:r w:rsidR="002B2CF1" w:rsidRPr="00222C4C">
              <w:rPr>
                <w:rFonts w:ascii="Times New Roman" w:hAnsi="Times New Roman" w:cs="Times New Roman"/>
                <w:sz w:val="24"/>
                <w:szCs w:val="24"/>
              </w:rPr>
              <w:t xml:space="preserve">: </w:t>
            </w:r>
            <w:r w:rsidR="00222C4C" w:rsidRPr="00222C4C">
              <w:rPr>
                <w:rFonts w:ascii="Times New Roman" w:hAnsi="Times New Roman" w:cs="Times New Roman"/>
                <w:sz w:val="24"/>
                <w:szCs w:val="24"/>
              </w:rPr>
              <w:t xml:space="preserve">IBORs including LIBOR, EURIBOR, TIBOR etc. is cost of </w:t>
            </w:r>
            <w:r w:rsidR="00222C4C" w:rsidRPr="00222C4C">
              <w:rPr>
                <w:rFonts w:ascii="Times New Roman" w:hAnsi="Times New Roman" w:cs="Times New Roman"/>
                <w:sz w:val="24"/>
                <w:szCs w:val="24"/>
              </w:rPr>
              <w:lastRenderedPageBreak/>
              <w:t xml:space="preserve">unsecured funding. Some recent market reforms and developments have raised regarding long-term viability of IBORs. In response to this, IASB has </w:t>
            </w:r>
            <w:r w:rsidR="00222C4C" w:rsidRPr="00652BDB">
              <w:rPr>
                <w:rFonts w:ascii="Times New Roman" w:eastAsia="Times New Roman" w:hAnsi="Times New Roman" w:cs="Times New Roman"/>
                <w:sz w:val="24"/>
                <w:szCs w:val="24"/>
              </w:rPr>
              <w:t>amend</w:t>
            </w:r>
            <w:r w:rsidR="00222C4C" w:rsidRPr="00222C4C">
              <w:rPr>
                <w:rFonts w:ascii="Times New Roman" w:eastAsia="Times New Roman" w:hAnsi="Times New Roman" w:cs="Times New Roman"/>
                <w:sz w:val="24"/>
                <w:szCs w:val="24"/>
              </w:rPr>
              <w:t xml:space="preserve">ed to – </w:t>
            </w:r>
          </w:p>
          <w:p w14:paraId="160FC936" w14:textId="77777777" w:rsidR="00222C4C" w:rsidRPr="00222C4C" w:rsidRDefault="00222C4C" w:rsidP="00222C4C">
            <w:pPr>
              <w:pStyle w:val="ListParagraph"/>
              <w:numPr>
                <w:ilvl w:val="0"/>
                <w:numId w:val="1"/>
              </w:numPr>
              <w:spacing w:line="480" w:lineRule="auto"/>
              <w:ind w:left="524" w:hanging="270"/>
              <w:rPr>
                <w:rFonts w:ascii="Times New Roman" w:eastAsia="Times New Roman" w:hAnsi="Times New Roman" w:cs="Times New Roman"/>
                <w:sz w:val="24"/>
                <w:szCs w:val="24"/>
              </w:rPr>
            </w:pPr>
            <w:r w:rsidRPr="00222C4C">
              <w:rPr>
                <w:rFonts w:ascii="Times New Roman" w:eastAsia="Times New Roman" w:hAnsi="Times New Roman" w:cs="Times New Roman"/>
                <w:sz w:val="24"/>
                <w:szCs w:val="24"/>
              </w:rPr>
              <w:t xml:space="preserve">Change to contractual cash flows: Reporting entity will not have to derecognize or adjust the carrying </w:t>
            </w:r>
            <w:proofErr w:type="gramStart"/>
            <w:r w:rsidRPr="00222C4C">
              <w:rPr>
                <w:rFonts w:ascii="Times New Roman" w:eastAsia="Times New Roman" w:hAnsi="Times New Roman" w:cs="Times New Roman"/>
                <w:sz w:val="24"/>
                <w:szCs w:val="24"/>
              </w:rPr>
              <w:t>amount</w:t>
            </w:r>
            <w:proofErr w:type="gramEnd"/>
            <w:r w:rsidRPr="00222C4C">
              <w:rPr>
                <w:rFonts w:ascii="Times New Roman" w:eastAsia="Times New Roman" w:hAnsi="Times New Roman" w:cs="Times New Roman"/>
                <w:sz w:val="24"/>
                <w:szCs w:val="24"/>
              </w:rPr>
              <w:t xml:space="preserve"> of financial instruments due to reform. But it will need to update the effective interest rate for reflecting the change to alternative benchmark rate.  </w:t>
            </w:r>
          </w:p>
          <w:p w14:paraId="35CB7487" w14:textId="77777777" w:rsidR="00222C4C" w:rsidRPr="00222C4C" w:rsidRDefault="00222C4C" w:rsidP="00222C4C">
            <w:pPr>
              <w:pStyle w:val="ListParagraph"/>
              <w:numPr>
                <w:ilvl w:val="0"/>
                <w:numId w:val="1"/>
              </w:numPr>
              <w:spacing w:line="480" w:lineRule="auto"/>
              <w:ind w:left="524" w:hanging="270"/>
              <w:rPr>
                <w:rFonts w:ascii="Times New Roman" w:eastAsia="Times New Roman" w:hAnsi="Times New Roman" w:cs="Times New Roman"/>
                <w:sz w:val="24"/>
                <w:szCs w:val="24"/>
              </w:rPr>
            </w:pPr>
            <w:r w:rsidRPr="00222C4C">
              <w:rPr>
                <w:rFonts w:ascii="Times New Roman" w:eastAsia="Times New Roman" w:hAnsi="Times New Roman" w:cs="Times New Roman"/>
                <w:sz w:val="24"/>
                <w:szCs w:val="24"/>
              </w:rPr>
              <w:t xml:space="preserve">Hedge accounting: Reporting entity will not have to discontinue its hedge accounting due to change required for reform if the hedge meets other hedge accounting criteria.   </w:t>
            </w:r>
          </w:p>
          <w:p w14:paraId="05967E5C" w14:textId="23F5AC5F" w:rsidR="00050565" w:rsidRPr="00A517EA" w:rsidRDefault="00222C4C" w:rsidP="00F42B51">
            <w:pPr>
              <w:pStyle w:val="ListParagraph"/>
              <w:numPr>
                <w:ilvl w:val="0"/>
                <w:numId w:val="1"/>
              </w:numPr>
              <w:spacing w:line="480" w:lineRule="auto"/>
              <w:ind w:left="524" w:hanging="270"/>
              <w:rPr>
                <w:rFonts w:ascii="Times New Roman" w:eastAsia="Times New Roman" w:hAnsi="Times New Roman" w:cs="Times New Roman"/>
                <w:sz w:val="24"/>
                <w:szCs w:val="24"/>
              </w:rPr>
            </w:pPr>
            <w:r w:rsidRPr="00222C4C">
              <w:rPr>
                <w:rFonts w:ascii="Times New Roman" w:eastAsia="Times New Roman" w:hAnsi="Times New Roman" w:cs="Times New Roman"/>
                <w:sz w:val="24"/>
                <w:szCs w:val="24"/>
              </w:rPr>
              <w:t xml:space="preserve">Disclosures: Reporting entity will require to disclose information regarding new risks arising from reform of IBOR and how transition </w:t>
            </w:r>
            <w:r w:rsidRPr="00222C4C">
              <w:rPr>
                <w:rFonts w:ascii="Times New Roman" w:eastAsia="Times New Roman" w:hAnsi="Times New Roman" w:cs="Times New Roman"/>
                <w:sz w:val="24"/>
                <w:szCs w:val="24"/>
              </w:rPr>
              <w:lastRenderedPageBreak/>
              <w:t xml:space="preserve">to alternative benchmark rate is managed.  </w:t>
            </w:r>
            <w:r w:rsidRPr="00222C4C">
              <w:rPr>
                <w:rFonts w:ascii="Times New Roman" w:hAnsi="Times New Roman" w:cs="Times New Roman"/>
                <w:sz w:val="24"/>
                <w:szCs w:val="24"/>
              </w:rPr>
              <w:t xml:space="preserve"> </w:t>
            </w:r>
          </w:p>
        </w:tc>
        <w:tc>
          <w:tcPr>
            <w:tcW w:w="1216" w:type="dxa"/>
          </w:tcPr>
          <w:p w14:paraId="797A5195" w14:textId="0B84570E" w:rsidR="00050565" w:rsidRPr="00F42B51" w:rsidRDefault="00022A55" w:rsidP="00F42B5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From 01 January, 2020</w:t>
            </w:r>
          </w:p>
        </w:tc>
        <w:tc>
          <w:tcPr>
            <w:tcW w:w="3130" w:type="dxa"/>
          </w:tcPr>
          <w:p w14:paraId="19C7990E" w14:textId="77777777" w:rsidR="005E252C" w:rsidRPr="005E252C" w:rsidRDefault="005E252C" w:rsidP="005E252C">
            <w:pPr>
              <w:spacing w:line="480" w:lineRule="auto"/>
              <w:rPr>
                <w:rFonts w:ascii="Times New Roman" w:hAnsi="Times New Roman" w:cs="Times New Roman"/>
                <w:sz w:val="24"/>
                <w:szCs w:val="24"/>
              </w:rPr>
            </w:pPr>
            <w:r w:rsidRPr="005E252C">
              <w:rPr>
                <w:rFonts w:ascii="Times New Roman" w:hAnsi="Times New Roman" w:cs="Times New Roman"/>
                <w:sz w:val="24"/>
                <w:szCs w:val="24"/>
              </w:rPr>
              <w:t xml:space="preserve">Disclosure requirement with respect to financial liabilities and hedge accounting requirements will now be </w:t>
            </w:r>
            <w:r w:rsidRPr="005E252C">
              <w:rPr>
                <w:rFonts w:ascii="Times New Roman" w:hAnsi="Times New Roman" w:cs="Times New Roman"/>
                <w:sz w:val="24"/>
                <w:szCs w:val="24"/>
              </w:rPr>
              <w:lastRenderedPageBreak/>
              <w:t xml:space="preserve">changed. Users of financial statements will now have more information regarding – </w:t>
            </w:r>
          </w:p>
          <w:p w14:paraId="6FE4203E" w14:textId="77777777" w:rsidR="005E252C" w:rsidRDefault="005E252C" w:rsidP="005E252C">
            <w:pPr>
              <w:pStyle w:val="ListParagraph"/>
              <w:numPr>
                <w:ilvl w:val="0"/>
                <w:numId w:val="3"/>
              </w:numPr>
              <w:spacing w:line="480" w:lineRule="auto"/>
              <w:ind w:left="508" w:hanging="270"/>
              <w:rPr>
                <w:rFonts w:ascii="Times New Roman" w:hAnsi="Times New Roman" w:cs="Times New Roman"/>
                <w:sz w:val="24"/>
                <w:szCs w:val="24"/>
              </w:rPr>
            </w:pPr>
            <w:r w:rsidRPr="007D2ABC">
              <w:rPr>
                <w:rFonts w:ascii="Times New Roman" w:hAnsi="Times New Roman" w:cs="Times New Roman"/>
                <w:sz w:val="24"/>
                <w:szCs w:val="24"/>
              </w:rPr>
              <w:t>Procedures and policies adopted by reporting entity to manage transition from interest rate benchmarks to alternative benchmark rate.</w:t>
            </w:r>
          </w:p>
          <w:p w14:paraId="76A7F4B6" w14:textId="77777777" w:rsidR="005E252C" w:rsidRDefault="005E252C" w:rsidP="005E252C">
            <w:pPr>
              <w:pStyle w:val="ListParagraph"/>
              <w:numPr>
                <w:ilvl w:val="0"/>
                <w:numId w:val="3"/>
              </w:numPr>
              <w:spacing w:line="480" w:lineRule="auto"/>
              <w:ind w:left="508" w:hanging="270"/>
              <w:rPr>
                <w:rFonts w:ascii="Times New Roman" w:hAnsi="Times New Roman" w:cs="Times New Roman"/>
                <w:sz w:val="24"/>
                <w:szCs w:val="24"/>
              </w:rPr>
            </w:pPr>
            <w:r w:rsidRPr="005E252C">
              <w:rPr>
                <w:rFonts w:ascii="Times New Roman" w:hAnsi="Times New Roman" w:cs="Times New Roman"/>
                <w:sz w:val="24"/>
                <w:szCs w:val="24"/>
              </w:rPr>
              <w:t xml:space="preserve">Change in carrying amount of financial liabilities (if any) for the change to benchmark rate. </w:t>
            </w:r>
          </w:p>
          <w:p w14:paraId="4242A12F" w14:textId="77777777" w:rsidR="005E252C" w:rsidRDefault="005E252C" w:rsidP="005E252C">
            <w:pPr>
              <w:pStyle w:val="ListParagraph"/>
              <w:numPr>
                <w:ilvl w:val="0"/>
                <w:numId w:val="3"/>
              </w:numPr>
              <w:spacing w:line="480" w:lineRule="auto"/>
              <w:ind w:left="508" w:hanging="270"/>
              <w:rPr>
                <w:rFonts w:ascii="Times New Roman" w:hAnsi="Times New Roman" w:cs="Times New Roman"/>
                <w:sz w:val="24"/>
                <w:szCs w:val="24"/>
              </w:rPr>
            </w:pPr>
            <w:r w:rsidRPr="005E252C">
              <w:rPr>
                <w:rFonts w:ascii="Times New Roman" w:hAnsi="Times New Roman" w:cs="Times New Roman"/>
                <w:sz w:val="24"/>
                <w:szCs w:val="24"/>
              </w:rPr>
              <w:t xml:space="preserve">Exposure to alternative benchmark rate. </w:t>
            </w:r>
          </w:p>
          <w:p w14:paraId="13579758" w14:textId="4EE85646" w:rsidR="005E252C" w:rsidRPr="005E252C" w:rsidRDefault="005E252C" w:rsidP="005E252C">
            <w:pPr>
              <w:pStyle w:val="ListParagraph"/>
              <w:numPr>
                <w:ilvl w:val="0"/>
                <w:numId w:val="3"/>
              </w:numPr>
              <w:spacing w:line="480" w:lineRule="auto"/>
              <w:ind w:left="508" w:hanging="270"/>
              <w:rPr>
                <w:rFonts w:ascii="Times New Roman" w:hAnsi="Times New Roman" w:cs="Times New Roman"/>
                <w:sz w:val="24"/>
                <w:szCs w:val="24"/>
              </w:rPr>
            </w:pPr>
            <w:r w:rsidRPr="005E252C">
              <w:rPr>
                <w:rFonts w:ascii="Times New Roman" w:hAnsi="Times New Roman" w:cs="Times New Roman"/>
                <w:sz w:val="24"/>
                <w:szCs w:val="24"/>
              </w:rPr>
              <w:t>Change in entity’s risk management strategy due to IBOR reform.</w:t>
            </w:r>
          </w:p>
          <w:p w14:paraId="6498A9E0" w14:textId="0CFE7B29" w:rsidR="00050565" w:rsidRPr="005E252C" w:rsidRDefault="00050565" w:rsidP="005E252C">
            <w:pPr>
              <w:rPr>
                <w:rFonts w:ascii="Times New Roman" w:hAnsi="Times New Roman" w:cs="Times New Roman"/>
                <w:sz w:val="24"/>
                <w:szCs w:val="24"/>
              </w:rPr>
            </w:pPr>
          </w:p>
        </w:tc>
      </w:tr>
      <w:tr w:rsidR="00A517EA" w:rsidRPr="00F42B51" w14:paraId="5D698F16" w14:textId="77777777" w:rsidTr="003F6DC1">
        <w:tc>
          <w:tcPr>
            <w:tcW w:w="713" w:type="dxa"/>
          </w:tcPr>
          <w:p w14:paraId="2BD96194" w14:textId="5B901FE7" w:rsidR="00A517EA" w:rsidRPr="00F42B51" w:rsidRDefault="00A517EA" w:rsidP="00A517EA">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4291" w:type="dxa"/>
          </w:tcPr>
          <w:p w14:paraId="4D812E93" w14:textId="504916AD" w:rsidR="00A517EA" w:rsidRPr="00F42B51" w:rsidRDefault="00A517EA" w:rsidP="00A517EA">
            <w:pPr>
              <w:spacing w:line="480" w:lineRule="auto"/>
              <w:rPr>
                <w:rFonts w:ascii="Times New Roman" w:hAnsi="Times New Roman" w:cs="Times New Roman"/>
                <w:sz w:val="24"/>
                <w:szCs w:val="24"/>
              </w:rPr>
            </w:pPr>
            <w:r>
              <w:rPr>
                <w:rFonts w:ascii="Times New Roman" w:hAnsi="Times New Roman" w:cs="Times New Roman"/>
                <w:sz w:val="24"/>
                <w:szCs w:val="24"/>
              </w:rPr>
              <w:t xml:space="preserve">Deferred tax related to assets and liabilities from single </w:t>
            </w:r>
            <w:r w:rsidR="003E5C53">
              <w:rPr>
                <w:rFonts w:ascii="Times New Roman" w:hAnsi="Times New Roman" w:cs="Times New Roman"/>
                <w:sz w:val="24"/>
                <w:szCs w:val="24"/>
              </w:rPr>
              <w:t>transactions</w:t>
            </w:r>
            <w:r>
              <w:rPr>
                <w:rFonts w:ascii="Times New Roman" w:hAnsi="Times New Roman" w:cs="Times New Roman"/>
                <w:sz w:val="24"/>
                <w:szCs w:val="24"/>
              </w:rPr>
              <w:t xml:space="preserve"> </w:t>
            </w:r>
            <w:r w:rsidR="003E5C53" w:rsidRPr="003E5C53">
              <w:rPr>
                <w:rFonts w:ascii="Times New Roman" w:hAnsi="Times New Roman" w:cs="Times New Roman"/>
                <w:b/>
                <w:bCs/>
                <w:sz w:val="24"/>
                <w:szCs w:val="24"/>
              </w:rPr>
              <w:t>[ED]</w:t>
            </w:r>
            <w:r>
              <w:rPr>
                <w:rFonts w:ascii="Times New Roman" w:hAnsi="Times New Roman" w:cs="Times New Roman"/>
                <w:sz w:val="24"/>
                <w:szCs w:val="24"/>
              </w:rPr>
              <w:t xml:space="preserve">: </w:t>
            </w:r>
            <w:r w:rsidRPr="00F1197E">
              <w:rPr>
                <w:rFonts w:ascii="Times New Roman" w:hAnsi="Times New Roman" w:cs="Times New Roman"/>
                <w:sz w:val="24"/>
                <w:szCs w:val="24"/>
              </w:rPr>
              <w:t>The reporting entity cannot apply recognition exemption in case of recognizing a deferred tax asset and liability of the same amount in a transaction</w:t>
            </w:r>
            <w:sdt>
              <w:sdtPr>
                <w:rPr>
                  <w:rFonts w:ascii="Times New Roman" w:hAnsi="Times New Roman" w:cs="Times New Roman"/>
                  <w:sz w:val="24"/>
                  <w:szCs w:val="24"/>
                </w:rPr>
                <w:id w:val="-710812482"/>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Del201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A517EA">
                  <w:rPr>
                    <w:rFonts w:ascii="Times New Roman" w:hAnsi="Times New Roman" w:cs="Times New Roman"/>
                    <w:noProof/>
                    <w:sz w:val="24"/>
                    <w:szCs w:val="24"/>
                  </w:rPr>
                  <w:t>(Deloitte, 2020)</w:t>
                </w:r>
                <w:r>
                  <w:rPr>
                    <w:rFonts w:ascii="Times New Roman" w:hAnsi="Times New Roman" w:cs="Times New Roman"/>
                    <w:sz w:val="24"/>
                    <w:szCs w:val="24"/>
                  </w:rPr>
                  <w:fldChar w:fldCharType="end"/>
                </w:r>
              </w:sdtContent>
            </w:sdt>
            <w:r w:rsidRPr="00F1197E">
              <w:rPr>
                <w:rFonts w:ascii="Times New Roman" w:hAnsi="Times New Roman" w:cs="Times New Roman"/>
                <w:sz w:val="24"/>
                <w:szCs w:val="24"/>
              </w:rPr>
              <w:t>. The reporting entity will recognize a deferred tax liability up-to the extent of corresponding deferred tax asset based on recoverability requirement (Capping proposal). For the unrecognized deferred tax liability portion, recognition exemption criteria will be applicable</w:t>
            </w:r>
            <w:sdt>
              <w:sdtPr>
                <w:rPr>
                  <w:rFonts w:ascii="Times New Roman" w:hAnsi="Times New Roman" w:cs="Times New Roman"/>
                  <w:sz w:val="24"/>
                  <w:szCs w:val="24"/>
                </w:rPr>
                <w:id w:val="-1504429032"/>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Del201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A517EA">
                  <w:rPr>
                    <w:rFonts w:ascii="Times New Roman" w:hAnsi="Times New Roman" w:cs="Times New Roman"/>
                    <w:noProof/>
                    <w:sz w:val="24"/>
                    <w:szCs w:val="24"/>
                  </w:rPr>
                  <w:t>(Deloitte, 2020)</w:t>
                </w:r>
                <w:r>
                  <w:rPr>
                    <w:rFonts w:ascii="Times New Roman" w:hAnsi="Times New Roman" w:cs="Times New Roman"/>
                    <w:sz w:val="24"/>
                    <w:szCs w:val="24"/>
                  </w:rPr>
                  <w:fldChar w:fldCharType="end"/>
                </w:r>
              </w:sdtContent>
            </w:sdt>
            <w:r w:rsidRPr="00F1197E">
              <w:rPr>
                <w:rFonts w:ascii="Times New Roman" w:hAnsi="Times New Roman" w:cs="Times New Roman"/>
                <w:sz w:val="24"/>
                <w:szCs w:val="24"/>
              </w:rPr>
              <w:t xml:space="preserve">. </w:t>
            </w:r>
          </w:p>
        </w:tc>
        <w:tc>
          <w:tcPr>
            <w:tcW w:w="1216" w:type="dxa"/>
          </w:tcPr>
          <w:p w14:paraId="6FE4A600" w14:textId="15C24D4C" w:rsidR="00A517EA" w:rsidRPr="00F42B51" w:rsidRDefault="00A517EA" w:rsidP="00A517EA">
            <w:pPr>
              <w:spacing w:line="480" w:lineRule="auto"/>
              <w:rPr>
                <w:rFonts w:ascii="Times New Roman" w:hAnsi="Times New Roman" w:cs="Times New Roman"/>
                <w:sz w:val="24"/>
                <w:szCs w:val="24"/>
              </w:rPr>
            </w:pPr>
            <w:r>
              <w:rPr>
                <w:rFonts w:ascii="Times New Roman" w:hAnsi="Times New Roman" w:cs="Times New Roman"/>
                <w:sz w:val="24"/>
                <w:szCs w:val="24"/>
              </w:rPr>
              <w:t xml:space="preserve">From 01 January, </w:t>
            </w:r>
            <w:r>
              <w:rPr>
                <w:rFonts w:ascii="Times New Roman" w:hAnsi="Times New Roman" w:cs="Times New Roman"/>
                <w:sz w:val="24"/>
                <w:szCs w:val="24"/>
              </w:rPr>
              <w:t>2022</w:t>
            </w:r>
          </w:p>
        </w:tc>
        <w:tc>
          <w:tcPr>
            <w:tcW w:w="3130" w:type="dxa"/>
          </w:tcPr>
          <w:p w14:paraId="578CC833" w14:textId="77777777" w:rsidR="00A517EA" w:rsidRPr="00F1197E" w:rsidRDefault="00A517EA" w:rsidP="00A517EA">
            <w:pPr>
              <w:spacing w:line="480" w:lineRule="auto"/>
              <w:rPr>
                <w:rFonts w:ascii="Times New Roman" w:hAnsi="Times New Roman" w:cs="Times New Roman"/>
                <w:sz w:val="24"/>
                <w:szCs w:val="24"/>
              </w:rPr>
            </w:pPr>
            <w:r w:rsidRPr="00F1197E">
              <w:rPr>
                <w:rFonts w:ascii="Times New Roman" w:hAnsi="Times New Roman" w:cs="Times New Roman"/>
                <w:sz w:val="24"/>
                <w:szCs w:val="24"/>
              </w:rPr>
              <w:t xml:space="preserve">This change will narrow the scope of ‘recognition exemption’ and ‘capping proposal’. This will result in alignment of deferred tax accounting treatment related to leases with IAS 12 general principle. </w:t>
            </w:r>
          </w:p>
          <w:p w14:paraId="31C13DB8" w14:textId="77777777" w:rsidR="00A517EA" w:rsidRPr="00F42B51" w:rsidRDefault="00A517EA" w:rsidP="00A517EA">
            <w:pPr>
              <w:spacing w:line="480" w:lineRule="auto"/>
              <w:rPr>
                <w:rFonts w:ascii="Times New Roman" w:hAnsi="Times New Roman" w:cs="Times New Roman"/>
                <w:sz w:val="24"/>
                <w:szCs w:val="24"/>
              </w:rPr>
            </w:pPr>
          </w:p>
        </w:tc>
      </w:tr>
      <w:tr w:rsidR="002F5879" w:rsidRPr="00F42B51" w14:paraId="2525BB4C" w14:textId="77777777" w:rsidTr="003F6DC1">
        <w:tc>
          <w:tcPr>
            <w:tcW w:w="713" w:type="dxa"/>
          </w:tcPr>
          <w:p w14:paraId="2AEE532B" w14:textId="338F25DB" w:rsidR="002F5879" w:rsidRDefault="002F5879" w:rsidP="00A517EA">
            <w:pPr>
              <w:spacing w:line="48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291" w:type="dxa"/>
          </w:tcPr>
          <w:p w14:paraId="639A6F82" w14:textId="2C23291B" w:rsidR="00916E64" w:rsidRPr="00916E64" w:rsidRDefault="002F5879" w:rsidP="00916E64">
            <w:pPr>
              <w:tabs>
                <w:tab w:val="left" w:pos="434"/>
              </w:tabs>
              <w:spacing w:line="480" w:lineRule="auto"/>
              <w:rPr>
                <w:rFonts w:ascii="Times New Roman" w:hAnsi="Times New Roman" w:cs="Times New Roman"/>
                <w:sz w:val="24"/>
                <w:szCs w:val="24"/>
              </w:rPr>
            </w:pPr>
            <w:r w:rsidRPr="00916E64">
              <w:rPr>
                <w:rFonts w:ascii="Times New Roman" w:hAnsi="Times New Roman" w:cs="Times New Roman"/>
                <w:sz w:val="24"/>
                <w:szCs w:val="24"/>
              </w:rPr>
              <w:t xml:space="preserve">Amendment to IFRS 17 (IFRS 17 - Insurance Contracts) </w:t>
            </w:r>
            <w:r w:rsidR="003E5C53" w:rsidRPr="003E5C53">
              <w:rPr>
                <w:rFonts w:ascii="Times New Roman" w:hAnsi="Times New Roman" w:cs="Times New Roman"/>
                <w:b/>
                <w:bCs/>
                <w:sz w:val="24"/>
                <w:szCs w:val="24"/>
              </w:rPr>
              <w:t>[ED]</w:t>
            </w:r>
            <w:r w:rsidR="003E5C53">
              <w:rPr>
                <w:rFonts w:ascii="Times New Roman" w:hAnsi="Times New Roman" w:cs="Times New Roman"/>
                <w:b/>
                <w:bCs/>
                <w:sz w:val="24"/>
                <w:szCs w:val="24"/>
              </w:rPr>
              <w:t xml:space="preserve">: </w:t>
            </w:r>
            <w:r w:rsidR="00916E64">
              <w:rPr>
                <w:rFonts w:ascii="Times New Roman" w:hAnsi="Times New Roman" w:cs="Times New Roman"/>
                <w:sz w:val="24"/>
                <w:szCs w:val="24"/>
              </w:rPr>
              <w:t xml:space="preserve">A number of changes has been proposed in </w:t>
            </w:r>
            <w:r w:rsidR="00916E64" w:rsidRPr="00916E64">
              <w:rPr>
                <w:rFonts w:ascii="Times New Roman" w:hAnsi="Times New Roman" w:cs="Times New Roman"/>
                <w:sz w:val="24"/>
                <w:szCs w:val="24"/>
              </w:rPr>
              <w:t>IFRS 17 - Insurance Contracts</w:t>
            </w:r>
            <w:r w:rsidR="00916E64">
              <w:rPr>
                <w:rFonts w:ascii="Times New Roman" w:hAnsi="Times New Roman" w:cs="Times New Roman"/>
                <w:sz w:val="24"/>
                <w:szCs w:val="24"/>
              </w:rPr>
              <w:t>. Proposed c</w:t>
            </w:r>
            <w:r w:rsidR="00916E64" w:rsidRPr="00916E64">
              <w:rPr>
                <w:rFonts w:ascii="Times New Roman" w:hAnsi="Times New Roman" w:cs="Times New Roman"/>
                <w:sz w:val="24"/>
                <w:szCs w:val="24"/>
              </w:rPr>
              <w:t>hanges includ</w:t>
            </w:r>
            <w:r w:rsidR="00916E64">
              <w:rPr>
                <w:rFonts w:ascii="Times New Roman" w:hAnsi="Times New Roman" w:cs="Times New Roman"/>
                <w:sz w:val="24"/>
                <w:szCs w:val="24"/>
              </w:rPr>
              <w:t>e</w:t>
            </w:r>
            <w:r w:rsidR="00916E64" w:rsidRPr="00916E64">
              <w:rPr>
                <w:rFonts w:ascii="Times New Roman" w:hAnsi="Times New Roman" w:cs="Times New Roman"/>
                <w:sz w:val="24"/>
                <w:szCs w:val="24"/>
              </w:rPr>
              <w:t xml:space="preserve"> – </w:t>
            </w:r>
          </w:p>
          <w:p w14:paraId="36B4CAFC" w14:textId="77777777" w:rsidR="00916E64" w:rsidRPr="00916E64" w:rsidRDefault="00916E64" w:rsidP="00916E64">
            <w:pPr>
              <w:pStyle w:val="ListParagraph"/>
              <w:numPr>
                <w:ilvl w:val="0"/>
                <w:numId w:val="4"/>
              </w:numPr>
              <w:tabs>
                <w:tab w:val="left" w:pos="434"/>
              </w:tabs>
              <w:spacing w:line="480" w:lineRule="auto"/>
              <w:ind w:left="630" w:hanging="270"/>
              <w:rPr>
                <w:rFonts w:ascii="Times New Roman" w:hAnsi="Times New Roman" w:cs="Times New Roman"/>
                <w:sz w:val="24"/>
                <w:szCs w:val="24"/>
              </w:rPr>
            </w:pPr>
            <w:r w:rsidRPr="00916E64">
              <w:rPr>
                <w:rFonts w:ascii="Times New Roman" w:hAnsi="Times New Roman" w:cs="Times New Roman"/>
                <w:sz w:val="24"/>
                <w:szCs w:val="24"/>
              </w:rPr>
              <w:lastRenderedPageBreak/>
              <w:t xml:space="preserve">Principle-based approach in defining investment-return services without direct participation features (instead of rule-based approach). </w:t>
            </w:r>
          </w:p>
          <w:p w14:paraId="50DBE995" w14:textId="77777777" w:rsidR="00916E64" w:rsidRPr="00916E64" w:rsidRDefault="00916E64" w:rsidP="00916E64">
            <w:pPr>
              <w:pStyle w:val="ListParagraph"/>
              <w:numPr>
                <w:ilvl w:val="0"/>
                <w:numId w:val="4"/>
              </w:numPr>
              <w:tabs>
                <w:tab w:val="left" w:pos="434"/>
              </w:tabs>
              <w:spacing w:line="480" w:lineRule="auto"/>
              <w:ind w:left="630" w:hanging="270"/>
              <w:rPr>
                <w:rFonts w:ascii="Times New Roman" w:hAnsi="Times New Roman" w:cs="Times New Roman"/>
                <w:sz w:val="24"/>
                <w:szCs w:val="24"/>
              </w:rPr>
            </w:pPr>
            <w:r w:rsidRPr="00916E64">
              <w:rPr>
                <w:rFonts w:ascii="Times New Roman" w:hAnsi="Times New Roman" w:cs="Times New Roman"/>
                <w:sz w:val="24"/>
                <w:szCs w:val="24"/>
              </w:rPr>
              <w:t xml:space="preserve">Expected recovery of insurance acquisition cash flows. </w:t>
            </w:r>
          </w:p>
          <w:p w14:paraId="1F9CD046" w14:textId="775A24FB" w:rsidR="00916E64" w:rsidRPr="00916E64" w:rsidRDefault="00916E64" w:rsidP="00916E64">
            <w:pPr>
              <w:pStyle w:val="ListParagraph"/>
              <w:numPr>
                <w:ilvl w:val="0"/>
                <w:numId w:val="4"/>
              </w:numPr>
              <w:tabs>
                <w:tab w:val="left" w:pos="434"/>
              </w:tabs>
              <w:spacing w:line="480" w:lineRule="auto"/>
              <w:ind w:left="630" w:hanging="270"/>
              <w:rPr>
                <w:rFonts w:ascii="Times New Roman" w:hAnsi="Times New Roman" w:cs="Times New Roman"/>
                <w:sz w:val="24"/>
                <w:szCs w:val="24"/>
              </w:rPr>
            </w:pPr>
            <w:r w:rsidRPr="00916E64">
              <w:rPr>
                <w:rFonts w:ascii="Times New Roman" w:hAnsi="Times New Roman" w:cs="Times New Roman"/>
                <w:sz w:val="24"/>
                <w:szCs w:val="24"/>
              </w:rPr>
              <w:t>Applicability of risk mitigation options</w:t>
            </w:r>
            <w:sdt>
              <w:sdtPr>
                <w:rPr>
                  <w:rFonts w:ascii="Times New Roman" w:hAnsi="Times New Roman" w:cs="Times New Roman"/>
                  <w:sz w:val="24"/>
                  <w:szCs w:val="24"/>
                </w:rPr>
                <w:id w:val="-636722356"/>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IFR20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916E64">
                  <w:rPr>
                    <w:rFonts w:ascii="Times New Roman" w:hAnsi="Times New Roman" w:cs="Times New Roman"/>
                    <w:noProof/>
                    <w:sz w:val="24"/>
                    <w:szCs w:val="24"/>
                  </w:rPr>
                  <w:t>(IFRS, 2020)</w:t>
                </w:r>
                <w:r>
                  <w:rPr>
                    <w:rFonts w:ascii="Times New Roman" w:hAnsi="Times New Roman" w:cs="Times New Roman"/>
                    <w:sz w:val="24"/>
                    <w:szCs w:val="24"/>
                  </w:rPr>
                  <w:fldChar w:fldCharType="end"/>
                </w:r>
              </w:sdtContent>
            </w:sdt>
            <w:r w:rsidRPr="00916E64">
              <w:rPr>
                <w:rFonts w:ascii="Times New Roman" w:hAnsi="Times New Roman" w:cs="Times New Roman"/>
                <w:sz w:val="24"/>
                <w:szCs w:val="24"/>
              </w:rPr>
              <w:t xml:space="preserve">. </w:t>
            </w:r>
          </w:p>
          <w:p w14:paraId="13F961FB" w14:textId="71C2AC17" w:rsidR="002F5879" w:rsidRPr="00916E64" w:rsidRDefault="00916E64" w:rsidP="00916E64">
            <w:pPr>
              <w:pStyle w:val="ListParagraph"/>
              <w:numPr>
                <w:ilvl w:val="0"/>
                <w:numId w:val="4"/>
              </w:numPr>
              <w:tabs>
                <w:tab w:val="left" w:pos="434"/>
              </w:tabs>
              <w:spacing w:line="480" w:lineRule="auto"/>
              <w:ind w:left="630" w:hanging="270"/>
              <w:rPr>
                <w:rFonts w:ascii="Times New Roman" w:hAnsi="Times New Roman" w:cs="Times New Roman"/>
                <w:sz w:val="24"/>
                <w:szCs w:val="24"/>
              </w:rPr>
            </w:pPr>
            <w:r w:rsidRPr="00916E64">
              <w:rPr>
                <w:rFonts w:ascii="Times New Roman" w:hAnsi="Times New Roman" w:cs="Times New Roman"/>
                <w:sz w:val="24"/>
                <w:szCs w:val="24"/>
              </w:rPr>
              <w:t>Presentation of the items in Financial Position.</w:t>
            </w:r>
            <w:r w:rsidRPr="00F44C66">
              <w:rPr>
                <w:rFonts w:ascii="Times New Roman" w:hAnsi="Times New Roman" w:cs="Times New Roman"/>
                <w:sz w:val="24"/>
                <w:szCs w:val="24"/>
              </w:rPr>
              <w:t xml:space="preserve"> </w:t>
            </w:r>
          </w:p>
        </w:tc>
        <w:tc>
          <w:tcPr>
            <w:tcW w:w="1216" w:type="dxa"/>
          </w:tcPr>
          <w:p w14:paraId="613086FD" w14:textId="3D9BAEE4" w:rsidR="002F5879" w:rsidRDefault="00916E64" w:rsidP="00A517E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From 01 January, 202</w:t>
            </w:r>
            <w:r>
              <w:rPr>
                <w:rFonts w:ascii="Times New Roman" w:hAnsi="Times New Roman" w:cs="Times New Roman"/>
                <w:sz w:val="24"/>
                <w:szCs w:val="24"/>
              </w:rPr>
              <w:t>3</w:t>
            </w:r>
          </w:p>
        </w:tc>
        <w:tc>
          <w:tcPr>
            <w:tcW w:w="3130" w:type="dxa"/>
          </w:tcPr>
          <w:p w14:paraId="1DB78994" w14:textId="381BF9D3" w:rsidR="002F5879" w:rsidRPr="00F1197E" w:rsidRDefault="00916E64" w:rsidP="00A517EA">
            <w:pPr>
              <w:spacing w:line="480" w:lineRule="auto"/>
              <w:rPr>
                <w:rFonts w:ascii="Times New Roman" w:hAnsi="Times New Roman" w:cs="Times New Roman"/>
                <w:sz w:val="24"/>
                <w:szCs w:val="24"/>
              </w:rPr>
            </w:pPr>
            <w:r>
              <w:rPr>
                <w:rFonts w:ascii="Times New Roman" w:hAnsi="Times New Roman" w:cs="Times New Roman"/>
                <w:sz w:val="24"/>
                <w:szCs w:val="24"/>
              </w:rPr>
              <w:t xml:space="preserve">Recognition criteria of assets and liabilities for insurance companies will be changed. As well, financial position </w:t>
            </w:r>
            <w:r w:rsidR="003E5C53">
              <w:rPr>
                <w:rFonts w:ascii="Times New Roman" w:hAnsi="Times New Roman" w:cs="Times New Roman"/>
                <w:sz w:val="24"/>
                <w:szCs w:val="24"/>
              </w:rPr>
              <w:t xml:space="preserve">will be in more attractive and understandable format. </w:t>
            </w:r>
          </w:p>
        </w:tc>
      </w:tr>
    </w:tbl>
    <w:p w14:paraId="4337B8EF" w14:textId="77777777" w:rsidR="00F42B51" w:rsidRDefault="00F42B51" w:rsidP="003E5C53">
      <w:pPr>
        <w:spacing w:after="0" w:line="480" w:lineRule="auto"/>
        <w:rPr>
          <w:rFonts w:ascii="Times New Roman" w:hAnsi="Times New Roman" w:cs="Times New Roman"/>
          <w:b/>
          <w:bCs/>
          <w:sz w:val="24"/>
          <w:szCs w:val="24"/>
        </w:rPr>
      </w:pPr>
    </w:p>
    <w:p w14:paraId="702B36A2" w14:textId="68D80B55" w:rsidR="00C466CD" w:rsidRPr="00900527" w:rsidRDefault="00C466CD" w:rsidP="00206D30">
      <w:pPr>
        <w:spacing w:after="0" w:line="480" w:lineRule="auto"/>
        <w:jc w:val="center"/>
        <w:rPr>
          <w:rFonts w:ascii="Times New Roman" w:hAnsi="Times New Roman" w:cs="Times New Roman"/>
          <w:b/>
          <w:bCs/>
          <w:sz w:val="24"/>
          <w:szCs w:val="24"/>
        </w:rPr>
      </w:pPr>
      <w:r w:rsidRPr="00900527">
        <w:rPr>
          <w:rFonts w:ascii="Times New Roman" w:hAnsi="Times New Roman" w:cs="Times New Roman"/>
          <w:b/>
          <w:bCs/>
          <w:sz w:val="24"/>
          <w:szCs w:val="24"/>
        </w:rPr>
        <w:t>Conclusion</w:t>
      </w:r>
    </w:p>
    <w:p w14:paraId="3B81E7F2" w14:textId="7CF28465" w:rsidR="00C466CD" w:rsidRPr="00900527" w:rsidRDefault="00900527" w:rsidP="003E5C53">
      <w:pPr>
        <w:spacing w:after="0" w:line="480" w:lineRule="auto"/>
        <w:ind w:firstLine="720"/>
        <w:rPr>
          <w:rFonts w:ascii="Times New Roman" w:hAnsi="Times New Roman" w:cs="Times New Roman"/>
          <w:sz w:val="24"/>
          <w:szCs w:val="24"/>
        </w:rPr>
      </w:pPr>
      <w:r w:rsidRPr="00900527">
        <w:rPr>
          <w:rFonts w:ascii="Times New Roman" w:hAnsi="Times New Roman" w:cs="Times New Roman"/>
          <w:sz w:val="24"/>
          <w:szCs w:val="24"/>
        </w:rPr>
        <w:t xml:space="preserve">Notable </w:t>
      </w:r>
      <w:r w:rsidR="003E5C53">
        <w:rPr>
          <w:rFonts w:ascii="Times New Roman" w:hAnsi="Times New Roman" w:cs="Times New Roman"/>
          <w:sz w:val="24"/>
          <w:szCs w:val="24"/>
        </w:rPr>
        <w:t xml:space="preserve">proposed </w:t>
      </w:r>
      <w:r w:rsidRPr="00900527">
        <w:rPr>
          <w:rFonts w:ascii="Times New Roman" w:hAnsi="Times New Roman" w:cs="Times New Roman"/>
          <w:sz w:val="24"/>
          <w:szCs w:val="24"/>
        </w:rPr>
        <w:t xml:space="preserve">changes in </w:t>
      </w:r>
      <w:r w:rsidR="003E5C53">
        <w:rPr>
          <w:rFonts w:ascii="Times New Roman" w:hAnsi="Times New Roman" w:cs="Times New Roman"/>
          <w:sz w:val="24"/>
          <w:szCs w:val="24"/>
        </w:rPr>
        <w:t xml:space="preserve">existing </w:t>
      </w:r>
      <w:r w:rsidRPr="00900527">
        <w:rPr>
          <w:rFonts w:ascii="Times New Roman" w:hAnsi="Times New Roman" w:cs="Times New Roman"/>
          <w:sz w:val="24"/>
          <w:szCs w:val="24"/>
        </w:rPr>
        <w:t xml:space="preserve">IASs </w:t>
      </w:r>
      <w:r w:rsidR="003E5C53">
        <w:rPr>
          <w:rFonts w:ascii="Times New Roman" w:hAnsi="Times New Roman" w:cs="Times New Roman"/>
          <w:sz w:val="24"/>
          <w:szCs w:val="24"/>
        </w:rPr>
        <w:t>by IASB through its EDs include  c</w:t>
      </w:r>
      <w:r w:rsidR="003E5C53" w:rsidRPr="00F42B51">
        <w:rPr>
          <w:rFonts w:ascii="Times New Roman" w:hAnsi="Times New Roman" w:cs="Times New Roman"/>
          <w:sz w:val="24"/>
          <w:szCs w:val="24"/>
        </w:rPr>
        <w:t xml:space="preserve">lassification of </w:t>
      </w:r>
      <w:r w:rsidR="003E5C53">
        <w:rPr>
          <w:rFonts w:ascii="Times New Roman" w:hAnsi="Times New Roman" w:cs="Times New Roman"/>
          <w:sz w:val="24"/>
          <w:szCs w:val="24"/>
        </w:rPr>
        <w:t>l</w:t>
      </w:r>
      <w:r w:rsidR="003E5C53" w:rsidRPr="00F42B51">
        <w:rPr>
          <w:rFonts w:ascii="Times New Roman" w:hAnsi="Times New Roman" w:cs="Times New Roman"/>
          <w:sz w:val="24"/>
          <w:szCs w:val="24"/>
        </w:rPr>
        <w:t xml:space="preserve">iabilities as current liabilities or non-current liabilities – </w:t>
      </w:r>
      <w:r w:rsidR="003E5C53">
        <w:rPr>
          <w:rFonts w:ascii="Times New Roman" w:hAnsi="Times New Roman" w:cs="Times New Roman"/>
          <w:sz w:val="24"/>
          <w:szCs w:val="24"/>
        </w:rPr>
        <w:t>d</w:t>
      </w:r>
      <w:r w:rsidR="003E5C53" w:rsidRPr="00F42B51">
        <w:rPr>
          <w:rFonts w:ascii="Times New Roman" w:hAnsi="Times New Roman" w:cs="Times New Roman"/>
          <w:sz w:val="24"/>
          <w:szCs w:val="24"/>
        </w:rPr>
        <w:t xml:space="preserve">eferral of </w:t>
      </w:r>
      <w:r w:rsidR="003E5C53">
        <w:rPr>
          <w:rFonts w:ascii="Times New Roman" w:hAnsi="Times New Roman" w:cs="Times New Roman"/>
          <w:sz w:val="24"/>
          <w:szCs w:val="24"/>
        </w:rPr>
        <w:t>e</w:t>
      </w:r>
      <w:r w:rsidR="003E5C53" w:rsidRPr="00F42B51">
        <w:rPr>
          <w:rFonts w:ascii="Times New Roman" w:hAnsi="Times New Roman" w:cs="Times New Roman"/>
          <w:sz w:val="24"/>
          <w:szCs w:val="24"/>
        </w:rPr>
        <w:t xml:space="preserve">ffective </w:t>
      </w:r>
      <w:r w:rsidR="003E5C53">
        <w:rPr>
          <w:rFonts w:ascii="Times New Roman" w:hAnsi="Times New Roman" w:cs="Times New Roman"/>
          <w:sz w:val="24"/>
          <w:szCs w:val="24"/>
        </w:rPr>
        <w:t>d</w:t>
      </w:r>
      <w:r w:rsidR="003E5C53" w:rsidRPr="00F42B51">
        <w:rPr>
          <w:rFonts w:ascii="Times New Roman" w:hAnsi="Times New Roman" w:cs="Times New Roman"/>
          <w:sz w:val="24"/>
          <w:szCs w:val="24"/>
        </w:rPr>
        <w:t>ate</w:t>
      </w:r>
      <w:r w:rsidR="003E5C53">
        <w:rPr>
          <w:rFonts w:ascii="Times New Roman" w:hAnsi="Times New Roman" w:cs="Times New Roman"/>
          <w:sz w:val="24"/>
          <w:szCs w:val="24"/>
        </w:rPr>
        <w:t>, and d</w:t>
      </w:r>
      <w:r w:rsidR="003E5C53">
        <w:rPr>
          <w:rFonts w:ascii="Times New Roman" w:hAnsi="Times New Roman" w:cs="Times New Roman"/>
          <w:sz w:val="24"/>
          <w:szCs w:val="24"/>
        </w:rPr>
        <w:t xml:space="preserve">eferred tax related to assets and liabilities from single </w:t>
      </w:r>
      <w:r w:rsidR="003E5C53">
        <w:rPr>
          <w:rFonts w:ascii="Times New Roman" w:hAnsi="Times New Roman" w:cs="Times New Roman"/>
          <w:sz w:val="24"/>
          <w:szCs w:val="24"/>
        </w:rPr>
        <w:t xml:space="preserve">transactions; and proposed </w:t>
      </w:r>
      <w:r w:rsidR="003E5C53" w:rsidRPr="00900527">
        <w:rPr>
          <w:rFonts w:ascii="Times New Roman" w:hAnsi="Times New Roman" w:cs="Times New Roman"/>
          <w:sz w:val="24"/>
          <w:szCs w:val="24"/>
        </w:rPr>
        <w:t xml:space="preserve">changes in </w:t>
      </w:r>
      <w:r w:rsidR="003E5C53">
        <w:rPr>
          <w:rFonts w:ascii="Times New Roman" w:hAnsi="Times New Roman" w:cs="Times New Roman"/>
          <w:sz w:val="24"/>
          <w:szCs w:val="24"/>
        </w:rPr>
        <w:t xml:space="preserve">existing </w:t>
      </w:r>
      <w:r w:rsidR="003E5C53" w:rsidRPr="00900527">
        <w:rPr>
          <w:rFonts w:ascii="Times New Roman" w:hAnsi="Times New Roman" w:cs="Times New Roman"/>
          <w:sz w:val="24"/>
          <w:szCs w:val="24"/>
        </w:rPr>
        <w:t>I</w:t>
      </w:r>
      <w:r w:rsidR="003E5C53">
        <w:rPr>
          <w:rFonts w:ascii="Times New Roman" w:hAnsi="Times New Roman" w:cs="Times New Roman"/>
          <w:sz w:val="24"/>
          <w:szCs w:val="24"/>
        </w:rPr>
        <w:t>FRS</w:t>
      </w:r>
      <w:r w:rsidR="003E5C53" w:rsidRPr="00900527">
        <w:rPr>
          <w:rFonts w:ascii="Times New Roman" w:hAnsi="Times New Roman" w:cs="Times New Roman"/>
          <w:sz w:val="24"/>
          <w:szCs w:val="24"/>
        </w:rPr>
        <w:t xml:space="preserve">s </w:t>
      </w:r>
      <w:r w:rsidR="003E5C53">
        <w:rPr>
          <w:rFonts w:ascii="Times New Roman" w:hAnsi="Times New Roman" w:cs="Times New Roman"/>
          <w:sz w:val="24"/>
          <w:szCs w:val="24"/>
        </w:rPr>
        <w:t>by IASB through its EDs include</w:t>
      </w:r>
      <w:r w:rsidR="003E5C53">
        <w:rPr>
          <w:rFonts w:ascii="Times New Roman" w:hAnsi="Times New Roman" w:cs="Times New Roman"/>
          <w:sz w:val="24"/>
          <w:szCs w:val="24"/>
        </w:rPr>
        <w:t xml:space="preserve"> </w:t>
      </w:r>
      <w:r w:rsidR="003E5C53" w:rsidRPr="00222C4C">
        <w:rPr>
          <w:rFonts w:ascii="Times New Roman" w:hAnsi="Times New Roman" w:cs="Times New Roman"/>
          <w:sz w:val="24"/>
          <w:szCs w:val="24"/>
        </w:rPr>
        <w:t xml:space="preserve">Interest Rate Benchmark (IBOR) </w:t>
      </w:r>
      <w:r w:rsidR="003E5C53">
        <w:rPr>
          <w:rFonts w:ascii="Times New Roman" w:hAnsi="Times New Roman" w:cs="Times New Roman"/>
          <w:sz w:val="24"/>
          <w:szCs w:val="24"/>
        </w:rPr>
        <w:t>r</w:t>
      </w:r>
      <w:r w:rsidR="003E5C53" w:rsidRPr="00222C4C">
        <w:rPr>
          <w:rFonts w:ascii="Times New Roman" w:hAnsi="Times New Roman" w:cs="Times New Roman"/>
          <w:sz w:val="24"/>
          <w:szCs w:val="24"/>
        </w:rPr>
        <w:t>eform (</w:t>
      </w:r>
      <w:r w:rsidR="003E5C53">
        <w:rPr>
          <w:rFonts w:ascii="Times New Roman" w:hAnsi="Times New Roman" w:cs="Times New Roman"/>
          <w:sz w:val="24"/>
          <w:szCs w:val="24"/>
        </w:rPr>
        <w:t>a</w:t>
      </w:r>
      <w:r w:rsidR="003E5C53" w:rsidRPr="00222C4C">
        <w:rPr>
          <w:rFonts w:ascii="Times New Roman" w:hAnsi="Times New Roman" w:cs="Times New Roman"/>
          <w:sz w:val="24"/>
          <w:szCs w:val="24"/>
        </w:rPr>
        <w:t>mendment to IFRS 9, IAS 39 and IFRS 7)</w:t>
      </w:r>
      <w:r w:rsidR="003E5C53">
        <w:rPr>
          <w:rFonts w:ascii="Times New Roman" w:hAnsi="Times New Roman" w:cs="Times New Roman"/>
          <w:sz w:val="24"/>
          <w:szCs w:val="24"/>
        </w:rPr>
        <w:t xml:space="preserve">, and </w:t>
      </w:r>
      <w:r w:rsidR="003E5C53">
        <w:rPr>
          <w:rFonts w:ascii="Times New Roman" w:hAnsi="Times New Roman" w:cs="Times New Roman"/>
          <w:sz w:val="24"/>
          <w:szCs w:val="24"/>
        </w:rPr>
        <w:t xml:space="preserve">  </w:t>
      </w:r>
      <w:r w:rsidR="003E5C53">
        <w:rPr>
          <w:rFonts w:ascii="Times New Roman" w:hAnsi="Times New Roman" w:cs="Times New Roman"/>
          <w:sz w:val="24"/>
          <w:szCs w:val="24"/>
        </w:rPr>
        <w:t xml:space="preserve">amendments to certain requirements of IFRS 17. </w:t>
      </w:r>
      <w:r w:rsidR="007305F2" w:rsidRPr="00900527">
        <w:rPr>
          <w:rFonts w:ascii="Times New Roman" w:hAnsi="Times New Roman" w:cs="Times New Roman"/>
          <w:sz w:val="24"/>
          <w:szCs w:val="24"/>
        </w:rPr>
        <w:t xml:space="preserve">These changes in IASs and IFRSs aim to more reliable financial accounting and reporting by reporting entities. These </w:t>
      </w:r>
      <w:r w:rsidRPr="00900527">
        <w:rPr>
          <w:rFonts w:ascii="Times New Roman" w:hAnsi="Times New Roman" w:cs="Times New Roman"/>
          <w:sz w:val="24"/>
          <w:szCs w:val="24"/>
        </w:rPr>
        <w:t xml:space="preserve">changes </w:t>
      </w:r>
      <w:r w:rsidR="003E5C53">
        <w:rPr>
          <w:rFonts w:ascii="Times New Roman" w:hAnsi="Times New Roman" w:cs="Times New Roman"/>
          <w:sz w:val="24"/>
          <w:szCs w:val="24"/>
        </w:rPr>
        <w:t>can</w:t>
      </w:r>
      <w:r w:rsidR="007305F2" w:rsidRPr="00900527">
        <w:rPr>
          <w:rFonts w:ascii="Times New Roman" w:hAnsi="Times New Roman" w:cs="Times New Roman"/>
          <w:sz w:val="24"/>
          <w:szCs w:val="24"/>
        </w:rPr>
        <w:t xml:space="preserve"> to promote the </w:t>
      </w:r>
      <w:r w:rsidRPr="00900527">
        <w:rPr>
          <w:rFonts w:ascii="Times New Roman" w:hAnsi="Times New Roman" w:cs="Times New Roman"/>
          <w:sz w:val="24"/>
          <w:szCs w:val="24"/>
        </w:rPr>
        <w:t xml:space="preserve">transparency, accountability, and efficiency in financial market. </w:t>
      </w:r>
      <w:r w:rsidR="007305F2" w:rsidRPr="00900527">
        <w:rPr>
          <w:rFonts w:ascii="Times New Roman" w:hAnsi="Times New Roman" w:cs="Times New Roman"/>
          <w:sz w:val="24"/>
          <w:szCs w:val="24"/>
        </w:rPr>
        <w:t xml:space="preserve"> </w:t>
      </w:r>
    </w:p>
    <w:p w14:paraId="3CE720B9" w14:textId="7ECE13E5" w:rsidR="00086EE7" w:rsidRDefault="00086EE7"/>
    <w:p w14:paraId="42DE261D" w14:textId="5F68EBFE" w:rsidR="003E5C53" w:rsidRDefault="003E5C53"/>
    <w:p w14:paraId="573257B9" w14:textId="415C35FD" w:rsidR="003E5C53" w:rsidRDefault="003E5C53"/>
    <w:p w14:paraId="09900654" w14:textId="754F68B4" w:rsidR="003E5C53" w:rsidRDefault="003E5C53"/>
    <w:sdt>
      <w:sdtPr>
        <w:id w:val="-1468509047"/>
        <w:docPartObj>
          <w:docPartGallery w:val="Bibliographies"/>
          <w:docPartUnique/>
        </w:docPartObj>
      </w:sdtPr>
      <w:sdtEndPr>
        <w:rPr>
          <w:rFonts w:asciiTheme="minorHAnsi" w:eastAsiaTheme="minorHAnsi" w:hAnsiTheme="minorHAnsi" w:cstheme="minorBidi"/>
          <w:color w:val="auto"/>
          <w:sz w:val="22"/>
          <w:szCs w:val="28"/>
          <w:lang w:bidi="bn-BD"/>
        </w:rPr>
      </w:sdtEndPr>
      <w:sdtContent>
        <w:p w14:paraId="7E1DEA37" w14:textId="2D0281DA" w:rsidR="003E5C53" w:rsidRPr="003E5C53" w:rsidRDefault="003E5C53" w:rsidP="003E5C53">
          <w:pPr>
            <w:pStyle w:val="Heading1"/>
            <w:spacing w:before="0" w:line="480" w:lineRule="auto"/>
            <w:jc w:val="center"/>
            <w:rPr>
              <w:rFonts w:ascii="Times New Roman" w:hAnsi="Times New Roman" w:cs="Times New Roman"/>
              <w:b/>
              <w:bCs/>
              <w:sz w:val="28"/>
              <w:szCs w:val="28"/>
            </w:rPr>
          </w:pPr>
          <w:r w:rsidRPr="003E5C53">
            <w:rPr>
              <w:rFonts w:ascii="Times New Roman" w:hAnsi="Times New Roman" w:cs="Times New Roman"/>
              <w:b/>
              <w:bCs/>
              <w:sz w:val="28"/>
              <w:szCs w:val="28"/>
            </w:rPr>
            <w:t>Bibliography</w:t>
          </w:r>
        </w:p>
        <w:sdt>
          <w:sdtPr>
            <w:rPr>
              <w:rFonts w:ascii="Times New Roman" w:hAnsi="Times New Roman" w:cs="Times New Roman"/>
              <w:sz w:val="24"/>
              <w:szCs w:val="24"/>
            </w:rPr>
            <w:id w:val="111145805"/>
            <w:bibliography/>
          </w:sdtPr>
          <w:sdtEndPr>
            <w:rPr>
              <w:rFonts w:asciiTheme="minorHAnsi" w:hAnsiTheme="minorHAnsi" w:cstheme="minorBidi"/>
              <w:sz w:val="22"/>
              <w:szCs w:val="28"/>
            </w:rPr>
          </w:sdtEndPr>
          <w:sdtContent>
            <w:p w14:paraId="2CB6B84A" w14:textId="77777777"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sz w:val="24"/>
                  <w:szCs w:val="24"/>
                </w:rPr>
                <w:fldChar w:fldCharType="begin"/>
              </w:r>
              <w:r w:rsidRPr="003E5C53">
                <w:rPr>
                  <w:rFonts w:ascii="Times New Roman" w:hAnsi="Times New Roman" w:cs="Times New Roman"/>
                  <w:sz w:val="24"/>
                  <w:szCs w:val="24"/>
                </w:rPr>
                <w:instrText xml:space="preserve"> BIBLIOGRAPHY </w:instrText>
              </w:r>
              <w:r w:rsidRPr="003E5C53">
                <w:rPr>
                  <w:rFonts w:ascii="Times New Roman" w:hAnsi="Times New Roman" w:cs="Times New Roman"/>
                  <w:sz w:val="24"/>
                  <w:szCs w:val="24"/>
                </w:rPr>
                <w:fldChar w:fldCharType="separate"/>
              </w:r>
              <w:r w:rsidRPr="003E5C53">
                <w:rPr>
                  <w:rFonts w:ascii="Times New Roman" w:hAnsi="Times New Roman" w:cs="Times New Roman"/>
                  <w:noProof/>
                  <w:sz w:val="24"/>
                  <w:szCs w:val="24"/>
                </w:rPr>
                <w:t xml:space="preserve">Britton, A., Alexander, D., Jorissen, A., Hoogendoorn, M., &amp; Mourik, C. V. (2017). </w:t>
              </w:r>
              <w:r w:rsidRPr="003E5C53">
                <w:rPr>
                  <w:rFonts w:ascii="Times New Roman" w:hAnsi="Times New Roman" w:cs="Times New Roman"/>
                  <w:i/>
                  <w:iCs/>
                  <w:noProof/>
                  <w:sz w:val="24"/>
                  <w:szCs w:val="24"/>
                </w:rPr>
                <w:t>International Financial Reporting and Analysis.</w:t>
              </w:r>
              <w:r w:rsidRPr="003E5C53">
                <w:rPr>
                  <w:rFonts w:ascii="Times New Roman" w:hAnsi="Times New Roman" w:cs="Times New Roman"/>
                  <w:noProof/>
                  <w:sz w:val="24"/>
                  <w:szCs w:val="24"/>
                </w:rPr>
                <w:t xml:space="preserve"> 200 Pier Four Blvd, Boston, MA 02210, United States: Cengage Learning.</w:t>
              </w:r>
            </w:p>
            <w:p w14:paraId="78C8C4E6" w14:textId="0C61DC97"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Deloitte (2019, September 19). </w:t>
              </w:r>
              <w:r w:rsidRPr="003E5C53">
                <w:rPr>
                  <w:rFonts w:ascii="Times New Roman" w:hAnsi="Times New Roman" w:cs="Times New Roman"/>
                  <w:i/>
                  <w:iCs/>
                  <w:noProof/>
                  <w:sz w:val="24"/>
                  <w:szCs w:val="24"/>
                </w:rPr>
                <w:t>We comment on the IASB’s proposed amendments to IFRS 17</w:t>
              </w:r>
              <w:r>
                <w:rPr>
                  <w:rFonts w:ascii="Times New Roman" w:hAnsi="Times New Roman" w:cs="Times New Roman"/>
                  <w:i/>
                  <w:iCs/>
                  <w:noProof/>
                  <w:sz w:val="24"/>
                  <w:szCs w:val="24"/>
                </w:rPr>
                <w:t xml:space="preserve">. </w:t>
              </w:r>
              <w:r w:rsidRPr="003E5C53">
                <w:rPr>
                  <w:rFonts w:ascii="Times New Roman" w:hAnsi="Times New Roman" w:cs="Times New Roman"/>
                  <w:noProof/>
                  <w:sz w:val="24"/>
                  <w:szCs w:val="24"/>
                </w:rPr>
                <w:t>Retrieved November 03, 2020, from: https://www.iasplus.com/en/news/2019/09/ifrs-17</w:t>
              </w:r>
            </w:p>
            <w:p w14:paraId="49369979" w14:textId="35D87B99"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Deloitte (2020). </w:t>
              </w:r>
              <w:r w:rsidR="003F6979" w:rsidRPr="003F6979">
                <w:rPr>
                  <w:rFonts w:ascii="Times New Roman" w:hAnsi="Times New Roman" w:cs="Times New Roman"/>
                  <w:i/>
                  <w:iCs/>
                  <w:noProof/>
                  <w:sz w:val="24"/>
                  <w:szCs w:val="24"/>
                </w:rPr>
                <w:t>IASB publishes proposed amendments as a result of the second phase of its project on the IBOR reform</w:t>
              </w:r>
              <w:r w:rsidR="003F6979">
                <w:rPr>
                  <w:rFonts w:ascii="Times New Roman" w:hAnsi="Times New Roman" w:cs="Times New Roman"/>
                  <w:i/>
                  <w:iCs/>
                  <w:noProof/>
                  <w:sz w:val="24"/>
                  <w:szCs w:val="24"/>
                </w:rPr>
                <w:t>.</w:t>
              </w:r>
              <w:r w:rsidR="003F6979" w:rsidRPr="003E5C53">
                <w:rPr>
                  <w:rFonts w:ascii="Times New Roman" w:hAnsi="Times New Roman" w:cs="Times New Roman"/>
                  <w:noProof/>
                  <w:sz w:val="24"/>
                  <w:szCs w:val="24"/>
                </w:rPr>
                <w:t xml:space="preserve"> </w:t>
              </w:r>
              <w:r w:rsidRPr="003E5C53">
                <w:rPr>
                  <w:rFonts w:ascii="Times New Roman" w:hAnsi="Times New Roman" w:cs="Times New Roman"/>
                  <w:noProof/>
                  <w:sz w:val="24"/>
                  <w:szCs w:val="24"/>
                </w:rPr>
                <w:t>Retrieved November 03, 2020, from: https://www.iasplus.com/en/news/2020/04/ibor-reform-2</w:t>
              </w:r>
            </w:p>
            <w:p w14:paraId="4EAAA2C7" w14:textId="482324AA"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Deloitte (2020, September 15). </w:t>
              </w:r>
              <w:r w:rsidR="003F6979" w:rsidRPr="003F6979">
                <w:rPr>
                  <w:rFonts w:ascii="Times New Roman" w:hAnsi="Times New Roman" w:cs="Times New Roman"/>
                  <w:i/>
                  <w:iCs/>
                  <w:noProof/>
                  <w:sz w:val="24"/>
                  <w:szCs w:val="24"/>
                </w:rPr>
                <w:t>from IAS 12 — Deferred tax related to assets and liabilities arising from a single transaction</w:t>
              </w:r>
              <w:r w:rsidR="003F6979">
                <w:rPr>
                  <w:rFonts w:ascii="Times New Roman" w:hAnsi="Times New Roman" w:cs="Times New Roman"/>
                  <w:i/>
                  <w:iCs/>
                  <w:noProof/>
                  <w:sz w:val="24"/>
                  <w:szCs w:val="24"/>
                </w:rPr>
                <w:t>.</w:t>
              </w:r>
              <w:r w:rsidR="003F6979" w:rsidRPr="003E5C53">
                <w:rPr>
                  <w:rFonts w:ascii="Times New Roman" w:hAnsi="Times New Roman" w:cs="Times New Roman"/>
                  <w:noProof/>
                  <w:sz w:val="24"/>
                  <w:szCs w:val="24"/>
                </w:rPr>
                <w:t xml:space="preserve"> </w:t>
              </w:r>
              <w:r w:rsidRPr="003E5C53">
                <w:rPr>
                  <w:rFonts w:ascii="Times New Roman" w:hAnsi="Times New Roman" w:cs="Times New Roman"/>
                  <w:noProof/>
                  <w:sz w:val="24"/>
                  <w:szCs w:val="24"/>
                </w:rPr>
                <w:t>Retrieved November 02, 2020,: https://www.iasplus.com/en/meeting-notes/ifrs-ic/2020/september/ias-12</w:t>
              </w:r>
            </w:p>
            <w:p w14:paraId="033394BF" w14:textId="2E0646CF"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IASB (2020). </w:t>
              </w:r>
              <w:r w:rsidR="003F6979" w:rsidRPr="003F6979">
                <w:rPr>
                  <w:rFonts w:ascii="Times New Roman" w:hAnsi="Times New Roman" w:cs="Times New Roman"/>
                  <w:i/>
                  <w:iCs/>
                  <w:noProof/>
                  <w:sz w:val="24"/>
                  <w:szCs w:val="24"/>
                </w:rPr>
                <w:t>Exposure Draft: Classification of Liabilities as Current or Non-current—Deferral of Effective Date</w:t>
              </w:r>
              <w:r w:rsidR="003F6979">
                <w:rPr>
                  <w:rFonts w:ascii="Times New Roman" w:hAnsi="Times New Roman" w:cs="Times New Roman"/>
                  <w:noProof/>
                  <w:sz w:val="24"/>
                  <w:szCs w:val="24"/>
                </w:rPr>
                <w:t xml:space="preserve">. </w:t>
              </w:r>
              <w:r w:rsidRPr="003E5C53">
                <w:rPr>
                  <w:rFonts w:ascii="Times New Roman" w:hAnsi="Times New Roman" w:cs="Times New Roman"/>
                  <w:noProof/>
                  <w:sz w:val="24"/>
                  <w:szCs w:val="24"/>
                </w:rPr>
                <w:t>Retrieved November 02, 2020, from: https://cdn.ifrs.org/-/media/project/classification-of-liabilities/published-documents/classification-of-liabilities-deferral-date-ed.pdf</w:t>
              </w:r>
            </w:p>
            <w:p w14:paraId="6CDE1ECD" w14:textId="5BAFF08B"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IFRS (2020). </w:t>
              </w:r>
              <w:r w:rsidR="003F6979" w:rsidRPr="003F6979">
                <w:rPr>
                  <w:rFonts w:ascii="Times New Roman" w:hAnsi="Times New Roman" w:cs="Times New Roman"/>
                  <w:i/>
                  <w:iCs/>
                  <w:noProof/>
                  <w:sz w:val="24"/>
                  <w:szCs w:val="24"/>
                </w:rPr>
                <w:t>Exposure Draft and comment letters—Amendments to IFRS 17</w:t>
              </w:r>
              <w:r w:rsidR="003F6979">
                <w:rPr>
                  <w:rFonts w:ascii="Times New Roman" w:hAnsi="Times New Roman" w:cs="Times New Roman"/>
                  <w:i/>
                  <w:iCs/>
                  <w:noProof/>
                  <w:sz w:val="24"/>
                  <w:szCs w:val="24"/>
                </w:rPr>
                <w:t xml:space="preserve">. </w:t>
              </w:r>
              <w:r w:rsidRPr="003E5C53">
                <w:rPr>
                  <w:rFonts w:ascii="Times New Roman" w:hAnsi="Times New Roman" w:cs="Times New Roman"/>
                  <w:noProof/>
                  <w:sz w:val="24"/>
                  <w:szCs w:val="24"/>
                </w:rPr>
                <w:t>Retrieved November 03, 2020, from: https://www.ifrs.org/projects/2020/amendments-to-ifrs-17/comment-letters-projects/ed-amendments-to-ifrs-17/</w:t>
              </w:r>
            </w:p>
            <w:p w14:paraId="2050A041" w14:textId="41443900"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Kenton, W., &amp; Kindness, D. (2020, July 12). </w:t>
              </w:r>
              <w:r w:rsidR="003F6979" w:rsidRPr="003F6979">
                <w:rPr>
                  <w:rFonts w:ascii="Times New Roman" w:hAnsi="Times New Roman" w:cs="Times New Roman"/>
                  <w:i/>
                  <w:iCs/>
                  <w:noProof/>
                  <w:sz w:val="24"/>
                  <w:szCs w:val="24"/>
                </w:rPr>
                <w:t>International Accounting Standards (IAS)</w:t>
              </w:r>
              <w:r w:rsidRPr="003E5C53">
                <w:rPr>
                  <w:rFonts w:ascii="Times New Roman" w:hAnsi="Times New Roman" w:cs="Times New Roman"/>
                  <w:noProof/>
                  <w:sz w:val="24"/>
                  <w:szCs w:val="24"/>
                </w:rPr>
                <w:t>. Retrieved November 03, 2020, from: https://www.investopedia.com/terms/i/ias.asp</w:t>
              </w:r>
            </w:p>
            <w:p w14:paraId="502098E2" w14:textId="77777777" w:rsidR="003E5C53" w:rsidRPr="003E5C53" w:rsidRDefault="003E5C53" w:rsidP="003E5C53">
              <w:pPr>
                <w:pStyle w:val="Bibliography"/>
                <w:spacing w:after="0" w:line="480" w:lineRule="auto"/>
                <w:ind w:left="720" w:hanging="720"/>
                <w:rPr>
                  <w:rFonts w:ascii="Times New Roman" w:hAnsi="Times New Roman" w:cs="Times New Roman"/>
                  <w:noProof/>
                  <w:sz w:val="24"/>
                  <w:szCs w:val="24"/>
                </w:rPr>
              </w:pPr>
              <w:r w:rsidRPr="003E5C53">
                <w:rPr>
                  <w:rFonts w:ascii="Times New Roman" w:hAnsi="Times New Roman" w:cs="Times New Roman"/>
                  <w:noProof/>
                  <w:sz w:val="24"/>
                  <w:szCs w:val="24"/>
                </w:rPr>
                <w:t xml:space="preserve">Melville, A. (2019). </w:t>
              </w:r>
              <w:r w:rsidRPr="003E5C53">
                <w:rPr>
                  <w:rFonts w:ascii="Times New Roman" w:hAnsi="Times New Roman" w:cs="Times New Roman"/>
                  <w:i/>
                  <w:iCs/>
                  <w:noProof/>
                  <w:sz w:val="24"/>
                  <w:szCs w:val="24"/>
                </w:rPr>
                <w:t>International Financial Reporting: A Practical Guide .</w:t>
              </w:r>
              <w:r w:rsidRPr="003E5C53">
                <w:rPr>
                  <w:rFonts w:ascii="Times New Roman" w:hAnsi="Times New Roman" w:cs="Times New Roman"/>
                  <w:noProof/>
                  <w:sz w:val="24"/>
                  <w:szCs w:val="24"/>
                </w:rPr>
                <w:t xml:space="preserve"> 445 Hutchinson Ave # 400, Columbus, OH 43235, United States: Pearson Education .</w:t>
              </w:r>
            </w:p>
            <w:p w14:paraId="0270B755" w14:textId="1691765A" w:rsidR="003E5C53" w:rsidRDefault="003E5C53" w:rsidP="00A47FF1">
              <w:pPr>
                <w:spacing w:after="0" w:line="480" w:lineRule="auto"/>
              </w:pPr>
              <w:r w:rsidRPr="003E5C53">
                <w:rPr>
                  <w:rFonts w:ascii="Times New Roman" w:hAnsi="Times New Roman" w:cs="Times New Roman"/>
                  <w:b/>
                  <w:bCs/>
                  <w:noProof/>
                  <w:sz w:val="24"/>
                  <w:szCs w:val="24"/>
                </w:rPr>
                <w:lastRenderedPageBreak/>
                <w:fldChar w:fldCharType="end"/>
              </w:r>
            </w:p>
          </w:sdtContent>
        </w:sdt>
      </w:sdtContent>
    </w:sdt>
    <w:sectPr w:rsidR="003E5C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951616"/>
    <w:multiLevelType w:val="hybridMultilevel"/>
    <w:tmpl w:val="DD7ED128"/>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D60014"/>
    <w:multiLevelType w:val="hybridMultilevel"/>
    <w:tmpl w:val="524C8D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DD3223"/>
    <w:multiLevelType w:val="multilevel"/>
    <w:tmpl w:val="43CC6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1B7F79"/>
    <w:multiLevelType w:val="hybridMultilevel"/>
    <w:tmpl w:val="25243D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9BC"/>
    <w:rsid w:val="00022A55"/>
    <w:rsid w:val="00030EC0"/>
    <w:rsid w:val="00050565"/>
    <w:rsid w:val="000661FE"/>
    <w:rsid w:val="0008385D"/>
    <w:rsid w:val="00086EE7"/>
    <w:rsid w:val="000F6992"/>
    <w:rsid w:val="00206D30"/>
    <w:rsid w:val="00222C4C"/>
    <w:rsid w:val="002B2CF1"/>
    <w:rsid w:val="002D5921"/>
    <w:rsid w:val="002F5879"/>
    <w:rsid w:val="002F77C5"/>
    <w:rsid w:val="003C77EB"/>
    <w:rsid w:val="003E5C53"/>
    <w:rsid w:val="003F1785"/>
    <w:rsid w:val="003F6979"/>
    <w:rsid w:val="003F6DC1"/>
    <w:rsid w:val="004006EC"/>
    <w:rsid w:val="005605FE"/>
    <w:rsid w:val="005E252C"/>
    <w:rsid w:val="007305F2"/>
    <w:rsid w:val="007C7097"/>
    <w:rsid w:val="00900527"/>
    <w:rsid w:val="00916E64"/>
    <w:rsid w:val="009429BC"/>
    <w:rsid w:val="00A26CBE"/>
    <w:rsid w:val="00A47FF1"/>
    <w:rsid w:val="00A517EA"/>
    <w:rsid w:val="00BE6F2B"/>
    <w:rsid w:val="00C466CD"/>
    <w:rsid w:val="00DF4DD0"/>
    <w:rsid w:val="00F13F01"/>
    <w:rsid w:val="00F37E44"/>
    <w:rsid w:val="00F42B51"/>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5CF63"/>
  <w15:chartTrackingRefBased/>
  <w15:docId w15:val="{65F42304-0D5C-4A0F-9C03-7AAE9B928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5C53"/>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86EE7"/>
    <w:rPr>
      <w:i/>
      <w:iCs/>
    </w:rPr>
  </w:style>
  <w:style w:type="paragraph" w:styleId="NormalWeb">
    <w:name w:val="Normal (Web)"/>
    <w:basedOn w:val="Normal"/>
    <w:uiPriority w:val="99"/>
    <w:semiHidden/>
    <w:unhideWhenUsed/>
    <w:rsid w:val="00086EE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86EE7"/>
    <w:rPr>
      <w:color w:val="0000FF"/>
      <w:u w:val="single"/>
    </w:rPr>
  </w:style>
  <w:style w:type="table" w:styleId="TableGrid">
    <w:name w:val="Table Grid"/>
    <w:basedOn w:val="TableNormal"/>
    <w:uiPriority w:val="39"/>
    <w:rsid w:val="000505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2C4C"/>
    <w:pPr>
      <w:ind w:left="720"/>
      <w:contextualSpacing/>
    </w:pPr>
  </w:style>
  <w:style w:type="character" w:customStyle="1" w:styleId="Heading1Char">
    <w:name w:val="Heading 1 Char"/>
    <w:basedOn w:val="DefaultParagraphFont"/>
    <w:link w:val="Heading1"/>
    <w:uiPriority w:val="9"/>
    <w:rsid w:val="003E5C53"/>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3E5C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26852">
      <w:bodyDiv w:val="1"/>
      <w:marLeft w:val="0"/>
      <w:marRight w:val="0"/>
      <w:marTop w:val="0"/>
      <w:marBottom w:val="0"/>
      <w:divBdr>
        <w:top w:val="none" w:sz="0" w:space="0" w:color="auto"/>
        <w:left w:val="none" w:sz="0" w:space="0" w:color="auto"/>
        <w:bottom w:val="none" w:sz="0" w:space="0" w:color="auto"/>
        <w:right w:val="none" w:sz="0" w:space="0" w:color="auto"/>
      </w:divBdr>
      <w:divsChild>
        <w:div w:id="1454904018">
          <w:marLeft w:val="0"/>
          <w:marRight w:val="0"/>
          <w:marTop w:val="0"/>
          <w:marBottom w:val="0"/>
          <w:divBdr>
            <w:top w:val="none" w:sz="0" w:space="0" w:color="auto"/>
            <w:left w:val="none" w:sz="0" w:space="0" w:color="auto"/>
            <w:bottom w:val="none" w:sz="0" w:space="0" w:color="auto"/>
            <w:right w:val="none" w:sz="0" w:space="0" w:color="auto"/>
          </w:divBdr>
        </w:div>
      </w:divsChild>
    </w:div>
    <w:div w:id="260992044">
      <w:bodyDiv w:val="1"/>
      <w:marLeft w:val="0"/>
      <w:marRight w:val="0"/>
      <w:marTop w:val="0"/>
      <w:marBottom w:val="0"/>
      <w:divBdr>
        <w:top w:val="none" w:sz="0" w:space="0" w:color="auto"/>
        <w:left w:val="none" w:sz="0" w:space="0" w:color="auto"/>
        <w:bottom w:val="none" w:sz="0" w:space="0" w:color="auto"/>
        <w:right w:val="none" w:sz="0" w:space="0" w:color="auto"/>
      </w:divBdr>
    </w:div>
    <w:div w:id="452090724">
      <w:bodyDiv w:val="1"/>
      <w:marLeft w:val="0"/>
      <w:marRight w:val="0"/>
      <w:marTop w:val="0"/>
      <w:marBottom w:val="0"/>
      <w:divBdr>
        <w:top w:val="none" w:sz="0" w:space="0" w:color="auto"/>
        <w:left w:val="none" w:sz="0" w:space="0" w:color="auto"/>
        <w:bottom w:val="none" w:sz="0" w:space="0" w:color="auto"/>
        <w:right w:val="none" w:sz="0" w:space="0" w:color="auto"/>
      </w:divBdr>
    </w:div>
    <w:div w:id="745999922">
      <w:bodyDiv w:val="1"/>
      <w:marLeft w:val="0"/>
      <w:marRight w:val="0"/>
      <w:marTop w:val="0"/>
      <w:marBottom w:val="0"/>
      <w:divBdr>
        <w:top w:val="none" w:sz="0" w:space="0" w:color="auto"/>
        <w:left w:val="none" w:sz="0" w:space="0" w:color="auto"/>
        <w:bottom w:val="none" w:sz="0" w:space="0" w:color="auto"/>
        <w:right w:val="none" w:sz="0" w:space="0" w:color="auto"/>
      </w:divBdr>
      <w:divsChild>
        <w:div w:id="1298298959">
          <w:marLeft w:val="0"/>
          <w:marRight w:val="0"/>
          <w:marTop w:val="0"/>
          <w:marBottom w:val="0"/>
          <w:divBdr>
            <w:top w:val="none" w:sz="0" w:space="0" w:color="auto"/>
            <w:left w:val="none" w:sz="0" w:space="0" w:color="auto"/>
            <w:bottom w:val="none" w:sz="0" w:space="0" w:color="auto"/>
            <w:right w:val="none" w:sz="0" w:space="0" w:color="auto"/>
          </w:divBdr>
        </w:div>
      </w:divsChild>
    </w:div>
    <w:div w:id="862938915">
      <w:bodyDiv w:val="1"/>
      <w:marLeft w:val="0"/>
      <w:marRight w:val="0"/>
      <w:marTop w:val="0"/>
      <w:marBottom w:val="0"/>
      <w:divBdr>
        <w:top w:val="none" w:sz="0" w:space="0" w:color="auto"/>
        <w:left w:val="none" w:sz="0" w:space="0" w:color="auto"/>
        <w:bottom w:val="none" w:sz="0" w:space="0" w:color="auto"/>
        <w:right w:val="none" w:sz="0" w:space="0" w:color="auto"/>
      </w:divBdr>
    </w:div>
    <w:div w:id="917905794">
      <w:bodyDiv w:val="1"/>
      <w:marLeft w:val="0"/>
      <w:marRight w:val="0"/>
      <w:marTop w:val="0"/>
      <w:marBottom w:val="0"/>
      <w:divBdr>
        <w:top w:val="none" w:sz="0" w:space="0" w:color="auto"/>
        <w:left w:val="none" w:sz="0" w:space="0" w:color="auto"/>
        <w:bottom w:val="none" w:sz="0" w:space="0" w:color="auto"/>
        <w:right w:val="none" w:sz="0" w:space="0" w:color="auto"/>
      </w:divBdr>
    </w:div>
    <w:div w:id="992636687">
      <w:bodyDiv w:val="1"/>
      <w:marLeft w:val="0"/>
      <w:marRight w:val="0"/>
      <w:marTop w:val="0"/>
      <w:marBottom w:val="0"/>
      <w:divBdr>
        <w:top w:val="none" w:sz="0" w:space="0" w:color="auto"/>
        <w:left w:val="none" w:sz="0" w:space="0" w:color="auto"/>
        <w:bottom w:val="none" w:sz="0" w:space="0" w:color="auto"/>
        <w:right w:val="none" w:sz="0" w:space="0" w:color="auto"/>
      </w:divBdr>
    </w:div>
    <w:div w:id="1139881565">
      <w:bodyDiv w:val="1"/>
      <w:marLeft w:val="0"/>
      <w:marRight w:val="0"/>
      <w:marTop w:val="0"/>
      <w:marBottom w:val="0"/>
      <w:divBdr>
        <w:top w:val="none" w:sz="0" w:space="0" w:color="auto"/>
        <w:left w:val="none" w:sz="0" w:space="0" w:color="auto"/>
        <w:bottom w:val="none" w:sz="0" w:space="0" w:color="auto"/>
        <w:right w:val="none" w:sz="0" w:space="0" w:color="auto"/>
      </w:divBdr>
      <w:divsChild>
        <w:div w:id="29763235">
          <w:marLeft w:val="0"/>
          <w:marRight w:val="0"/>
          <w:marTop w:val="0"/>
          <w:marBottom w:val="0"/>
          <w:divBdr>
            <w:top w:val="none" w:sz="0" w:space="0" w:color="auto"/>
            <w:left w:val="none" w:sz="0" w:space="0" w:color="auto"/>
            <w:bottom w:val="none" w:sz="0" w:space="0" w:color="auto"/>
            <w:right w:val="none" w:sz="0" w:space="0" w:color="auto"/>
          </w:divBdr>
        </w:div>
      </w:divsChild>
    </w:div>
    <w:div w:id="1210142767">
      <w:bodyDiv w:val="1"/>
      <w:marLeft w:val="0"/>
      <w:marRight w:val="0"/>
      <w:marTop w:val="0"/>
      <w:marBottom w:val="0"/>
      <w:divBdr>
        <w:top w:val="none" w:sz="0" w:space="0" w:color="auto"/>
        <w:left w:val="none" w:sz="0" w:space="0" w:color="auto"/>
        <w:bottom w:val="none" w:sz="0" w:space="0" w:color="auto"/>
        <w:right w:val="none" w:sz="0" w:space="0" w:color="auto"/>
      </w:divBdr>
    </w:div>
    <w:div w:id="1696467765">
      <w:bodyDiv w:val="1"/>
      <w:marLeft w:val="0"/>
      <w:marRight w:val="0"/>
      <w:marTop w:val="0"/>
      <w:marBottom w:val="0"/>
      <w:divBdr>
        <w:top w:val="none" w:sz="0" w:space="0" w:color="auto"/>
        <w:left w:val="none" w:sz="0" w:space="0" w:color="auto"/>
        <w:bottom w:val="none" w:sz="0" w:space="0" w:color="auto"/>
        <w:right w:val="none" w:sz="0" w:space="0" w:color="auto"/>
      </w:divBdr>
    </w:div>
    <w:div w:id="1730611322">
      <w:bodyDiv w:val="1"/>
      <w:marLeft w:val="0"/>
      <w:marRight w:val="0"/>
      <w:marTop w:val="0"/>
      <w:marBottom w:val="0"/>
      <w:divBdr>
        <w:top w:val="none" w:sz="0" w:space="0" w:color="auto"/>
        <w:left w:val="none" w:sz="0" w:space="0" w:color="auto"/>
        <w:bottom w:val="none" w:sz="0" w:space="0" w:color="auto"/>
        <w:right w:val="none" w:sz="0" w:space="0" w:color="auto"/>
      </w:divBdr>
    </w:div>
    <w:div w:id="1780488289">
      <w:bodyDiv w:val="1"/>
      <w:marLeft w:val="0"/>
      <w:marRight w:val="0"/>
      <w:marTop w:val="0"/>
      <w:marBottom w:val="0"/>
      <w:divBdr>
        <w:top w:val="none" w:sz="0" w:space="0" w:color="auto"/>
        <w:left w:val="none" w:sz="0" w:space="0" w:color="auto"/>
        <w:bottom w:val="none" w:sz="0" w:space="0" w:color="auto"/>
        <w:right w:val="none" w:sz="0" w:space="0" w:color="auto"/>
      </w:divBdr>
    </w:div>
    <w:div w:id="1974366941">
      <w:bodyDiv w:val="1"/>
      <w:marLeft w:val="0"/>
      <w:marRight w:val="0"/>
      <w:marTop w:val="0"/>
      <w:marBottom w:val="0"/>
      <w:divBdr>
        <w:top w:val="none" w:sz="0" w:space="0" w:color="auto"/>
        <w:left w:val="none" w:sz="0" w:space="0" w:color="auto"/>
        <w:bottom w:val="none" w:sz="0" w:space="0" w:color="auto"/>
        <w:right w:val="none" w:sz="0" w:space="0" w:color="auto"/>
      </w:divBdr>
    </w:div>
    <w:div w:id="2053990669">
      <w:bodyDiv w:val="1"/>
      <w:marLeft w:val="0"/>
      <w:marRight w:val="0"/>
      <w:marTop w:val="0"/>
      <w:marBottom w:val="0"/>
      <w:divBdr>
        <w:top w:val="none" w:sz="0" w:space="0" w:color="auto"/>
        <w:left w:val="none" w:sz="0" w:space="0" w:color="auto"/>
        <w:bottom w:val="none" w:sz="0" w:space="0" w:color="auto"/>
        <w:right w:val="none" w:sz="0" w:space="0" w:color="auto"/>
      </w:divBdr>
    </w:div>
    <w:div w:id="2110850100">
      <w:bodyDiv w:val="1"/>
      <w:marLeft w:val="0"/>
      <w:marRight w:val="0"/>
      <w:marTop w:val="0"/>
      <w:marBottom w:val="0"/>
      <w:divBdr>
        <w:top w:val="none" w:sz="0" w:space="0" w:color="auto"/>
        <w:left w:val="none" w:sz="0" w:space="0" w:color="auto"/>
        <w:bottom w:val="none" w:sz="0" w:space="0" w:color="auto"/>
        <w:right w:val="none" w:sz="0" w:space="0" w:color="auto"/>
      </w:divBdr>
      <w:divsChild>
        <w:div w:id="285163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Ken20</b:Tag>
    <b:SourceType>InternetSite</b:SourceType>
    <b:Guid>{587E6EDE-69DB-4C77-9553-EEFCBC201498}</b:Guid>
    <b:Author>
      <b:Author>
        <b:NameList>
          <b:Person>
            <b:Last>Kenton</b:Last>
            <b:First>Will</b:First>
          </b:Person>
          <b:Person>
            <b:Last>Kindness</b:Last>
            <b:First>David</b:First>
          </b:Person>
        </b:NameList>
      </b:Author>
    </b:Author>
    <b:Title>Investopedia</b:Title>
    <b:InternetSiteTitle>International Accounting Standards (IAS)</b:InternetSiteTitle>
    <b:Year>2020</b:Year>
    <b:Month>July</b:Month>
    <b:Day>12</b:Day>
    <b:URL>https://www.investopedia.com/terms/i/ias.asp</b:URL>
    <b:YearAccessed>2020</b:YearAccessed>
    <b:MonthAccessed>November </b:MonthAccessed>
    <b:DayAccessed>03</b:DayAccessed>
    <b:RefOrder>6</b:RefOrder>
  </b:Source>
  <b:Source>
    <b:Tag>Ala19</b:Tag>
    <b:SourceType>Book</b:SourceType>
    <b:Guid>{3FF95CCA-D3F1-4AE7-B44E-D3198A41EFF5}</b:Guid>
    <b:Title>International Financial Reporting: A Practical Guide </b:Title>
    <b:Year>2019</b:Year>
    <b:Author>
      <b:Author>
        <b:NameList>
          <b:Person>
            <b:Last>Melville</b:Last>
            <b:First>Alan</b:First>
          </b:Person>
        </b:NameList>
      </b:Author>
    </b:Author>
    <b:City>445 Hutchinson Ave # 400, Columbus, OH 43235, United States</b:City>
    <b:Publisher>Pearson Education </b:Publisher>
    <b:RefOrder>2</b:RefOrder>
  </b:Source>
  <b:Source>
    <b:Tag>Ann17</b:Tag>
    <b:SourceType>Book</b:SourceType>
    <b:Guid>{00EFF4E9-E174-4021-B1EB-04609953B065}</b:Guid>
    <b:Author>
      <b:Author>
        <b:NameList>
          <b:Person>
            <b:Last>Britton</b:Last>
            <b:First>Anne</b:First>
          </b:Person>
          <b:Person>
            <b:Last>Alexander</b:Last>
            <b:First>David</b:First>
          </b:Person>
          <b:Person>
            <b:Last>Jorissen</b:Last>
            <b:First>Ann</b:First>
          </b:Person>
          <b:Person>
            <b:Last>Hoogendoorn</b:Last>
            <b:First>Martin</b:First>
          </b:Person>
          <b:Person>
            <b:Last>Mourik</b:Last>
            <b:First>Carien</b:First>
            <b:Middle>Van</b:Middle>
          </b:Person>
        </b:NameList>
      </b:Author>
    </b:Author>
    <b:Title>International Financial Reporting and Analysis</b:Title>
    <b:Year>2017</b:Year>
    <b:City>200 Pier Four Blvd, Boston, MA 02210, United States</b:City>
    <b:Publisher>Cengage Learning</b:Publisher>
    <b:RefOrder>1</b:RefOrder>
  </b:Source>
  <b:Source>
    <b:Tag>IAS20</b:Tag>
    <b:SourceType>InternetSite</b:SourceType>
    <b:Guid>{09671D67-4A94-4D60-8B57-68E50E5F5C55}</b:Guid>
    <b:Title>IASB</b:Title>
    <b:Year>2020</b:Year>
    <b:InternetSiteTitle>Exposure Draft: Classification of Liabilities as Current or Non-current—Deferral of Effective Date</b:InternetSiteTitle>
    <b:URL>https://cdn.ifrs.org/-/media/project/classification-of-liabilities/published-documents/classification-of-liabilities-deferral-date-ed.pdf</b:URL>
    <b:YearAccessed>2020</b:YearAccessed>
    <b:MonthAccessed>November</b:MonthAccessed>
    <b:DayAccessed>02</b:DayAccessed>
    <b:RefOrder>3</b:RefOrder>
  </b:Source>
  <b:Source>
    <b:Tag>Del20</b:Tag>
    <b:SourceType>InternetSite</b:SourceType>
    <b:Guid>{6D97BB5E-F289-40D2-8E75-8272F5A71FF4}</b:Guid>
    <b:Title>Deloitte</b:Title>
    <b:InternetSiteTitle>IASB publishes proposed amendments as a result of the second phase of its project on the IBOR reform</b:InternetSiteTitle>
    <b:Year>2020</b:Year>
    <b:URL>https://www.iasplus.com/en/news/2020/04/ibor-reform-2</b:URL>
    <b:YearAccessed>2020</b:YearAccessed>
    <b:MonthAccessed>November</b:MonthAccessed>
    <b:DayAccessed>03</b:DayAccessed>
    <b:RefOrder>7</b:RefOrder>
  </b:Source>
  <b:Source>
    <b:Tag>Del201</b:Tag>
    <b:SourceType>InternetSite</b:SourceType>
    <b:Guid>{430415B8-3126-4E8C-8729-544E3571F27E}</b:Guid>
    <b:Title>Deloitte</b:Title>
    <b:InternetSiteTitle>IAS 12 — Deferred tax related to assets and liabilities arising from a single transaction</b:InternetSiteTitle>
    <b:Year>2020</b:Year>
    <b:Month>September</b:Month>
    <b:Day>15</b:Day>
    <b:URL>https://www.iasplus.com/en/meeting-notes/ifrs-ic/2020/september/ias-12</b:URL>
    <b:YearAccessed>2020</b:YearAccessed>
    <b:MonthAccessed>November </b:MonthAccessed>
    <b:DayAccessed>02</b:DayAccessed>
    <b:RefOrder>4</b:RefOrder>
  </b:Source>
  <b:Source>
    <b:Tag>IFR20</b:Tag>
    <b:SourceType>InternetSite</b:SourceType>
    <b:Guid>{66DCD99F-FCDE-4FB1-93D3-F0FA135556B3}</b:Guid>
    <b:Title>IFRS</b:Title>
    <b:InternetSiteTitle>Exposure Draft and comment letters—Amendments to IFRS 17</b:InternetSiteTitle>
    <b:Year>2020</b:Year>
    <b:URL>https://www.ifrs.org/projects/2020/amendments-to-ifrs-17/comment-letters-projects/ed-amendments-to-ifrs-17/</b:URL>
    <b:YearAccessed>2020</b:YearAccessed>
    <b:MonthAccessed>November </b:MonthAccessed>
    <b:DayAccessed>03</b:DayAccessed>
    <b:RefOrder>5</b:RefOrder>
  </b:Source>
  <b:Source>
    <b:Tag>Del19</b:Tag>
    <b:SourceType>InternetSite</b:SourceType>
    <b:Guid>{E7745A9D-6754-4073-85B1-B9A07975EBFA}</b:Guid>
    <b:Title>Deloitte</b:Title>
    <b:InternetSiteTitle>We comment on the IASB’s proposed amendments to IFRS 17</b:InternetSiteTitle>
    <b:Year>2019</b:Year>
    <b:Month>September</b:Month>
    <b:Day>19</b:Day>
    <b:URL>https://www.iasplus.com/en/news/2019/09/ifrs-17</b:URL>
    <b:YearAccessed>2020</b:YearAccessed>
    <b:MonthAccessed>November </b:MonthAccessed>
    <b:DayAccessed>03</b:DayAccessed>
    <b:RefOrder>8</b:RefOrder>
  </b:Source>
</b:Sources>
</file>

<file path=customXml/itemProps1.xml><?xml version="1.0" encoding="utf-8"?>
<ds:datastoreItem xmlns:ds="http://schemas.openxmlformats.org/officeDocument/2006/customXml" ds:itemID="{9EA00F0C-4F96-475B-801B-E28DFF903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1271</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2020-11-05T05:48:00Z</dcterms:created>
  <dcterms:modified xsi:type="dcterms:W3CDTF">2020-11-05T05:48:00Z</dcterms:modified>
</cp:coreProperties>
</file>