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Ex1.xml" ContentType="application/vnd.ms-office.chartex+xml"/>
  <Override PartName="/word/charts/style1.xml" ContentType="application/vnd.ms-office.chartstyle+xml"/>
  <Override PartName="/word/charts/colors1.xml" ContentType="application/vnd.ms-office.chartcolorstyle+xml"/>
  <Override PartName="/word/charts/chartEx2.xml" ContentType="application/vnd.ms-office.chartex+xml"/>
  <Override PartName="/word/charts/style2.xml" ContentType="application/vnd.ms-office.chartstyle+xml"/>
  <Override PartName="/word/charts/colors2.xml" ContentType="application/vnd.ms-office.chartcolorstyle+xml"/>
  <Override PartName="/word/charts/chartEx3.xml" ContentType="application/vnd.ms-office.chartex+xml"/>
  <Override PartName="/word/charts/style3.xml" ContentType="application/vnd.ms-office.chartstyle+xml"/>
  <Override PartName="/word/charts/colors3.xml" ContentType="application/vnd.ms-office.chartcolorstyle+xml"/>
  <Override PartName="/word/charts/chartEx4.xml" ContentType="application/vnd.ms-office.chartex+xml"/>
  <Override PartName="/word/charts/style4.xml" ContentType="application/vnd.ms-office.chartstyle+xml"/>
  <Override PartName="/word/charts/colors4.xml" ContentType="application/vnd.ms-office.chartcolorstyle+xml"/>
  <Override PartName="/word/charts/chart1.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2.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3.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4.xml" ContentType="application/vnd.openxmlformats-officedocument.drawingml.chart+xml"/>
  <Override PartName="/word/charts/style8.xml" ContentType="application/vnd.ms-office.chartstyle+xml"/>
  <Override PartName="/word/charts/colors8.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44530" w:rsidRDefault="00344530" w:rsidP="00344530">
      <w:pPr>
        <w:spacing w:after="0" w:line="480" w:lineRule="auto"/>
        <w:jc w:val="center"/>
        <w:rPr>
          <w:rFonts w:ascii="Times New Roman" w:hAnsi="Times New Roman" w:cs="Times New Roman"/>
          <w:sz w:val="24"/>
          <w:szCs w:val="24"/>
        </w:rPr>
      </w:pPr>
    </w:p>
    <w:p w:rsidR="00344530" w:rsidRDefault="00344530" w:rsidP="00344530">
      <w:pPr>
        <w:spacing w:after="0" w:line="480" w:lineRule="auto"/>
        <w:jc w:val="center"/>
        <w:rPr>
          <w:rFonts w:ascii="Times New Roman" w:hAnsi="Times New Roman" w:cs="Times New Roman"/>
          <w:sz w:val="24"/>
          <w:szCs w:val="24"/>
        </w:rPr>
      </w:pPr>
    </w:p>
    <w:p w:rsidR="00344530" w:rsidRDefault="00344530" w:rsidP="00344530">
      <w:pPr>
        <w:spacing w:after="0" w:line="480" w:lineRule="auto"/>
        <w:jc w:val="center"/>
        <w:rPr>
          <w:rFonts w:ascii="Times New Roman" w:hAnsi="Times New Roman" w:cs="Times New Roman"/>
          <w:sz w:val="24"/>
          <w:szCs w:val="24"/>
        </w:rPr>
      </w:pPr>
    </w:p>
    <w:p w:rsidR="00344530" w:rsidRDefault="00344530" w:rsidP="00344530">
      <w:pPr>
        <w:spacing w:after="0" w:line="480" w:lineRule="auto"/>
        <w:jc w:val="center"/>
        <w:rPr>
          <w:rFonts w:ascii="Times New Roman" w:hAnsi="Times New Roman" w:cs="Times New Roman"/>
          <w:sz w:val="24"/>
          <w:szCs w:val="24"/>
        </w:rPr>
      </w:pPr>
    </w:p>
    <w:p w:rsidR="00344530" w:rsidRDefault="00344530" w:rsidP="00344530">
      <w:pPr>
        <w:spacing w:after="0" w:line="480" w:lineRule="auto"/>
        <w:jc w:val="center"/>
        <w:rPr>
          <w:rFonts w:ascii="Times New Roman" w:hAnsi="Times New Roman" w:cs="Times New Roman"/>
          <w:sz w:val="24"/>
          <w:szCs w:val="24"/>
        </w:rPr>
      </w:pPr>
    </w:p>
    <w:p w:rsidR="00344530" w:rsidRDefault="00344530" w:rsidP="00344530">
      <w:pPr>
        <w:spacing w:after="0" w:line="480" w:lineRule="auto"/>
        <w:jc w:val="center"/>
        <w:rPr>
          <w:rFonts w:ascii="Times New Roman" w:hAnsi="Times New Roman" w:cs="Times New Roman"/>
          <w:sz w:val="24"/>
          <w:szCs w:val="24"/>
        </w:rPr>
      </w:pPr>
    </w:p>
    <w:p w:rsidR="00344530" w:rsidRDefault="00344530" w:rsidP="00344530">
      <w:pPr>
        <w:spacing w:after="0" w:line="480" w:lineRule="auto"/>
        <w:jc w:val="center"/>
        <w:rPr>
          <w:rFonts w:ascii="Times New Roman" w:hAnsi="Times New Roman" w:cs="Times New Roman"/>
          <w:sz w:val="24"/>
          <w:szCs w:val="24"/>
        </w:rPr>
      </w:pPr>
    </w:p>
    <w:p w:rsidR="00344530" w:rsidRDefault="00344530" w:rsidP="00344530">
      <w:pPr>
        <w:spacing w:after="0" w:line="480" w:lineRule="auto"/>
        <w:jc w:val="center"/>
        <w:rPr>
          <w:rFonts w:ascii="Times New Roman" w:hAnsi="Times New Roman" w:cs="Times New Roman"/>
          <w:sz w:val="24"/>
          <w:szCs w:val="24"/>
        </w:rPr>
      </w:pPr>
    </w:p>
    <w:p w:rsidR="00344530" w:rsidRDefault="00344530" w:rsidP="00344530">
      <w:pPr>
        <w:spacing w:after="0" w:line="480" w:lineRule="auto"/>
        <w:jc w:val="center"/>
        <w:rPr>
          <w:rFonts w:ascii="Times New Roman" w:hAnsi="Times New Roman" w:cs="Times New Roman"/>
          <w:sz w:val="24"/>
          <w:szCs w:val="24"/>
        </w:rPr>
      </w:pPr>
    </w:p>
    <w:p w:rsidR="00344530" w:rsidRDefault="00344530" w:rsidP="00344530">
      <w:pPr>
        <w:spacing w:after="0" w:line="480" w:lineRule="auto"/>
        <w:jc w:val="center"/>
        <w:rPr>
          <w:rFonts w:ascii="Times New Roman" w:hAnsi="Times New Roman" w:cs="Times New Roman"/>
          <w:sz w:val="24"/>
          <w:szCs w:val="24"/>
        </w:rPr>
      </w:pPr>
    </w:p>
    <w:p w:rsidR="00344530" w:rsidRDefault="00344530" w:rsidP="00344530">
      <w:pPr>
        <w:spacing w:after="0" w:line="480" w:lineRule="auto"/>
        <w:jc w:val="center"/>
        <w:rPr>
          <w:rFonts w:ascii="Times New Roman" w:hAnsi="Times New Roman" w:cs="Times New Roman"/>
          <w:sz w:val="24"/>
          <w:szCs w:val="24"/>
        </w:rPr>
      </w:pPr>
      <w:r w:rsidRPr="00684719">
        <w:rPr>
          <w:rFonts w:ascii="Times New Roman" w:hAnsi="Times New Roman" w:cs="Times New Roman"/>
          <w:sz w:val="24"/>
          <w:szCs w:val="24"/>
        </w:rPr>
        <w:t>Analysis of Pastas R Us’ Marketing Strategy</w:t>
      </w:r>
    </w:p>
    <w:p w:rsidR="00344530" w:rsidRDefault="00344530" w:rsidP="0034453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Student Name</w:t>
      </w:r>
    </w:p>
    <w:p w:rsidR="00344530" w:rsidRPr="00684719" w:rsidRDefault="00344530" w:rsidP="0034453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Name of Institution </w:t>
      </w:r>
    </w:p>
    <w:p w:rsidR="00344530" w:rsidRDefault="00344530">
      <w:pPr>
        <w:rPr>
          <w:rFonts w:ascii="Times New Roman" w:hAnsi="Times New Roman" w:cs="Times New Roman"/>
          <w:sz w:val="24"/>
          <w:szCs w:val="24"/>
        </w:rPr>
      </w:pPr>
      <w:r>
        <w:rPr>
          <w:rFonts w:ascii="Times New Roman" w:hAnsi="Times New Roman" w:cs="Times New Roman"/>
          <w:sz w:val="24"/>
          <w:szCs w:val="24"/>
        </w:rPr>
        <w:br w:type="page"/>
      </w:r>
    </w:p>
    <w:p w:rsidR="00780D1A" w:rsidRPr="00684719" w:rsidRDefault="00E93E89" w:rsidP="0048062D">
      <w:pPr>
        <w:spacing w:after="0" w:line="480" w:lineRule="auto"/>
        <w:jc w:val="center"/>
        <w:rPr>
          <w:rFonts w:ascii="Times New Roman" w:hAnsi="Times New Roman" w:cs="Times New Roman"/>
          <w:sz w:val="24"/>
          <w:szCs w:val="24"/>
        </w:rPr>
      </w:pPr>
      <w:r w:rsidRPr="00684719">
        <w:rPr>
          <w:rFonts w:ascii="Times New Roman" w:hAnsi="Times New Roman" w:cs="Times New Roman"/>
          <w:sz w:val="24"/>
          <w:szCs w:val="24"/>
        </w:rPr>
        <w:lastRenderedPageBreak/>
        <w:t>Analysis of Pastas R Us’ Marketing Strategy</w:t>
      </w:r>
    </w:p>
    <w:p w:rsidR="00E93E89" w:rsidRPr="00684719" w:rsidRDefault="00E93E89" w:rsidP="0048062D">
      <w:pPr>
        <w:spacing w:after="0" w:line="480" w:lineRule="auto"/>
        <w:rPr>
          <w:rFonts w:ascii="Times New Roman" w:hAnsi="Times New Roman" w:cs="Times New Roman"/>
          <w:b/>
          <w:bCs/>
          <w:sz w:val="24"/>
          <w:szCs w:val="24"/>
        </w:rPr>
      </w:pPr>
      <w:r w:rsidRPr="00684719">
        <w:rPr>
          <w:rFonts w:ascii="Times New Roman" w:hAnsi="Times New Roman" w:cs="Times New Roman"/>
          <w:b/>
          <w:bCs/>
          <w:sz w:val="24"/>
          <w:szCs w:val="24"/>
        </w:rPr>
        <w:t xml:space="preserve">Section 1 - Scope and </w:t>
      </w:r>
      <w:r w:rsidR="00A82054" w:rsidRPr="00684719">
        <w:rPr>
          <w:rFonts w:ascii="Times New Roman" w:hAnsi="Times New Roman" w:cs="Times New Roman"/>
          <w:b/>
          <w:bCs/>
          <w:sz w:val="24"/>
          <w:szCs w:val="24"/>
        </w:rPr>
        <w:t>D</w:t>
      </w:r>
      <w:r w:rsidRPr="00684719">
        <w:rPr>
          <w:rFonts w:ascii="Times New Roman" w:hAnsi="Times New Roman" w:cs="Times New Roman"/>
          <w:b/>
          <w:bCs/>
          <w:sz w:val="24"/>
          <w:szCs w:val="24"/>
        </w:rPr>
        <w:t xml:space="preserve">escriptive </w:t>
      </w:r>
      <w:r w:rsidR="00A82054" w:rsidRPr="00684719">
        <w:rPr>
          <w:rFonts w:ascii="Times New Roman" w:hAnsi="Times New Roman" w:cs="Times New Roman"/>
          <w:b/>
          <w:bCs/>
          <w:sz w:val="24"/>
          <w:szCs w:val="24"/>
        </w:rPr>
        <w:t>S</w:t>
      </w:r>
      <w:r w:rsidRPr="00684719">
        <w:rPr>
          <w:rFonts w:ascii="Times New Roman" w:hAnsi="Times New Roman" w:cs="Times New Roman"/>
          <w:b/>
          <w:bCs/>
          <w:sz w:val="24"/>
          <w:szCs w:val="24"/>
        </w:rPr>
        <w:t>tatistics</w:t>
      </w:r>
    </w:p>
    <w:p w:rsidR="00E93E89" w:rsidRPr="00684719" w:rsidRDefault="00257CB8" w:rsidP="0048062D">
      <w:pPr>
        <w:spacing w:after="0" w:line="480" w:lineRule="auto"/>
        <w:rPr>
          <w:rFonts w:ascii="Times New Roman" w:hAnsi="Times New Roman" w:cs="Times New Roman"/>
          <w:sz w:val="24"/>
          <w:szCs w:val="24"/>
        </w:rPr>
      </w:pPr>
      <w:r>
        <w:rPr>
          <w:rFonts w:ascii="Times New Roman" w:hAnsi="Times New Roman" w:cs="Times New Roman"/>
          <w:sz w:val="24"/>
          <w:szCs w:val="24"/>
        </w:rPr>
        <w:tab/>
        <w:t>The objective of the current report is to determine whether the current expansion criteria at Pastas R Us can be improved</w:t>
      </w:r>
      <w:r w:rsidR="00C767C4">
        <w:rPr>
          <w:rFonts w:ascii="Times New Roman" w:hAnsi="Times New Roman" w:cs="Times New Roman"/>
          <w:sz w:val="24"/>
          <w:szCs w:val="24"/>
        </w:rPr>
        <w:t>, by evaluating</w:t>
      </w:r>
      <w:r>
        <w:rPr>
          <w:rFonts w:ascii="Times New Roman" w:hAnsi="Times New Roman" w:cs="Times New Roman"/>
          <w:sz w:val="24"/>
          <w:szCs w:val="24"/>
        </w:rPr>
        <w:t xml:space="preserve"> the extent to which the variables considered during expansion influence annual sales per sq ft. The database used for the current analysis comprises of 74 observations across 8 variables. The 74 observations represent each of the company’s 74 restaurants. The variables include restaurant size in sq ft, per person average spending, annual sales growth (in %), loyalty card sales as a percentage of net sales, annual sales per sq ft, and median household income, median age, and percentage of the population with a Bachelor’s degree for the region within 3 miles of the restaurant. </w:t>
      </w:r>
      <w:r w:rsidR="00764C44" w:rsidRPr="00684719">
        <w:rPr>
          <w:rFonts w:ascii="Times New Roman" w:hAnsi="Times New Roman" w:cs="Times New Roman"/>
          <w:sz w:val="24"/>
          <w:szCs w:val="24"/>
        </w:rPr>
        <w:t xml:space="preserve">The company bases its expansion decisions on three criteria: median age, household median income, and proportion of adult population that is college educated. The effect of these three variables on the key financial performance metric (annual sales per sq. ft) will be evaluated. Before performing the inferential analysis, the three explanatory variables and the response variable (annual sales per sq. ft) were </w:t>
      </w:r>
      <w:r w:rsidR="00C767C4">
        <w:rPr>
          <w:rFonts w:ascii="Times New Roman" w:hAnsi="Times New Roman" w:cs="Times New Roman"/>
          <w:sz w:val="24"/>
          <w:szCs w:val="24"/>
        </w:rPr>
        <w:t>described</w:t>
      </w:r>
      <w:r w:rsidR="00764C44" w:rsidRPr="00684719">
        <w:rPr>
          <w:rFonts w:ascii="Times New Roman" w:hAnsi="Times New Roman" w:cs="Times New Roman"/>
          <w:sz w:val="24"/>
          <w:szCs w:val="24"/>
        </w:rPr>
        <w:t xml:space="preserve"> using descriptive statistics and </w:t>
      </w:r>
      <w:r w:rsidR="0048062D">
        <w:rPr>
          <w:rFonts w:ascii="Times New Roman" w:hAnsi="Times New Roman" w:cs="Times New Roman"/>
          <w:sz w:val="24"/>
          <w:szCs w:val="24"/>
        </w:rPr>
        <w:t xml:space="preserve">histograms presented below. </w:t>
      </w:r>
    </w:p>
    <w:p w:rsidR="00626C59" w:rsidRPr="00684719" w:rsidRDefault="0048062D" w:rsidP="0048062D">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626C59">
        <w:rPr>
          <w:rFonts w:ascii="Times New Roman" w:hAnsi="Times New Roman" w:cs="Times New Roman"/>
          <w:sz w:val="24"/>
          <w:szCs w:val="24"/>
        </w:rPr>
        <w:t xml:space="preserve">The sales per sq ft ranged between $178.56 and $987.12, indicating significant variation in the key performance measure across </w:t>
      </w:r>
      <w:r w:rsidR="00C767C4">
        <w:rPr>
          <w:rFonts w:ascii="Times New Roman" w:hAnsi="Times New Roman" w:cs="Times New Roman"/>
          <w:sz w:val="24"/>
          <w:szCs w:val="24"/>
        </w:rPr>
        <w:t xml:space="preserve">the </w:t>
      </w:r>
      <w:r w:rsidR="00626C59">
        <w:rPr>
          <w:rFonts w:ascii="Times New Roman" w:hAnsi="Times New Roman" w:cs="Times New Roman"/>
          <w:sz w:val="24"/>
          <w:szCs w:val="24"/>
        </w:rPr>
        <w:t>restaurants. The median was $396</w:t>
      </w:r>
      <w:r w:rsidR="00C767C4">
        <w:rPr>
          <w:rFonts w:ascii="Times New Roman" w:hAnsi="Times New Roman" w:cs="Times New Roman"/>
          <w:sz w:val="24"/>
          <w:szCs w:val="24"/>
        </w:rPr>
        <w:t xml:space="preserve"> meaning that h</w:t>
      </w:r>
      <w:r w:rsidR="00626C59">
        <w:rPr>
          <w:rFonts w:ascii="Times New Roman" w:hAnsi="Times New Roman" w:cs="Times New Roman"/>
          <w:sz w:val="24"/>
          <w:szCs w:val="24"/>
        </w:rPr>
        <w:t xml:space="preserve">alf of the restaurants had sales/sq ft of between $178.56 and $396. The mean </w:t>
      </w:r>
      <w:r w:rsidR="00C767C4">
        <w:rPr>
          <w:rFonts w:ascii="Times New Roman" w:hAnsi="Times New Roman" w:cs="Times New Roman"/>
          <w:sz w:val="24"/>
          <w:szCs w:val="24"/>
        </w:rPr>
        <w:t>(420.31) was</w:t>
      </w:r>
      <w:r w:rsidR="00626C59">
        <w:rPr>
          <w:rFonts w:ascii="Times New Roman" w:hAnsi="Times New Roman" w:cs="Times New Roman"/>
          <w:sz w:val="24"/>
          <w:szCs w:val="24"/>
        </w:rPr>
        <w:t xml:space="preserve"> higher than the median, which is </w:t>
      </w:r>
      <w:r w:rsidR="00C767C4">
        <w:rPr>
          <w:rFonts w:ascii="Times New Roman" w:hAnsi="Times New Roman" w:cs="Times New Roman"/>
          <w:sz w:val="24"/>
          <w:szCs w:val="24"/>
        </w:rPr>
        <w:t>suggestive</w:t>
      </w:r>
      <w:r w:rsidR="00626C59">
        <w:rPr>
          <w:rFonts w:ascii="Times New Roman" w:hAnsi="Times New Roman" w:cs="Times New Roman"/>
          <w:sz w:val="24"/>
          <w:szCs w:val="24"/>
        </w:rPr>
        <w:t xml:space="preserve"> of a positively skewed distribution. The positive skew is </w:t>
      </w:r>
      <w:r w:rsidR="00C767C4">
        <w:rPr>
          <w:rFonts w:ascii="Times New Roman" w:hAnsi="Times New Roman" w:cs="Times New Roman"/>
          <w:sz w:val="24"/>
          <w:szCs w:val="24"/>
        </w:rPr>
        <w:t>established</w:t>
      </w:r>
      <w:r w:rsidR="00626C59">
        <w:rPr>
          <w:rFonts w:ascii="Times New Roman" w:hAnsi="Times New Roman" w:cs="Times New Roman"/>
          <w:sz w:val="24"/>
          <w:szCs w:val="24"/>
        </w:rPr>
        <w:t xml:space="preserve"> from the</w:t>
      </w:r>
      <w:r w:rsidR="00C767C4">
        <w:rPr>
          <w:rFonts w:ascii="Times New Roman" w:hAnsi="Times New Roman" w:cs="Times New Roman"/>
          <w:sz w:val="24"/>
          <w:szCs w:val="24"/>
        </w:rPr>
        <w:t xml:space="preserve"> high skewness statistic (1.24)</w:t>
      </w:r>
      <w:r w:rsidR="00626C59">
        <w:rPr>
          <w:rFonts w:ascii="Times New Roman" w:hAnsi="Times New Roman" w:cs="Times New Roman"/>
          <w:sz w:val="24"/>
          <w:szCs w:val="24"/>
        </w:rPr>
        <w:t xml:space="preserve"> and the longer right tail of the histogram depicting the sales/ sq ft distribution.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1260"/>
        <w:gridCol w:w="1800"/>
        <w:gridCol w:w="1440"/>
        <w:gridCol w:w="2687"/>
      </w:tblGrid>
      <w:tr w:rsidR="00406B82" w:rsidRPr="00684719" w:rsidTr="00F277AF">
        <w:trPr>
          <w:trHeight w:val="250"/>
        </w:trPr>
        <w:tc>
          <w:tcPr>
            <w:tcW w:w="2065" w:type="dxa"/>
            <w:tcBorders>
              <w:top w:val="single" w:sz="4" w:space="0" w:color="auto"/>
              <w:bottom w:val="single" w:sz="4" w:space="0" w:color="auto"/>
            </w:tcBorders>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Statistics</w:t>
            </w:r>
          </w:p>
        </w:tc>
        <w:tc>
          <w:tcPr>
            <w:tcW w:w="1260" w:type="dxa"/>
            <w:tcBorders>
              <w:top w:val="single" w:sz="4" w:space="0" w:color="auto"/>
              <w:bottom w:val="single" w:sz="4" w:space="0" w:color="auto"/>
            </w:tcBorders>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Sales/Sq ft</w:t>
            </w:r>
          </w:p>
        </w:tc>
        <w:tc>
          <w:tcPr>
            <w:tcW w:w="1800" w:type="dxa"/>
            <w:tcBorders>
              <w:top w:val="single" w:sz="4" w:space="0" w:color="auto"/>
              <w:bottom w:val="single" w:sz="4" w:space="0" w:color="auto"/>
            </w:tcBorders>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Median Income</w:t>
            </w:r>
          </w:p>
        </w:tc>
        <w:tc>
          <w:tcPr>
            <w:tcW w:w="1440" w:type="dxa"/>
            <w:tcBorders>
              <w:top w:val="single" w:sz="4" w:space="0" w:color="auto"/>
              <w:bottom w:val="single" w:sz="4" w:space="0" w:color="auto"/>
            </w:tcBorders>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Median Age</w:t>
            </w:r>
          </w:p>
        </w:tc>
        <w:tc>
          <w:tcPr>
            <w:tcW w:w="2687" w:type="dxa"/>
            <w:tcBorders>
              <w:top w:val="single" w:sz="4" w:space="0" w:color="auto"/>
              <w:bottom w:val="single" w:sz="4" w:space="0" w:color="auto"/>
            </w:tcBorders>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 w</w:t>
            </w:r>
            <w:r w:rsidR="0048062D">
              <w:rPr>
                <w:rFonts w:ascii="Times New Roman" w:hAnsi="Times New Roman" w:cs="Times New Roman"/>
                <w:sz w:val="24"/>
                <w:szCs w:val="24"/>
              </w:rPr>
              <w:t>/</w:t>
            </w:r>
            <w:r w:rsidRPr="00684719">
              <w:rPr>
                <w:rFonts w:ascii="Times New Roman" w:hAnsi="Times New Roman" w:cs="Times New Roman"/>
                <w:sz w:val="24"/>
                <w:szCs w:val="24"/>
              </w:rPr>
              <w:t xml:space="preserve"> Bachelors’ Degree</w:t>
            </w:r>
          </w:p>
        </w:tc>
      </w:tr>
      <w:tr w:rsidR="0048062D" w:rsidRPr="00684719" w:rsidTr="00F277AF">
        <w:trPr>
          <w:trHeight w:val="250"/>
        </w:trPr>
        <w:tc>
          <w:tcPr>
            <w:tcW w:w="2065" w:type="dxa"/>
            <w:tcBorders>
              <w:top w:val="single" w:sz="4" w:space="0" w:color="auto"/>
            </w:tcBorders>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Mean</w:t>
            </w:r>
          </w:p>
        </w:tc>
        <w:tc>
          <w:tcPr>
            <w:tcW w:w="1260" w:type="dxa"/>
            <w:tcBorders>
              <w:top w:val="single" w:sz="4" w:space="0" w:color="auto"/>
            </w:tcBorders>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420.31</w:t>
            </w:r>
          </w:p>
        </w:tc>
        <w:tc>
          <w:tcPr>
            <w:tcW w:w="1800" w:type="dxa"/>
            <w:tcBorders>
              <w:top w:val="single" w:sz="4" w:space="0" w:color="auto"/>
            </w:tcBorders>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62807.70</w:t>
            </w:r>
          </w:p>
        </w:tc>
        <w:tc>
          <w:tcPr>
            <w:tcW w:w="1440" w:type="dxa"/>
            <w:tcBorders>
              <w:top w:val="single" w:sz="4" w:space="0" w:color="auto"/>
            </w:tcBorders>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35.20</w:t>
            </w:r>
          </w:p>
        </w:tc>
        <w:tc>
          <w:tcPr>
            <w:tcW w:w="2687" w:type="dxa"/>
            <w:tcBorders>
              <w:top w:val="single" w:sz="4" w:space="0" w:color="auto"/>
            </w:tcBorders>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26.31</w:t>
            </w:r>
          </w:p>
        </w:tc>
      </w:tr>
      <w:tr w:rsidR="0048062D" w:rsidRPr="00684719" w:rsidTr="00F277AF">
        <w:trPr>
          <w:trHeight w:val="250"/>
        </w:trPr>
        <w:tc>
          <w:tcPr>
            <w:tcW w:w="2065"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Median</w:t>
            </w:r>
          </w:p>
        </w:tc>
        <w:tc>
          <w:tcPr>
            <w:tcW w:w="1260"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396.01</w:t>
            </w:r>
          </w:p>
        </w:tc>
        <w:tc>
          <w:tcPr>
            <w:tcW w:w="1800"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62757.00</w:t>
            </w:r>
          </w:p>
        </w:tc>
        <w:tc>
          <w:tcPr>
            <w:tcW w:w="1440"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35.00</w:t>
            </w:r>
          </w:p>
        </w:tc>
        <w:tc>
          <w:tcPr>
            <w:tcW w:w="2687"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26.50</w:t>
            </w:r>
          </w:p>
        </w:tc>
      </w:tr>
      <w:tr w:rsidR="0048062D" w:rsidRPr="00684719" w:rsidTr="00F277AF">
        <w:trPr>
          <w:trHeight w:val="250"/>
        </w:trPr>
        <w:tc>
          <w:tcPr>
            <w:tcW w:w="2065"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Standard deviation</w:t>
            </w:r>
          </w:p>
        </w:tc>
        <w:tc>
          <w:tcPr>
            <w:tcW w:w="1260"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137.24</w:t>
            </w:r>
          </w:p>
        </w:tc>
        <w:tc>
          <w:tcPr>
            <w:tcW w:w="1800"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17904.27</w:t>
            </w:r>
          </w:p>
        </w:tc>
        <w:tc>
          <w:tcPr>
            <w:tcW w:w="1440"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3.65</w:t>
            </w:r>
          </w:p>
        </w:tc>
        <w:tc>
          <w:tcPr>
            <w:tcW w:w="2687"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7.00</w:t>
            </w:r>
          </w:p>
        </w:tc>
      </w:tr>
      <w:tr w:rsidR="0048062D" w:rsidRPr="00684719" w:rsidTr="00F277AF">
        <w:trPr>
          <w:trHeight w:val="250"/>
        </w:trPr>
        <w:tc>
          <w:tcPr>
            <w:tcW w:w="2065"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lastRenderedPageBreak/>
              <w:t>Kurtosis</w:t>
            </w:r>
          </w:p>
        </w:tc>
        <w:tc>
          <w:tcPr>
            <w:tcW w:w="1260"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2.88</w:t>
            </w:r>
          </w:p>
        </w:tc>
        <w:tc>
          <w:tcPr>
            <w:tcW w:w="1800"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-0.51</w:t>
            </w:r>
          </w:p>
        </w:tc>
        <w:tc>
          <w:tcPr>
            <w:tcW w:w="1440"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0.16</w:t>
            </w:r>
          </w:p>
        </w:tc>
        <w:tc>
          <w:tcPr>
            <w:tcW w:w="2687"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-0.94</w:t>
            </w:r>
          </w:p>
        </w:tc>
      </w:tr>
      <w:tr w:rsidR="0048062D" w:rsidRPr="00684719" w:rsidTr="00F277AF">
        <w:trPr>
          <w:trHeight w:val="250"/>
        </w:trPr>
        <w:tc>
          <w:tcPr>
            <w:tcW w:w="2065"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Skewness</w:t>
            </w:r>
          </w:p>
        </w:tc>
        <w:tc>
          <w:tcPr>
            <w:tcW w:w="1260"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1.24</w:t>
            </w:r>
          </w:p>
        </w:tc>
        <w:tc>
          <w:tcPr>
            <w:tcW w:w="1800"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0.30</w:t>
            </w:r>
          </w:p>
        </w:tc>
        <w:tc>
          <w:tcPr>
            <w:tcW w:w="1440"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-0.17</w:t>
            </w:r>
          </w:p>
        </w:tc>
        <w:tc>
          <w:tcPr>
            <w:tcW w:w="2687"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0.14</w:t>
            </w:r>
          </w:p>
        </w:tc>
      </w:tr>
      <w:tr w:rsidR="0048062D" w:rsidRPr="00684719" w:rsidTr="00F277AF">
        <w:trPr>
          <w:trHeight w:val="250"/>
        </w:trPr>
        <w:tc>
          <w:tcPr>
            <w:tcW w:w="2065"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Minimum</w:t>
            </w:r>
          </w:p>
        </w:tc>
        <w:tc>
          <w:tcPr>
            <w:tcW w:w="1260"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178.56</w:t>
            </w:r>
          </w:p>
        </w:tc>
        <w:tc>
          <w:tcPr>
            <w:tcW w:w="1800"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32929.00</w:t>
            </w:r>
          </w:p>
        </w:tc>
        <w:tc>
          <w:tcPr>
            <w:tcW w:w="1440"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24.70</w:t>
            </w:r>
          </w:p>
        </w:tc>
        <w:tc>
          <w:tcPr>
            <w:tcW w:w="2687" w:type="dxa"/>
            <w:noWrap/>
            <w:hideMark/>
          </w:tcPr>
          <w:p w:rsidR="00406B82" w:rsidRPr="00684719" w:rsidRDefault="00406B82" w:rsidP="0048062D">
            <w:pPr>
              <w:rPr>
                <w:rFonts w:ascii="Times New Roman" w:hAnsi="Times New Roman" w:cs="Times New Roman"/>
                <w:sz w:val="24"/>
                <w:szCs w:val="24"/>
              </w:rPr>
            </w:pPr>
            <w:r w:rsidRPr="00684719">
              <w:rPr>
                <w:rFonts w:ascii="Times New Roman" w:hAnsi="Times New Roman" w:cs="Times New Roman"/>
                <w:sz w:val="24"/>
                <w:szCs w:val="24"/>
              </w:rPr>
              <w:t>14.00</w:t>
            </w:r>
          </w:p>
        </w:tc>
      </w:tr>
      <w:tr w:rsidR="0048062D" w:rsidRPr="00684719" w:rsidTr="00F277AF">
        <w:trPr>
          <w:trHeight w:val="250"/>
        </w:trPr>
        <w:tc>
          <w:tcPr>
            <w:tcW w:w="2065" w:type="dxa"/>
            <w:noWrap/>
            <w:hideMark/>
          </w:tcPr>
          <w:p w:rsidR="00406B82" w:rsidRPr="00684719" w:rsidRDefault="00406B82" w:rsidP="000A1D0D">
            <w:pPr>
              <w:rPr>
                <w:rFonts w:ascii="Times New Roman" w:hAnsi="Times New Roman" w:cs="Times New Roman"/>
                <w:sz w:val="24"/>
                <w:szCs w:val="24"/>
              </w:rPr>
            </w:pPr>
            <w:r w:rsidRPr="00684719">
              <w:rPr>
                <w:rFonts w:ascii="Times New Roman" w:hAnsi="Times New Roman" w:cs="Times New Roman"/>
                <w:sz w:val="24"/>
                <w:szCs w:val="24"/>
              </w:rPr>
              <w:t>Maximum</w:t>
            </w:r>
          </w:p>
        </w:tc>
        <w:tc>
          <w:tcPr>
            <w:tcW w:w="1260" w:type="dxa"/>
            <w:noWrap/>
            <w:hideMark/>
          </w:tcPr>
          <w:p w:rsidR="00406B82" w:rsidRPr="00684719" w:rsidRDefault="00406B82" w:rsidP="000A1D0D">
            <w:pPr>
              <w:rPr>
                <w:rFonts w:ascii="Times New Roman" w:hAnsi="Times New Roman" w:cs="Times New Roman"/>
                <w:sz w:val="24"/>
                <w:szCs w:val="24"/>
              </w:rPr>
            </w:pPr>
            <w:r w:rsidRPr="00684719">
              <w:rPr>
                <w:rFonts w:ascii="Times New Roman" w:hAnsi="Times New Roman" w:cs="Times New Roman"/>
                <w:sz w:val="24"/>
                <w:szCs w:val="24"/>
              </w:rPr>
              <w:t>987.12</w:t>
            </w:r>
          </w:p>
        </w:tc>
        <w:tc>
          <w:tcPr>
            <w:tcW w:w="1800" w:type="dxa"/>
            <w:noWrap/>
            <w:hideMark/>
          </w:tcPr>
          <w:p w:rsidR="00406B82" w:rsidRPr="00684719" w:rsidRDefault="00406B82" w:rsidP="000A1D0D">
            <w:pPr>
              <w:rPr>
                <w:rFonts w:ascii="Times New Roman" w:hAnsi="Times New Roman" w:cs="Times New Roman"/>
                <w:sz w:val="24"/>
                <w:szCs w:val="24"/>
              </w:rPr>
            </w:pPr>
            <w:r w:rsidRPr="00684719">
              <w:rPr>
                <w:rFonts w:ascii="Times New Roman" w:hAnsi="Times New Roman" w:cs="Times New Roman"/>
                <w:sz w:val="24"/>
                <w:szCs w:val="24"/>
              </w:rPr>
              <w:t>114353.00</w:t>
            </w:r>
          </w:p>
        </w:tc>
        <w:tc>
          <w:tcPr>
            <w:tcW w:w="1440" w:type="dxa"/>
            <w:noWrap/>
            <w:hideMark/>
          </w:tcPr>
          <w:p w:rsidR="00406B82" w:rsidRPr="00684719" w:rsidRDefault="00406B82" w:rsidP="000A1D0D">
            <w:pPr>
              <w:rPr>
                <w:rFonts w:ascii="Times New Roman" w:hAnsi="Times New Roman" w:cs="Times New Roman"/>
                <w:sz w:val="24"/>
                <w:szCs w:val="24"/>
              </w:rPr>
            </w:pPr>
            <w:r w:rsidRPr="00684719">
              <w:rPr>
                <w:rFonts w:ascii="Times New Roman" w:hAnsi="Times New Roman" w:cs="Times New Roman"/>
                <w:sz w:val="24"/>
                <w:szCs w:val="24"/>
              </w:rPr>
              <w:t>43.50</w:t>
            </w:r>
          </w:p>
        </w:tc>
        <w:tc>
          <w:tcPr>
            <w:tcW w:w="2687" w:type="dxa"/>
            <w:noWrap/>
            <w:hideMark/>
          </w:tcPr>
          <w:p w:rsidR="00406B82" w:rsidRPr="00684719" w:rsidRDefault="00406B82" w:rsidP="000A1D0D">
            <w:pPr>
              <w:rPr>
                <w:rFonts w:ascii="Times New Roman" w:hAnsi="Times New Roman" w:cs="Times New Roman"/>
                <w:sz w:val="24"/>
                <w:szCs w:val="24"/>
              </w:rPr>
            </w:pPr>
            <w:r w:rsidRPr="00684719">
              <w:rPr>
                <w:rFonts w:ascii="Times New Roman" w:hAnsi="Times New Roman" w:cs="Times New Roman"/>
                <w:sz w:val="24"/>
                <w:szCs w:val="24"/>
              </w:rPr>
              <w:t>40.00</w:t>
            </w:r>
          </w:p>
        </w:tc>
      </w:tr>
    </w:tbl>
    <w:p w:rsidR="00406B82" w:rsidRPr="00684719" w:rsidRDefault="00406B82" w:rsidP="000A1D0D">
      <w:pPr>
        <w:spacing w:after="0" w:line="240" w:lineRule="auto"/>
        <w:rPr>
          <w:rFonts w:ascii="Times New Roman" w:hAnsi="Times New Roman" w:cs="Times New Roman"/>
          <w:sz w:val="24"/>
          <w:szCs w:val="24"/>
        </w:rPr>
      </w:pPr>
    </w:p>
    <w:p w:rsidR="006B3196" w:rsidRPr="00684719" w:rsidRDefault="000A1D0D" w:rsidP="0048062D">
      <w:pPr>
        <w:spacing w:after="0" w:line="480" w:lineRule="auto"/>
        <w:rPr>
          <w:rFonts w:ascii="Times New Roman" w:hAnsi="Times New Roman" w:cs="Times New Roman"/>
          <w:sz w:val="24"/>
          <w:szCs w:val="24"/>
        </w:rPr>
      </w:pPr>
      <w:r>
        <w:rPr>
          <w:noProof/>
        </w:rPr>
        <mc:AlternateContent>
          <mc:Choice Requires="cx1">
            <w:drawing>
              <wp:inline distT="0" distB="0" distL="0" distR="0" wp14:anchorId="298D2CE5" wp14:editId="287334C1">
                <wp:extent cx="5861050" cy="2006600"/>
                <wp:effectExtent l="0" t="0" r="6350" b="12700"/>
                <wp:docPr id="1" name="Chart 1">
                  <a:extLst xmlns:a="http://schemas.openxmlformats.org/drawingml/2006/main">
                    <a:ext uri="{FF2B5EF4-FFF2-40B4-BE49-F238E27FC236}">
                      <a16:creationId xmlns:a16="http://schemas.microsoft.com/office/drawing/2014/main" id="{0A8531FD-1D1D-4921-8677-73BC6EE3FCFE}"/>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7"/>
                  </a:graphicData>
                </a:graphic>
              </wp:inline>
            </w:drawing>
          </mc:Choice>
          <mc:Fallback>
            <w:drawing>
              <wp:inline distT="0" distB="0" distL="0" distR="0" wp14:anchorId="298D2CE5" wp14:editId="287334C1">
                <wp:extent cx="5861050" cy="2006600"/>
                <wp:effectExtent l="0" t="0" r="6350" b="12700"/>
                <wp:docPr id="1" name="Chart 1">
                  <a:extLst xmlns:a="http://schemas.openxmlformats.org/drawingml/2006/main">
                    <a:ext uri="{FF2B5EF4-FFF2-40B4-BE49-F238E27FC236}">
                      <a16:creationId xmlns:a16="http://schemas.microsoft.com/office/drawing/2014/main" id="{0A8531FD-1D1D-4921-8677-73BC6EE3FCFE}"/>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 name="Chart 1">
                          <a:extLst>
                            <a:ext uri="{FF2B5EF4-FFF2-40B4-BE49-F238E27FC236}">
                              <a16:creationId xmlns:a16="http://schemas.microsoft.com/office/drawing/2014/main" id="{0A8531FD-1D1D-4921-8677-73BC6EE3FCFE}"/>
                            </a:ext>
                          </a:extLst>
                        </pic:cNvPr>
                        <pic:cNvPicPr>
                          <a:picLocks noGrp="1" noRot="1" noChangeAspect="1" noMove="1" noResize="1" noEditPoints="1" noAdjustHandles="1" noChangeArrowheads="1" noChangeShapeType="1"/>
                        </pic:cNvPicPr>
                      </pic:nvPicPr>
                      <pic:blipFill>
                        <a:blip r:embed="rId8"/>
                        <a:stretch>
                          <a:fillRect/>
                        </a:stretch>
                      </pic:blipFill>
                      <pic:spPr>
                        <a:xfrm>
                          <a:off x="0" y="0"/>
                          <a:ext cx="5861050" cy="2006600"/>
                        </a:xfrm>
                        <a:prstGeom prst="rect">
                          <a:avLst/>
                        </a:prstGeom>
                      </pic:spPr>
                    </pic:pic>
                  </a:graphicData>
                </a:graphic>
              </wp:inline>
            </w:drawing>
          </mc:Fallback>
        </mc:AlternateContent>
      </w:r>
    </w:p>
    <w:p w:rsidR="00E93E89" w:rsidRPr="00684719" w:rsidRDefault="00BC347B" w:rsidP="0048062D">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C767C4">
        <w:rPr>
          <w:rFonts w:ascii="Times New Roman" w:hAnsi="Times New Roman" w:cs="Times New Roman"/>
          <w:sz w:val="24"/>
          <w:szCs w:val="24"/>
        </w:rPr>
        <w:t>M</w:t>
      </w:r>
      <w:r>
        <w:rPr>
          <w:rFonts w:ascii="Times New Roman" w:hAnsi="Times New Roman" w:cs="Times New Roman"/>
          <w:sz w:val="24"/>
          <w:szCs w:val="24"/>
        </w:rPr>
        <w:t xml:space="preserve">edian income was fairly varied with values ranging from $32,929 to $114,353. The mean and median </w:t>
      </w:r>
      <w:r w:rsidR="00C302B5">
        <w:rPr>
          <w:rFonts w:ascii="Times New Roman" w:hAnsi="Times New Roman" w:cs="Times New Roman"/>
          <w:sz w:val="24"/>
          <w:szCs w:val="24"/>
        </w:rPr>
        <w:t>were</w:t>
      </w:r>
      <w:r>
        <w:rPr>
          <w:rFonts w:ascii="Times New Roman" w:hAnsi="Times New Roman" w:cs="Times New Roman"/>
          <w:sz w:val="24"/>
          <w:szCs w:val="24"/>
        </w:rPr>
        <w:t xml:space="preserve"> roughly equal at $62,807.70 and $62,757.00, respectively. </w:t>
      </w:r>
      <w:r w:rsidR="00C302B5">
        <w:rPr>
          <w:rFonts w:ascii="Times New Roman" w:hAnsi="Times New Roman" w:cs="Times New Roman"/>
          <w:sz w:val="24"/>
          <w:szCs w:val="24"/>
        </w:rPr>
        <w:t xml:space="preserve">From the histogram, the distribution was roughly uniform except that the frequency of </w:t>
      </w:r>
      <w:r w:rsidR="00606525">
        <w:rPr>
          <w:rFonts w:ascii="Times New Roman" w:hAnsi="Times New Roman" w:cs="Times New Roman"/>
          <w:sz w:val="24"/>
          <w:szCs w:val="24"/>
        </w:rPr>
        <w:t xml:space="preserve">median income values greater than $92,929 is relatively rare. </w:t>
      </w:r>
    </w:p>
    <w:p w:rsidR="00684719" w:rsidRDefault="00606525" w:rsidP="0048062D">
      <w:pPr>
        <w:spacing w:after="0" w:line="480" w:lineRule="auto"/>
        <w:rPr>
          <w:rFonts w:ascii="Times New Roman" w:hAnsi="Times New Roman" w:cs="Times New Roman"/>
          <w:sz w:val="24"/>
          <w:szCs w:val="24"/>
        </w:rPr>
      </w:pPr>
      <w:r>
        <w:rPr>
          <w:noProof/>
        </w:rPr>
        <mc:AlternateContent>
          <mc:Choice Requires="cx1">
            <w:drawing>
              <wp:inline distT="0" distB="0" distL="0" distR="0" wp14:anchorId="09092385" wp14:editId="41487CEB">
                <wp:extent cx="5721350" cy="2489200"/>
                <wp:effectExtent l="0" t="0" r="12700" b="6350"/>
                <wp:docPr id="11" name="Chart 11">
                  <a:extLst xmlns:a="http://schemas.openxmlformats.org/drawingml/2006/main">
                    <a:ext uri="{FF2B5EF4-FFF2-40B4-BE49-F238E27FC236}">
                      <a16:creationId xmlns:a16="http://schemas.microsoft.com/office/drawing/2014/main" id="{E4FFEBAF-4416-4E75-BAFC-6C7155009BDC}"/>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9"/>
                  </a:graphicData>
                </a:graphic>
              </wp:inline>
            </w:drawing>
          </mc:Choice>
          <mc:Fallback>
            <w:drawing>
              <wp:inline distT="0" distB="0" distL="0" distR="0" wp14:anchorId="09092385" wp14:editId="41487CEB">
                <wp:extent cx="5721350" cy="2489200"/>
                <wp:effectExtent l="0" t="0" r="12700" b="6350"/>
                <wp:docPr id="11" name="Chart 11">
                  <a:extLst xmlns:a="http://schemas.openxmlformats.org/drawingml/2006/main">
                    <a:ext uri="{FF2B5EF4-FFF2-40B4-BE49-F238E27FC236}">
                      <a16:creationId xmlns:a16="http://schemas.microsoft.com/office/drawing/2014/main" id="{E4FFEBAF-4416-4E75-BAFC-6C7155009BDC}"/>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1" name="Chart 11">
                          <a:extLst>
                            <a:ext uri="{FF2B5EF4-FFF2-40B4-BE49-F238E27FC236}">
                              <a16:creationId xmlns:a16="http://schemas.microsoft.com/office/drawing/2014/main" id="{E4FFEBAF-4416-4E75-BAFC-6C7155009BDC}"/>
                            </a:ext>
                          </a:extLst>
                        </pic:cNvPr>
                        <pic:cNvPicPr>
                          <a:picLocks noGrp="1" noRot="1" noChangeAspect="1" noMove="1" noResize="1" noEditPoints="1" noAdjustHandles="1" noChangeArrowheads="1" noChangeShapeType="1"/>
                        </pic:cNvPicPr>
                      </pic:nvPicPr>
                      <pic:blipFill>
                        <a:blip r:embed="rId10"/>
                        <a:stretch>
                          <a:fillRect/>
                        </a:stretch>
                      </pic:blipFill>
                      <pic:spPr>
                        <a:xfrm>
                          <a:off x="0" y="0"/>
                          <a:ext cx="5721350" cy="2489200"/>
                        </a:xfrm>
                        <a:prstGeom prst="rect">
                          <a:avLst/>
                        </a:prstGeom>
                      </pic:spPr>
                    </pic:pic>
                  </a:graphicData>
                </a:graphic>
              </wp:inline>
            </w:drawing>
          </mc:Fallback>
        </mc:AlternateContent>
      </w:r>
    </w:p>
    <w:p w:rsidR="000A1D0D" w:rsidRDefault="000A1D0D" w:rsidP="0048062D">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902EDF">
        <w:rPr>
          <w:rFonts w:ascii="Times New Roman" w:hAnsi="Times New Roman" w:cs="Times New Roman"/>
          <w:sz w:val="24"/>
          <w:szCs w:val="24"/>
        </w:rPr>
        <w:t xml:space="preserve">The median age </w:t>
      </w:r>
      <w:r w:rsidR="00C767C4">
        <w:rPr>
          <w:rFonts w:ascii="Times New Roman" w:hAnsi="Times New Roman" w:cs="Times New Roman"/>
          <w:sz w:val="24"/>
          <w:szCs w:val="24"/>
        </w:rPr>
        <w:t xml:space="preserve">of the population </w:t>
      </w:r>
      <w:r w:rsidR="00902EDF">
        <w:rPr>
          <w:rFonts w:ascii="Times New Roman" w:hAnsi="Times New Roman" w:cs="Times New Roman"/>
          <w:sz w:val="24"/>
          <w:szCs w:val="24"/>
        </w:rPr>
        <w:t xml:space="preserve">within 3 miles of the restaurants ranged between 24.70 and 43.50 years. The mean and median were roughly equal at 35.2 and 35 years. The </w:t>
      </w:r>
      <w:r w:rsidR="000F0352">
        <w:rPr>
          <w:rFonts w:ascii="Times New Roman" w:hAnsi="Times New Roman" w:cs="Times New Roman"/>
          <w:sz w:val="24"/>
          <w:szCs w:val="24"/>
        </w:rPr>
        <w:t xml:space="preserve">distribution </w:t>
      </w:r>
      <w:r w:rsidR="000F0352">
        <w:rPr>
          <w:rFonts w:ascii="Times New Roman" w:hAnsi="Times New Roman" w:cs="Times New Roman"/>
          <w:sz w:val="24"/>
          <w:szCs w:val="24"/>
        </w:rPr>
        <w:lastRenderedPageBreak/>
        <w:t>is roughly symmetric as indicated by the bell-shaped histogram and small skewness value, which is close to zero.</w:t>
      </w:r>
    </w:p>
    <w:p w:rsidR="00684719" w:rsidRDefault="000F0352" w:rsidP="0048062D">
      <w:pPr>
        <w:spacing w:after="0" w:line="480" w:lineRule="auto"/>
        <w:rPr>
          <w:rFonts w:ascii="Times New Roman" w:hAnsi="Times New Roman" w:cs="Times New Roman"/>
          <w:sz w:val="24"/>
          <w:szCs w:val="24"/>
        </w:rPr>
      </w:pPr>
      <w:r>
        <w:rPr>
          <w:noProof/>
        </w:rPr>
        <mc:AlternateContent>
          <mc:Choice Requires="cx1">
            <w:drawing>
              <wp:inline distT="0" distB="0" distL="0" distR="0" wp14:anchorId="03EB24BE" wp14:editId="6EED34CF">
                <wp:extent cx="5689600" cy="2286000"/>
                <wp:effectExtent l="0" t="0" r="6350" b="0"/>
                <wp:docPr id="2" name="Chart 2">
                  <a:extLst xmlns:a="http://schemas.openxmlformats.org/drawingml/2006/main">
                    <a:ext uri="{FF2B5EF4-FFF2-40B4-BE49-F238E27FC236}">
                      <a16:creationId xmlns:a16="http://schemas.microsoft.com/office/drawing/2014/main" id="{874DD3D0-A7E7-4507-9EE6-8529445E8BC3}"/>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1"/>
                  </a:graphicData>
                </a:graphic>
              </wp:inline>
            </w:drawing>
          </mc:Choice>
          <mc:Fallback>
            <w:drawing>
              <wp:inline distT="0" distB="0" distL="0" distR="0" wp14:anchorId="03EB24BE" wp14:editId="6EED34CF">
                <wp:extent cx="5689600" cy="2286000"/>
                <wp:effectExtent l="0" t="0" r="6350" b="0"/>
                <wp:docPr id="2" name="Chart 2">
                  <a:extLst xmlns:a="http://schemas.openxmlformats.org/drawingml/2006/main">
                    <a:ext uri="{FF2B5EF4-FFF2-40B4-BE49-F238E27FC236}">
                      <a16:creationId xmlns:a16="http://schemas.microsoft.com/office/drawing/2014/main" id="{874DD3D0-A7E7-4507-9EE6-8529445E8BC3}"/>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 name="Chart 2">
                          <a:extLst>
                            <a:ext uri="{FF2B5EF4-FFF2-40B4-BE49-F238E27FC236}">
                              <a16:creationId xmlns:a16="http://schemas.microsoft.com/office/drawing/2014/main" id="{874DD3D0-A7E7-4507-9EE6-8529445E8BC3}"/>
                            </a:ext>
                          </a:extLst>
                        </pic:cNvPr>
                        <pic:cNvPicPr>
                          <a:picLocks noGrp="1" noRot="1" noChangeAspect="1" noMove="1" noResize="1" noEditPoints="1" noAdjustHandles="1" noChangeArrowheads="1" noChangeShapeType="1"/>
                        </pic:cNvPicPr>
                      </pic:nvPicPr>
                      <pic:blipFill>
                        <a:blip r:embed="rId12"/>
                        <a:stretch>
                          <a:fillRect/>
                        </a:stretch>
                      </pic:blipFill>
                      <pic:spPr>
                        <a:xfrm>
                          <a:off x="0" y="0"/>
                          <a:ext cx="5689600" cy="2286000"/>
                        </a:xfrm>
                        <a:prstGeom prst="rect">
                          <a:avLst/>
                        </a:prstGeom>
                      </pic:spPr>
                    </pic:pic>
                  </a:graphicData>
                </a:graphic>
              </wp:inline>
            </w:drawing>
          </mc:Fallback>
        </mc:AlternateContent>
      </w:r>
    </w:p>
    <w:p w:rsidR="000F0352" w:rsidRDefault="00384782" w:rsidP="0048062D">
      <w:pPr>
        <w:spacing w:after="0" w:line="480" w:lineRule="auto"/>
        <w:rPr>
          <w:rFonts w:ascii="Times New Roman" w:hAnsi="Times New Roman" w:cs="Times New Roman"/>
          <w:sz w:val="24"/>
          <w:szCs w:val="24"/>
        </w:rPr>
      </w:pPr>
      <w:r>
        <w:rPr>
          <w:rFonts w:ascii="Times New Roman" w:hAnsi="Times New Roman" w:cs="Times New Roman"/>
          <w:sz w:val="24"/>
          <w:szCs w:val="24"/>
        </w:rPr>
        <w:tab/>
        <w:t>The percentage of the population within 3 miles of the restaurant with bachelor’s degrees ranged between 14% and 40%. The mean and median percentage with bachelor’s degrees was 26.31% and 26.50%. The distribution is slightly right-skewed as indicated by the small positive skewness statistic and the relative infrequency of values to the right of the distribution as indicated by the accompanying histogram.</w:t>
      </w:r>
    </w:p>
    <w:p w:rsidR="00684719" w:rsidRPr="00684719" w:rsidRDefault="007F2A64" w:rsidP="0048062D">
      <w:pPr>
        <w:spacing w:after="0" w:line="480" w:lineRule="auto"/>
        <w:rPr>
          <w:rFonts w:ascii="Times New Roman" w:hAnsi="Times New Roman" w:cs="Times New Roman"/>
          <w:sz w:val="24"/>
          <w:szCs w:val="24"/>
        </w:rPr>
      </w:pPr>
      <w:r>
        <w:rPr>
          <w:noProof/>
        </w:rPr>
        <mc:AlternateContent>
          <mc:Choice Requires="cx1">
            <w:drawing>
              <wp:inline distT="0" distB="0" distL="0" distR="0" wp14:anchorId="615C0227" wp14:editId="21CB7CCB">
                <wp:extent cx="5568950" cy="1930400"/>
                <wp:effectExtent l="0" t="0" r="12700" b="12700"/>
                <wp:docPr id="5" name="Chart 5">
                  <a:extLst xmlns:a="http://schemas.openxmlformats.org/drawingml/2006/main">
                    <a:ext uri="{FF2B5EF4-FFF2-40B4-BE49-F238E27FC236}">
                      <a16:creationId xmlns:a16="http://schemas.microsoft.com/office/drawing/2014/main" id="{C921BA08-7ED2-42D1-9AF0-CA336AA4ACF5}"/>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3"/>
                  </a:graphicData>
                </a:graphic>
              </wp:inline>
            </w:drawing>
          </mc:Choice>
          <mc:Fallback>
            <w:drawing>
              <wp:inline distT="0" distB="0" distL="0" distR="0" wp14:anchorId="615C0227" wp14:editId="21CB7CCB">
                <wp:extent cx="5568950" cy="1930400"/>
                <wp:effectExtent l="0" t="0" r="12700" b="12700"/>
                <wp:docPr id="5" name="Chart 5">
                  <a:extLst xmlns:a="http://schemas.openxmlformats.org/drawingml/2006/main">
                    <a:ext uri="{FF2B5EF4-FFF2-40B4-BE49-F238E27FC236}">
                      <a16:creationId xmlns:a16="http://schemas.microsoft.com/office/drawing/2014/main" id="{C921BA08-7ED2-42D1-9AF0-CA336AA4ACF5}"/>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5" name="Chart 5">
                          <a:extLst>
                            <a:ext uri="{FF2B5EF4-FFF2-40B4-BE49-F238E27FC236}">
                              <a16:creationId xmlns:a16="http://schemas.microsoft.com/office/drawing/2014/main" id="{C921BA08-7ED2-42D1-9AF0-CA336AA4ACF5}"/>
                            </a:ext>
                          </a:extLst>
                        </pic:cNvPr>
                        <pic:cNvPicPr>
                          <a:picLocks noGrp="1" noRot="1" noChangeAspect="1" noMove="1" noResize="1" noEditPoints="1" noAdjustHandles="1" noChangeArrowheads="1" noChangeShapeType="1"/>
                        </pic:cNvPicPr>
                      </pic:nvPicPr>
                      <pic:blipFill>
                        <a:blip r:embed="rId14"/>
                        <a:stretch>
                          <a:fillRect/>
                        </a:stretch>
                      </pic:blipFill>
                      <pic:spPr>
                        <a:xfrm>
                          <a:off x="0" y="0"/>
                          <a:ext cx="5568950" cy="1930400"/>
                        </a:xfrm>
                        <a:prstGeom prst="rect">
                          <a:avLst/>
                        </a:prstGeom>
                      </pic:spPr>
                    </pic:pic>
                  </a:graphicData>
                </a:graphic>
              </wp:inline>
            </w:drawing>
          </mc:Fallback>
        </mc:AlternateContent>
      </w:r>
    </w:p>
    <w:p w:rsidR="00D627A6" w:rsidRDefault="00E93E89" w:rsidP="00D627A6">
      <w:pPr>
        <w:spacing w:after="0" w:line="480" w:lineRule="auto"/>
        <w:rPr>
          <w:rFonts w:ascii="Times New Roman" w:hAnsi="Times New Roman" w:cs="Times New Roman"/>
          <w:b/>
          <w:bCs/>
          <w:sz w:val="24"/>
          <w:szCs w:val="24"/>
        </w:rPr>
      </w:pPr>
      <w:r w:rsidRPr="00684719">
        <w:rPr>
          <w:rFonts w:ascii="Times New Roman" w:hAnsi="Times New Roman" w:cs="Times New Roman"/>
          <w:b/>
          <w:bCs/>
          <w:sz w:val="24"/>
          <w:szCs w:val="24"/>
        </w:rPr>
        <w:t xml:space="preserve">Section 2 </w:t>
      </w:r>
      <w:r w:rsidR="00B32B4D">
        <w:rPr>
          <w:rFonts w:ascii="Times New Roman" w:hAnsi="Times New Roman" w:cs="Times New Roman"/>
          <w:b/>
          <w:bCs/>
          <w:sz w:val="24"/>
          <w:szCs w:val="24"/>
        </w:rPr>
        <w:t>–</w:t>
      </w:r>
      <w:r w:rsidRPr="00684719">
        <w:rPr>
          <w:rFonts w:ascii="Times New Roman" w:hAnsi="Times New Roman" w:cs="Times New Roman"/>
          <w:b/>
          <w:bCs/>
          <w:sz w:val="24"/>
          <w:szCs w:val="24"/>
        </w:rPr>
        <w:t xml:space="preserve"> Analysis</w:t>
      </w:r>
    </w:p>
    <w:p w:rsidR="00D627A6" w:rsidRPr="006B753E" w:rsidRDefault="00D627A6" w:rsidP="006B753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relationship between sales/ sq ft and each of the three decision variables is depicted in the scatterplots below. There is no discernible trend in observations in the median income vs. </w:t>
      </w:r>
      <w:r>
        <w:rPr>
          <w:rFonts w:ascii="Times New Roman" w:hAnsi="Times New Roman" w:cs="Times New Roman"/>
          <w:sz w:val="24"/>
          <w:szCs w:val="24"/>
        </w:rPr>
        <w:lastRenderedPageBreak/>
        <w:t>sales per sq ft and median age vs. sales/sq ft scatterplots</w:t>
      </w:r>
      <w:r w:rsidR="006B753E">
        <w:rPr>
          <w:rFonts w:ascii="Times New Roman" w:hAnsi="Times New Roman" w:cs="Times New Roman"/>
          <w:sz w:val="24"/>
          <w:szCs w:val="24"/>
        </w:rPr>
        <w:t xml:space="preserve"> </w:t>
      </w:r>
      <w:r w:rsidR="009F5BAE">
        <w:rPr>
          <w:rFonts w:ascii="Times New Roman" w:hAnsi="Times New Roman" w:cs="Times New Roman"/>
          <w:sz w:val="24"/>
          <w:szCs w:val="24"/>
        </w:rPr>
        <w:t xml:space="preserve">indicating no relationship between median income and sales/sq ft nor between median age and sales/ sq ft. </w:t>
      </w:r>
      <w:r w:rsidR="006B753E">
        <w:rPr>
          <w:rFonts w:ascii="Times New Roman" w:hAnsi="Times New Roman" w:cs="Times New Roman"/>
          <w:sz w:val="24"/>
          <w:szCs w:val="24"/>
        </w:rPr>
        <w:t>The absence of a relationship is confirmed in the small R</w:t>
      </w:r>
      <w:r w:rsidR="006B753E">
        <w:rPr>
          <w:rFonts w:ascii="Times New Roman" w:hAnsi="Times New Roman" w:cs="Times New Roman"/>
          <w:sz w:val="24"/>
          <w:szCs w:val="24"/>
          <w:vertAlign w:val="superscript"/>
        </w:rPr>
        <w:t>2</w:t>
      </w:r>
      <w:r w:rsidR="006B753E">
        <w:rPr>
          <w:rFonts w:ascii="Times New Roman" w:hAnsi="Times New Roman" w:cs="Times New Roman"/>
          <w:sz w:val="24"/>
          <w:szCs w:val="24"/>
        </w:rPr>
        <w:t xml:space="preserve"> values that are close to zero, indicating that the variation in median age and median income explains roughly 0% of the variation in sales/ sq ft.</w:t>
      </w:r>
    </w:p>
    <w:p w:rsidR="00E93E89" w:rsidRDefault="00633F29" w:rsidP="0048062D">
      <w:pPr>
        <w:spacing w:after="0" w:line="480" w:lineRule="auto"/>
        <w:rPr>
          <w:rFonts w:ascii="Times New Roman" w:hAnsi="Times New Roman" w:cs="Times New Roman"/>
          <w:sz w:val="24"/>
          <w:szCs w:val="24"/>
        </w:rPr>
      </w:pPr>
      <w:r>
        <w:rPr>
          <w:noProof/>
        </w:rPr>
        <w:drawing>
          <wp:inline distT="0" distB="0" distL="0" distR="0" wp14:anchorId="5C08210F" wp14:editId="3EE92FB0">
            <wp:extent cx="5124450" cy="2432050"/>
            <wp:effectExtent l="0" t="0" r="0" b="6350"/>
            <wp:docPr id="6" name="Chart 6">
              <a:extLst xmlns:a="http://schemas.openxmlformats.org/drawingml/2006/main">
                <a:ext uri="{FF2B5EF4-FFF2-40B4-BE49-F238E27FC236}">
                  <a16:creationId xmlns:a16="http://schemas.microsoft.com/office/drawing/2014/main" id="{A3C0A0C4-05EE-4F8E-9043-CDE79D96AF5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627A6" w:rsidRPr="00684719" w:rsidRDefault="00D627A6" w:rsidP="0048062D">
      <w:pPr>
        <w:spacing w:after="0" w:line="480" w:lineRule="auto"/>
        <w:rPr>
          <w:rFonts w:ascii="Times New Roman" w:hAnsi="Times New Roman" w:cs="Times New Roman"/>
          <w:sz w:val="24"/>
          <w:szCs w:val="24"/>
        </w:rPr>
      </w:pPr>
      <w:r>
        <w:rPr>
          <w:noProof/>
        </w:rPr>
        <w:drawing>
          <wp:inline distT="0" distB="0" distL="0" distR="0" wp14:anchorId="7162C499" wp14:editId="751D0383">
            <wp:extent cx="5073650" cy="2368550"/>
            <wp:effectExtent l="0" t="0" r="12700" b="12700"/>
            <wp:docPr id="7" name="Chart 7">
              <a:extLst xmlns:a="http://schemas.openxmlformats.org/drawingml/2006/main">
                <a:ext uri="{FF2B5EF4-FFF2-40B4-BE49-F238E27FC236}">
                  <a16:creationId xmlns:a16="http://schemas.microsoft.com/office/drawing/2014/main" id="{56AAB014-62F0-4A18-B5AB-0EB6404EF4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30E86" w:rsidRPr="00684719" w:rsidRDefault="006B753E" w:rsidP="006B753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contrast, there was a weak but discernible increasing trend in the percent with bachelor’s degree versus sales/sq ft scatterplot. This is indicative of the presence of a weak to moderate positive relation between bachelor’s degree and sales/ sq ft.</w:t>
      </w:r>
      <w:r w:rsidR="0060110D">
        <w:rPr>
          <w:rFonts w:ascii="Times New Roman" w:hAnsi="Times New Roman" w:cs="Times New Roman"/>
          <w:sz w:val="24"/>
          <w:szCs w:val="24"/>
        </w:rPr>
        <w:t xml:space="preserve"> The presence of a relationship between the two variables is confirmed by the R</w:t>
      </w:r>
      <w:r w:rsidR="0060110D">
        <w:rPr>
          <w:rFonts w:ascii="Times New Roman" w:hAnsi="Times New Roman" w:cs="Times New Roman"/>
          <w:sz w:val="24"/>
          <w:szCs w:val="24"/>
          <w:vertAlign w:val="superscript"/>
        </w:rPr>
        <w:t>2</w:t>
      </w:r>
      <w:r w:rsidR="0060110D">
        <w:rPr>
          <w:rFonts w:ascii="Times New Roman" w:hAnsi="Times New Roman" w:cs="Times New Roman"/>
          <w:sz w:val="24"/>
          <w:szCs w:val="24"/>
        </w:rPr>
        <w:t xml:space="preserve"> value, which indicates that the variation in percent with bachelor’s degree explains 11.7% of the variation in sales/ sq ft.  From </w:t>
      </w:r>
      <w:r w:rsidR="0060110D">
        <w:rPr>
          <w:rFonts w:ascii="Times New Roman" w:hAnsi="Times New Roman" w:cs="Times New Roman"/>
          <w:sz w:val="24"/>
          <w:szCs w:val="24"/>
        </w:rPr>
        <w:lastRenderedPageBreak/>
        <w:t xml:space="preserve">the regression equation, a </w:t>
      </w:r>
      <w:r>
        <w:rPr>
          <w:rFonts w:ascii="Times New Roman" w:hAnsi="Times New Roman" w:cs="Times New Roman"/>
          <w:sz w:val="24"/>
          <w:szCs w:val="24"/>
        </w:rPr>
        <w:t xml:space="preserve">percentage </w:t>
      </w:r>
      <w:r w:rsidR="0060110D">
        <w:rPr>
          <w:rFonts w:ascii="Times New Roman" w:hAnsi="Times New Roman" w:cs="Times New Roman"/>
          <w:sz w:val="24"/>
          <w:szCs w:val="24"/>
        </w:rPr>
        <w:t>increase in</w:t>
      </w:r>
      <w:r>
        <w:rPr>
          <w:rFonts w:ascii="Times New Roman" w:hAnsi="Times New Roman" w:cs="Times New Roman"/>
          <w:sz w:val="24"/>
          <w:szCs w:val="24"/>
        </w:rPr>
        <w:t xml:space="preserve"> the population within 3 miles of the restaurant with bachelor’s degrees </w:t>
      </w:r>
      <w:r w:rsidR="0060110D">
        <w:rPr>
          <w:rFonts w:ascii="Times New Roman" w:hAnsi="Times New Roman" w:cs="Times New Roman"/>
          <w:sz w:val="24"/>
          <w:szCs w:val="24"/>
        </w:rPr>
        <w:t xml:space="preserve">is associated with a $6.7 increase in the sales/ sq ft.  </w:t>
      </w:r>
      <w:r w:rsidR="00733C84">
        <w:rPr>
          <w:noProof/>
        </w:rPr>
        <w:drawing>
          <wp:inline distT="0" distB="0" distL="0" distR="0" wp14:anchorId="31AEB99E" wp14:editId="1713B8F2">
            <wp:extent cx="5162550" cy="2520950"/>
            <wp:effectExtent l="0" t="0" r="0" b="12700"/>
            <wp:docPr id="9" name="Chart 9">
              <a:extLst xmlns:a="http://schemas.openxmlformats.org/drawingml/2006/main">
                <a:ext uri="{FF2B5EF4-FFF2-40B4-BE49-F238E27FC236}">
                  <a16:creationId xmlns:a16="http://schemas.microsoft.com/office/drawing/2014/main" id="{AFD7939A-DE0C-4BEC-AE79-ECD6FD3735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44530" w:rsidRDefault="002346B9" w:rsidP="002346B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loyalty card</w:t>
      </w:r>
      <w:r w:rsidR="00C767C4">
        <w:rPr>
          <w:rFonts w:ascii="Times New Roman" w:hAnsi="Times New Roman" w:cs="Times New Roman"/>
          <w:sz w:val="24"/>
          <w:szCs w:val="24"/>
        </w:rPr>
        <w:t xml:space="preserve"> percentage</w:t>
      </w:r>
      <w:r>
        <w:rPr>
          <w:rFonts w:ascii="Times New Roman" w:hAnsi="Times New Roman" w:cs="Times New Roman"/>
          <w:sz w:val="24"/>
          <w:szCs w:val="24"/>
        </w:rPr>
        <w:t xml:space="preserve"> versus sales growth scatterplot shows a weak but discernible decreasing trend in observations</w:t>
      </w:r>
      <w:r w:rsidR="00C767C4">
        <w:rPr>
          <w:rFonts w:ascii="Times New Roman" w:hAnsi="Times New Roman" w:cs="Times New Roman"/>
          <w:sz w:val="24"/>
          <w:szCs w:val="24"/>
        </w:rPr>
        <w:t xml:space="preserve">, which is indicative of a negative relationship between the variables. </w:t>
      </w:r>
      <w:r w:rsidR="00D634E8">
        <w:rPr>
          <w:rFonts w:ascii="Times New Roman" w:hAnsi="Times New Roman" w:cs="Times New Roman"/>
          <w:sz w:val="24"/>
          <w:szCs w:val="24"/>
        </w:rPr>
        <w:t xml:space="preserve">The variation in the percentage of loyalty card sales </w:t>
      </w:r>
      <w:r w:rsidR="00C767C4">
        <w:rPr>
          <w:rFonts w:ascii="Times New Roman" w:hAnsi="Times New Roman" w:cs="Times New Roman"/>
          <w:sz w:val="24"/>
          <w:szCs w:val="24"/>
        </w:rPr>
        <w:t>explained 8.8% of the variation</w:t>
      </w:r>
      <w:r>
        <w:rPr>
          <w:rFonts w:ascii="Times New Roman" w:hAnsi="Times New Roman" w:cs="Times New Roman"/>
          <w:sz w:val="24"/>
          <w:szCs w:val="24"/>
        </w:rPr>
        <w:t xml:space="preserve"> </w:t>
      </w:r>
      <w:r w:rsidR="00C767C4">
        <w:rPr>
          <w:rFonts w:ascii="Times New Roman" w:hAnsi="Times New Roman" w:cs="Times New Roman"/>
          <w:sz w:val="24"/>
          <w:szCs w:val="24"/>
        </w:rPr>
        <w:t xml:space="preserve">in the sales growth rate. </w:t>
      </w:r>
      <w:r w:rsidR="00344530">
        <w:rPr>
          <w:rFonts w:ascii="Times New Roman" w:hAnsi="Times New Roman" w:cs="Times New Roman"/>
          <w:sz w:val="24"/>
          <w:szCs w:val="24"/>
        </w:rPr>
        <w:t>From the regression equation, a percentage</w:t>
      </w:r>
      <w:r w:rsidR="00C767C4">
        <w:rPr>
          <w:rFonts w:ascii="Times New Roman" w:hAnsi="Times New Roman" w:cs="Times New Roman"/>
          <w:sz w:val="24"/>
          <w:szCs w:val="24"/>
        </w:rPr>
        <w:t xml:space="preserve"> increase in the loyalty card sales as a percentage of net sales is associated with a </w:t>
      </w:r>
      <w:r w:rsidR="00344530">
        <w:rPr>
          <w:rFonts w:ascii="Times New Roman" w:hAnsi="Times New Roman" w:cs="Times New Roman"/>
          <w:sz w:val="24"/>
          <w:szCs w:val="24"/>
        </w:rPr>
        <w:t>3.56% reduction in the sales growth rate.</w:t>
      </w:r>
    </w:p>
    <w:p w:rsidR="00344530" w:rsidRDefault="001C31CD" w:rsidP="0048062D">
      <w:pPr>
        <w:spacing w:after="0" w:line="480" w:lineRule="auto"/>
        <w:rPr>
          <w:rFonts w:ascii="Times New Roman" w:hAnsi="Times New Roman" w:cs="Times New Roman"/>
          <w:sz w:val="24"/>
          <w:szCs w:val="24"/>
        </w:rPr>
      </w:pPr>
      <w:r>
        <w:rPr>
          <w:noProof/>
        </w:rPr>
        <w:drawing>
          <wp:inline distT="0" distB="0" distL="0" distR="0" wp14:anchorId="1A0FD039" wp14:editId="6BB3CE8E">
            <wp:extent cx="4572000" cy="2743200"/>
            <wp:effectExtent l="0" t="0" r="0" b="0"/>
            <wp:docPr id="10" name="Chart 10">
              <a:extLst xmlns:a="http://schemas.openxmlformats.org/drawingml/2006/main">
                <a:ext uri="{FF2B5EF4-FFF2-40B4-BE49-F238E27FC236}">
                  <a16:creationId xmlns:a16="http://schemas.microsoft.com/office/drawing/2014/main" id="{C043A0E4-68D4-450E-89DD-3F1C4DE04D4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93E89" w:rsidRPr="00344530" w:rsidRDefault="00E93E89" w:rsidP="0048062D">
      <w:pPr>
        <w:spacing w:after="0" w:line="480" w:lineRule="auto"/>
        <w:rPr>
          <w:rFonts w:ascii="Times New Roman" w:hAnsi="Times New Roman" w:cs="Times New Roman"/>
          <w:sz w:val="24"/>
          <w:szCs w:val="24"/>
        </w:rPr>
      </w:pPr>
      <w:r w:rsidRPr="00B1222E">
        <w:rPr>
          <w:rFonts w:ascii="Times New Roman" w:hAnsi="Times New Roman" w:cs="Times New Roman"/>
          <w:b/>
          <w:bCs/>
          <w:sz w:val="24"/>
          <w:szCs w:val="24"/>
        </w:rPr>
        <w:lastRenderedPageBreak/>
        <w:t>Section 3: Recommendations and implementation</w:t>
      </w:r>
    </w:p>
    <w:p w:rsidR="00344530" w:rsidRDefault="00D634E8" w:rsidP="0048062D">
      <w:pPr>
        <w:spacing w:after="0" w:line="480" w:lineRule="auto"/>
        <w:rPr>
          <w:rFonts w:ascii="Times New Roman" w:hAnsi="Times New Roman" w:cs="Times New Roman"/>
          <w:sz w:val="24"/>
          <w:szCs w:val="24"/>
        </w:rPr>
      </w:pPr>
      <w:r>
        <w:rPr>
          <w:rFonts w:ascii="Times New Roman" w:hAnsi="Times New Roman" w:cs="Times New Roman"/>
          <w:sz w:val="24"/>
          <w:szCs w:val="24"/>
        </w:rPr>
        <w:tab/>
        <w:t>Based on</w:t>
      </w:r>
      <w:r w:rsidR="00344530">
        <w:rPr>
          <w:rFonts w:ascii="Times New Roman" w:hAnsi="Times New Roman" w:cs="Times New Roman"/>
          <w:sz w:val="24"/>
          <w:szCs w:val="24"/>
        </w:rPr>
        <w:t xml:space="preserve"> the analysis results, </w:t>
      </w:r>
      <w:r>
        <w:rPr>
          <w:rFonts w:ascii="Times New Roman" w:hAnsi="Times New Roman" w:cs="Times New Roman"/>
          <w:sz w:val="24"/>
          <w:szCs w:val="24"/>
        </w:rPr>
        <w:t xml:space="preserve">percent of population with Bachelor’s degree was </w:t>
      </w:r>
      <w:r w:rsidR="00344530">
        <w:rPr>
          <w:rFonts w:ascii="Times New Roman" w:hAnsi="Times New Roman" w:cs="Times New Roman"/>
          <w:sz w:val="24"/>
          <w:szCs w:val="24"/>
        </w:rPr>
        <w:t>the only</w:t>
      </w:r>
      <w:r>
        <w:rPr>
          <w:rFonts w:ascii="Times New Roman" w:hAnsi="Times New Roman" w:cs="Times New Roman"/>
          <w:sz w:val="24"/>
          <w:szCs w:val="24"/>
        </w:rPr>
        <w:t xml:space="preserve"> effective expansion criterion. Median household income and median age had negligible effect on sales per sq ft and should not be considered in expansion decisions. The restaurant’s choice to target regions with at least 15% college educated adult population is supported by the data as sales per sq ft was shown to increase with an increase in the college educated population. </w:t>
      </w:r>
      <w:r w:rsidR="00993EAA">
        <w:rPr>
          <w:rFonts w:ascii="Times New Roman" w:hAnsi="Times New Roman" w:cs="Times New Roman"/>
          <w:sz w:val="24"/>
          <w:szCs w:val="24"/>
        </w:rPr>
        <w:t>However, from the scatterplot depicting the relationship between percent of population with college education and sales/ sq ft, the gain in the latter from increasing the former was limited. Furthermore, there was substantial variation in sales/ sq ft for restaurants with comparable populations of college educated adults. For example, the sales per sq ft for restaurants with more than 30% college educated adult population ranged between $351 and $987. The restaurant should identify the other factors responsible for the variation and evaluate the</w:t>
      </w:r>
      <w:r w:rsidR="00C767C4">
        <w:rPr>
          <w:rFonts w:ascii="Times New Roman" w:hAnsi="Times New Roman" w:cs="Times New Roman"/>
          <w:sz w:val="24"/>
          <w:szCs w:val="24"/>
        </w:rPr>
        <w:t xml:space="preserve"> usefulness of these factors as expansion criteria. </w:t>
      </w:r>
    </w:p>
    <w:p w:rsidR="00C767C4" w:rsidRDefault="00C767C4" w:rsidP="0034453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Given that loyalty card was negatively correlated with sales growth, I would recommend changing the loyalty card marketing strategy. The effectiveness of targeting college educated adults could be evaluated by comparing the average spending per person for college-educated customers and customers with lesser educational qualifications. This data would be collected by sampling a given number of customers across all 74 regions and dividing the sample into college-educated and high-school educated or below.</w:t>
      </w:r>
    </w:p>
    <w:p w:rsidR="00E93E89" w:rsidRPr="00684719" w:rsidRDefault="00E93E89" w:rsidP="0048062D">
      <w:pPr>
        <w:spacing w:after="0" w:line="480" w:lineRule="auto"/>
        <w:rPr>
          <w:rFonts w:ascii="Times New Roman" w:hAnsi="Times New Roman" w:cs="Times New Roman"/>
          <w:sz w:val="24"/>
          <w:szCs w:val="24"/>
        </w:rPr>
      </w:pPr>
    </w:p>
    <w:sectPr w:rsidR="00E93E89" w:rsidRPr="00684719">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9045C" w:rsidRDefault="0059045C" w:rsidP="00344530">
      <w:pPr>
        <w:spacing w:after="0" w:line="240" w:lineRule="auto"/>
      </w:pPr>
      <w:r>
        <w:separator/>
      </w:r>
    </w:p>
  </w:endnote>
  <w:endnote w:type="continuationSeparator" w:id="0">
    <w:p w:rsidR="0059045C" w:rsidRDefault="0059045C" w:rsidP="00344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4530" w:rsidRDefault="00344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4530" w:rsidRDefault="003445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4530" w:rsidRDefault="00344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9045C" w:rsidRDefault="0059045C" w:rsidP="00344530">
      <w:pPr>
        <w:spacing w:after="0" w:line="240" w:lineRule="auto"/>
      </w:pPr>
      <w:r>
        <w:separator/>
      </w:r>
    </w:p>
  </w:footnote>
  <w:footnote w:type="continuationSeparator" w:id="0">
    <w:p w:rsidR="0059045C" w:rsidRDefault="0059045C" w:rsidP="003445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4530" w:rsidRDefault="00344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506029187"/>
      <w:docPartObj>
        <w:docPartGallery w:val="Page Numbers (Top of Page)"/>
        <w:docPartUnique/>
      </w:docPartObj>
    </w:sdtPr>
    <w:sdtEndPr>
      <w:rPr>
        <w:noProof/>
      </w:rPr>
    </w:sdtEndPr>
    <w:sdtContent>
      <w:p w:rsidR="00344530" w:rsidRPr="00344530" w:rsidRDefault="00344530">
        <w:pPr>
          <w:pStyle w:val="Header"/>
          <w:jc w:val="right"/>
          <w:rPr>
            <w:rFonts w:ascii="Times New Roman" w:hAnsi="Times New Roman" w:cs="Times New Roman"/>
            <w:sz w:val="24"/>
            <w:szCs w:val="24"/>
          </w:rPr>
        </w:pPr>
        <w:r w:rsidRPr="00344530">
          <w:rPr>
            <w:rFonts w:ascii="Times New Roman" w:hAnsi="Times New Roman" w:cs="Times New Roman"/>
            <w:sz w:val="24"/>
            <w:szCs w:val="24"/>
          </w:rPr>
          <w:fldChar w:fldCharType="begin"/>
        </w:r>
        <w:r w:rsidRPr="00344530">
          <w:rPr>
            <w:rFonts w:ascii="Times New Roman" w:hAnsi="Times New Roman" w:cs="Times New Roman"/>
            <w:sz w:val="24"/>
            <w:szCs w:val="24"/>
          </w:rPr>
          <w:instrText xml:space="preserve"> PAGE   \* MERGEFORMAT </w:instrText>
        </w:r>
        <w:r w:rsidRPr="00344530">
          <w:rPr>
            <w:rFonts w:ascii="Times New Roman" w:hAnsi="Times New Roman" w:cs="Times New Roman"/>
            <w:sz w:val="24"/>
            <w:szCs w:val="24"/>
          </w:rPr>
          <w:fldChar w:fldCharType="separate"/>
        </w:r>
        <w:r w:rsidRPr="00344530">
          <w:rPr>
            <w:rFonts w:ascii="Times New Roman" w:hAnsi="Times New Roman" w:cs="Times New Roman"/>
            <w:noProof/>
            <w:sz w:val="24"/>
            <w:szCs w:val="24"/>
          </w:rPr>
          <w:t>2</w:t>
        </w:r>
        <w:r w:rsidRPr="00344530">
          <w:rPr>
            <w:rFonts w:ascii="Times New Roman" w:hAnsi="Times New Roman" w:cs="Times New Roman"/>
            <w:noProof/>
            <w:sz w:val="24"/>
            <w:szCs w:val="24"/>
          </w:rPr>
          <w:fldChar w:fldCharType="end"/>
        </w:r>
      </w:p>
    </w:sdtContent>
  </w:sdt>
  <w:p w:rsidR="00344530" w:rsidRDefault="00344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4530" w:rsidRDefault="003445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E89"/>
    <w:rsid w:val="000A1D0D"/>
    <w:rsid w:val="000F0352"/>
    <w:rsid w:val="001C31CD"/>
    <w:rsid w:val="001E09C8"/>
    <w:rsid w:val="001F66AE"/>
    <w:rsid w:val="002346B9"/>
    <w:rsid w:val="00234928"/>
    <w:rsid w:val="00257CB8"/>
    <w:rsid w:val="00330E86"/>
    <w:rsid w:val="00344530"/>
    <w:rsid w:val="00384782"/>
    <w:rsid w:val="00406B82"/>
    <w:rsid w:val="0048062D"/>
    <w:rsid w:val="00524AFE"/>
    <w:rsid w:val="0059045C"/>
    <w:rsid w:val="005F2FB3"/>
    <w:rsid w:val="0060110D"/>
    <w:rsid w:val="00606525"/>
    <w:rsid w:val="00626C59"/>
    <w:rsid w:val="00633F29"/>
    <w:rsid w:val="00643FB6"/>
    <w:rsid w:val="00684719"/>
    <w:rsid w:val="006B3196"/>
    <w:rsid w:val="006B753E"/>
    <w:rsid w:val="00733C84"/>
    <w:rsid w:val="00764C44"/>
    <w:rsid w:val="007F2A64"/>
    <w:rsid w:val="00902EDF"/>
    <w:rsid w:val="00993EAA"/>
    <w:rsid w:val="009F44AB"/>
    <w:rsid w:val="009F5BAE"/>
    <w:rsid w:val="00A708A0"/>
    <w:rsid w:val="00A82054"/>
    <w:rsid w:val="00B1222E"/>
    <w:rsid w:val="00B32B4D"/>
    <w:rsid w:val="00B740E9"/>
    <w:rsid w:val="00BC347B"/>
    <w:rsid w:val="00C302B5"/>
    <w:rsid w:val="00C767C4"/>
    <w:rsid w:val="00D627A6"/>
    <w:rsid w:val="00D634E8"/>
    <w:rsid w:val="00E93E89"/>
    <w:rsid w:val="00EC68C7"/>
    <w:rsid w:val="00F27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360B5"/>
  <w15:chartTrackingRefBased/>
  <w15:docId w15:val="{842C42C5-84E7-4C79-BFC0-2181F88BB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6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445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4530"/>
  </w:style>
  <w:style w:type="paragraph" w:styleId="Footer">
    <w:name w:val="footer"/>
    <w:basedOn w:val="Normal"/>
    <w:link w:val="FooterChar"/>
    <w:uiPriority w:val="99"/>
    <w:unhideWhenUsed/>
    <w:rsid w:val="003445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4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358762">
      <w:bodyDiv w:val="1"/>
      <w:marLeft w:val="0"/>
      <w:marRight w:val="0"/>
      <w:marTop w:val="0"/>
      <w:marBottom w:val="0"/>
      <w:divBdr>
        <w:top w:val="none" w:sz="0" w:space="0" w:color="auto"/>
        <w:left w:val="none" w:sz="0" w:space="0" w:color="auto"/>
        <w:bottom w:val="none" w:sz="0" w:space="0" w:color="auto"/>
        <w:right w:val="none" w:sz="0" w:space="0" w:color="auto"/>
      </w:divBdr>
    </w:div>
    <w:div w:id="77158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4/relationships/chartEx" Target="charts/chartEx4.xml"/><Relationship Id="rId18" Type="http://schemas.openxmlformats.org/officeDocument/2006/relationships/chart" Target="charts/chart4.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microsoft.com/office/2014/relationships/chartEx" Target="charts/chartEx1.xml"/><Relationship Id="rId12" Type="http://schemas.openxmlformats.org/officeDocument/2006/relationships/image" Target="media/image3.png"/><Relationship Id="rId17" Type="http://schemas.openxmlformats.org/officeDocument/2006/relationships/chart" Target="charts/chart3.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hart" Target="charts/chart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4/relationships/chartEx" Target="charts/chartEx3.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hart" Target="charts/chart1.xml"/><Relationship Id="rId23"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webSettings" Target="webSettings.xml"/><Relationship Id="rId9" Type="http://schemas.microsoft.com/office/2014/relationships/chartEx" Target="charts/chartEx2.xml"/><Relationship Id="rId14" Type="http://schemas.openxmlformats.org/officeDocument/2006/relationships/image" Target="media/image4.png"/><Relationship Id="rId22"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ownloads\PastasRUs_(1)(1).xlsx" TargetMode="External"/><Relationship Id="rId2" Type="http://schemas.microsoft.com/office/2011/relationships/chartColorStyle" Target="colors5.xml"/><Relationship Id="rId1" Type="http://schemas.microsoft.com/office/2011/relationships/chartStyle" Target="style5.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Downloads\PastasRUs_(1)(1).xlsx" TargetMode="External"/><Relationship Id="rId2" Type="http://schemas.microsoft.com/office/2011/relationships/chartColorStyle" Target="colors6.xml"/><Relationship Id="rId1" Type="http://schemas.microsoft.com/office/2011/relationships/chartStyle" Target="style6.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USER\Downloads\PastasRUs_(1)(1).xlsx" TargetMode="External"/><Relationship Id="rId2" Type="http://schemas.microsoft.com/office/2011/relationships/chartColorStyle" Target="colors7.xml"/><Relationship Id="rId1" Type="http://schemas.microsoft.com/office/2011/relationships/chartStyle" Target="style7.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USER\Downloads\PastasRUs_(1)(1).xlsx" TargetMode="External"/><Relationship Id="rId2" Type="http://schemas.microsoft.com/office/2011/relationships/chartColorStyle" Target="colors8.xml"/><Relationship Id="rId1" Type="http://schemas.microsoft.com/office/2011/relationships/chartStyle" Target="style8.xml"/></Relationships>
</file>

<file path=word/charts/_rels/chartEx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USER\Downloads\PastasRUs_(1)(1).xlsx" TargetMode="External"/></Relationships>
</file>

<file path=word/charts/_rels/chartEx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USER\Downloads\PastasRUs_(1)(1).xlsx" TargetMode="External"/></Relationships>
</file>

<file path=word/charts/_rels/chartEx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C:\Users\USER\Downloads\PastasRUs_(1)(1).xlsx" TargetMode="External"/></Relationships>
</file>

<file path=word/charts/_rels/chartEx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C:\Users\USER\Downloads\PastasRUs_(1)(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Median Income Vs. Sales/Sq Ft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28575"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4.8298337707786531E-3"/>
                  <c:y val="-0.27775007290755321"/>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Scatterplots!$A$3:$A$76</c:f>
              <c:numCache>
                <c:formatCode>0</c:formatCode>
                <c:ptCount val="74"/>
                <c:pt idx="0">
                  <c:v>45177</c:v>
                </c:pt>
                <c:pt idx="1">
                  <c:v>51888</c:v>
                </c:pt>
                <c:pt idx="2">
                  <c:v>51379</c:v>
                </c:pt>
                <c:pt idx="3">
                  <c:v>66081</c:v>
                </c:pt>
                <c:pt idx="4">
                  <c:v>50999</c:v>
                </c:pt>
                <c:pt idx="5">
                  <c:v>41562</c:v>
                </c:pt>
                <c:pt idx="6">
                  <c:v>44196</c:v>
                </c:pt>
                <c:pt idx="7">
                  <c:v>50975</c:v>
                </c:pt>
                <c:pt idx="8">
                  <c:v>72808</c:v>
                </c:pt>
                <c:pt idx="9">
                  <c:v>79070</c:v>
                </c:pt>
                <c:pt idx="10">
                  <c:v>78497</c:v>
                </c:pt>
                <c:pt idx="11">
                  <c:v>41245</c:v>
                </c:pt>
                <c:pt idx="12">
                  <c:v>33003</c:v>
                </c:pt>
                <c:pt idx="13">
                  <c:v>90988</c:v>
                </c:pt>
                <c:pt idx="14">
                  <c:v>37950</c:v>
                </c:pt>
                <c:pt idx="15">
                  <c:v>45206</c:v>
                </c:pt>
                <c:pt idx="16">
                  <c:v>79312</c:v>
                </c:pt>
                <c:pt idx="17">
                  <c:v>37345</c:v>
                </c:pt>
                <c:pt idx="18">
                  <c:v>46226</c:v>
                </c:pt>
                <c:pt idx="19">
                  <c:v>70024</c:v>
                </c:pt>
                <c:pt idx="20">
                  <c:v>54982</c:v>
                </c:pt>
                <c:pt idx="21">
                  <c:v>54932</c:v>
                </c:pt>
                <c:pt idx="22">
                  <c:v>34097</c:v>
                </c:pt>
                <c:pt idx="23">
                  <c:v>46593</c:v>
                </c:pt>
                <c:pt idx="24">
                  <c:v>51893</c:v>
                </c:pt>
                <c:pt idx="25">
                  <c:v>88162</c:v>
                </c:pt>
                <c:pt idx="26">
                  <c:v>89016</c:v>
                </c:pt>
                <c:pt idx="27">
                  <c:v>114353</c:v>
                </c:pt>
                <c:pt idx="28">
                  <c:v>75366</c:v>
                </c:pt>
                <c:pt idx="29">
                  <c:v>48163</c:v>
                </c:pt>
                <c:pt idx="30">
                  <c:v>49956</c:v>
                </c:pt>
                <c:pt idx="31">
                  <c:v>45990</c:v>
                </c:pt>
                <c:pt idx="32">
                  <c:v>45723</c:v>
                </c:pt>
                <c:pt idx="33">
                  <c:v>43800</c:v>
                </c:pt>
                <c:pt idx="34">
                  <c:v>68711</c:v>
                </c:pt>
                <c:pt idx="35">
                  <c:v>65150</c:v>
                </c:pt>
                <c:pt idx="36">
                  <c:v>39329</c:v>
                </c:pt>
                <c:pt idx="37">
                  <c:v>63657</c:v>
                </c:pt>
                <c:pt idx="38">
                  <c:v>67099</c:v>
                </c:pt>
                <c:pt idx="39">
                  <c:v>75151</c:v>
                </c:pt>
                <c:pt idx="40">
                  <c:v>93876</c:v>
                </c:pt>
                <c:pt idx="41">
                  <c:v>79701</c:v>
                </c:pt>
                <c:pt idx="42">
                  <c:v>77115</c:v>
                </c:pt>
                <c:pt idx="43">
                  <c:v>52766</c:v>
                </c:pt>
                <c:pt idx="44">
                  <c:v>32929</c:v>
                </c:pt>
                <c:pt idx="45">
                  <c:v>87863</c:v>
                </c:pt>
                <c:pt idx="46">
                  <c:v>73752</c:v>
                </c:pt>
                <c:pt idx="47">
                  <c:v>85366</c:v>
                </c:pt>
                <c:pt idx="48">
                  <c:v>39180</c:v>
                </c:pt>
                <c:pt idx="49">
                  <c:v>56077</c:v>
                </c:pt>
                <c:pt idx="50">
                  <c:v>77449</c:v>
                </c:pt>
                <c:pt idx="51">
                  <c:v>56822</c:v>
                </c:pt>
                <c:pt idx="52">
                  <c:v>80470</c:v>
                </c:pt>
                <c:pt idx="53">
                  <c:v>55584</c:v>
                </c:pt>
                <c:pt idx="54">
                  <c:v>78001</c:v>
                </c:pt>
                <c:pt idx="55">
                  <c:v>75307</c:v>
                </c:pt>
                <c:pt idx="56">
                  <c:v>76375</c:v>
                </c:pt>
                <c:pt idx="57">
                  <c:v>61857</c:v>
                </c:pt>
                <c:pt idx="58">
                  <c:v>61312</c:v>
                </c:pt>
                <c:pt idx="59">
                  <c:v>72040</c:v>
                </c:pt>
                <c:pt idx="60">
                  <c:v>92414</c:v>
                </c:pt>
                <c:pt idx="61">
                  <c:v>92602</c:v>
                </c:pt>
                <c:pt idx="62">
                  <c:v>59599</c:v>
                </c:pt>
                <c:pt idx="63">
                  <c:v>72453</c:v>
                </c:pt>
                <c:pt idx="64">
                  <c:v>67925</c:v>
                </c:pt>
                <c:pt idx="65">
                  <c:v>42631</c:v>
                </c:pt>
                <c:pt idx="66">
                  <c:v>75652</c:v>
                </c:pt>
                <c:pt idx="67">
                  <c:v>39650</c:v>
                </c:pt>
                <c:pt idx="68">
                  <c:v>48033</c:v>
                </c:pt>
                <c:pt idx="69">
                  <c:v>67403</c:v>
                </c:pt>
                <c:pt idx="70">
                  <c:v>80597</c:v>
                </c:pt>
                <c:pt idx="71">
                  <c:v>60928</c:v>
                </c:pt>
                <c:pt idx="72">
                  <c:v>73762</c:v>
                </c:pt>
                <c:pt idx="73">
                  <c:v>64225</c:v>
                </c:pt>
              </c:numCache>
            </c:numRef>
          </c:xVal>
          <c:yVal>
            <c:numRef>
              <c:f>Scatterplots!$B$3:$B$76</c:f>
              <c:numCache>
                <c:formatCode>#,##0.00_);\(#,##0.00\)</c:formatCode>
                <c:ptCount val="74"/>
                <c:pt idx="0">
                  <c:v>701.97</c:v>
                </c:pt>
                <c:pt idx="1">
                  <c:v>209.93</c:v>
                </c:pt>
                <c:pt idx="2">
                  <c:v>364.92</c:v>
                </c:pt>
                <c:pt idx="3">
                  <c:v>443.04</c:v>
                </c:pt>
                <c:pt idx="4">
                  <c:v>399.2</c:v>
                </c:pt>
                <c:pt idx="5">
                  <c:v>264.64</c:v>
                </c:pt>
                <c:pt idx="6">
                  <c:v>571.59</c:v>
                </c:pt>
                <c:pt idx="7">
                  <c:v>642.25</c:v>
                </c:pt>
                <c:pt idx="8">
                  <c:v>461.45</c:v>
                </c:pt>
                <c:pt idx="9">
                  <c:v>638.82000000000005</c:v>
                </c:pt>
                <c:pt idx="10">
                  <c:v>484.38</c:v>
                </c:pt>
                <c:pt idx="11">
                  <c:v>581.09</c:v>
                </c:pt>
                <c:pt idx="12">
                  <c:v>267.70999999999998</c:v>
                </c:pt>
                <c:pt idx="13">
                  <c:v>572.84</c:v>
                </c:pt>
                <c:pt idx="14">
                  <c:v>586.48</c:v>
                </c:pt>
                <c:pt idx="15">
                  <c:v>368.73</c:v>
                </c:pt>
                <c:pt idx="16">
                  <c:v>351.47</c:v>
                </c:pt>
                <c:pt idx="17">
                  <c:v>458.24</c:v>
                </c:pt>
                <c:pt idx="18">
                  <c:v>987.12</c:v>
                </c:pt>
                <c:pt idx="19">
                  <c:v>357.45</c:v>
                </c:pt>
                <c:pt idx="20">
                  <c:v>405.77</c:v>
                </c:pt>
                <c:pt idx="21">
                  <c:v>680.8</c:v>
                </c:pt>
                <c:pt idx="22">
                  <c:v>368.02</c:v>
                </c:pt>
                <c:pt idx="23">
                  <c:v>303.95</c:v>
                </c:pt>
                <c:pt idx="24">
                  <c:v>393.9</c:v>
                </c:pt>
                <c:pt idx="25">
                  <c:v>562.12</c:v>
                </c:pt>
                <c:pt idx="26">
                  <c:v>494.88</c:v>
                </c:pt>
                <c:pt idx="27">
                  <c:v>310.07</c:v>
                </c:pt>
                <c:pt idx="28">
                  <c:v>373.46</c:v>
                </c:pt>
                <c:pt idx="29">
                  <c:v>235.81</c:v>
                </c:pt>
                <c:pt idx="30">
                  <c:v>413.08</c:v>
                </c:pt>
                <c:pt idx="31">
                  <c:v>625.22</c:v>
                </c:pt>
                <c:pt idx="32">
                  <c:v>274.3</c:v>
                </c:pt>
                <c:pt idx="33">
                  <c:v>542.62</c:v>
                </c:pt>
                <c:pt idx="34">
                  <c:v>178.56</c:v>
                </c:pt>
                <c:pt idx="35">
                  <c:v>375.33</c:v>
                </c:pt>
                <c:pt idx="36">
                  <c:v>329.09</c:v>
                </c:pt>
                <c:pt idx="37">
                  <c:v>297.37</c:v>
                </c:pt>
                <c:pt idx="38">
                  <c:v>323.17</c:v>
                </c:pt>
                <c:pt idx="39">
                  <c:v>468.84</c:v>
                </c:pt>
                <c:pt idx="40">
                  <c:v>352.57</c:v>
                </c:pt>
                <c:pt idx="41">
                  <c:v>380.34</c:v>
                </c:pt>
                <c:pt idx="42">
                  <c:v>398.12</c:v>
                </c:pt>
                <c:pt idx="43">
                  <c:v>312.14999999999998</c:v>
                </c:pt>
                <c:pt idx="44">
                  <c:v>452.16</c:v>
                </c:pt>
                <c:pt idx="45">
                  <c:v>698.64</c:v>
                </c:pt>
                <c:pt idx="46">
                  <c:v>367.19</c:v>
                </c:pt>
                <c:pt idx="47">
                  <c:v>431.93</c:v>
                </c:pt>
                <c:pt idx="48">
                  <c:v>367.06</c:v>
                </c:pt>
                <c:pt idx="49">
                  <c:v>400.53</c:v>
                </c:pt>
                <c:pt idx="50">
                  <c:v>414.36</c:v>
                </c:pt>
                <c:pt idx="51">
                  <c:v>481.11</c:v>
                </c:pt>
                <c:pt idx="52">
                  <c:v>538.05999999999995</c:v>
                </c:pt>
                <c:pt idx="53">
                  <c:v>330.48</c:v>
                </c:pt>
                <c:pt idx="54">
                  <c:v>249.93</c:v>
                </c:pt>
                <c:pt idx="55">
                  <c:v>291.87</c:v>
                </c:pt>
                <c:pt idx="56">
                  <c:v>517.4</c:v>
                </c:pt>
                <c:pt idx="57">
                  <c:v>551.58000000000004</c:v>
                </c:pt>
                <c:pt idx="58">
                  <c:v>386.81</c:v>
                </c:pt>
                <c:pt idx="59">
                  <c:v>427.5</c:v>
                </c:pt>
                <c:pt idx="60">
                  <c:v>453.94</c:v>
                </c:pt>
                <c:pt idx="61">
                  <c:v>512.46</c:v>
                </c:pt>
                <c:pt idx="62">
                  <c:v>345.27</c:v>
                </c:pt>
                <c:pt idx="63">
                  <c:v>234.04</c:v>
                </c:pt>
                <c:pt idx="64">
                  <c:v>348.33</c:v>
                </c:pt>
                <c:pt idx="65">
                  <c:v>348.47</c:v>
                </c:pt>
                <c:pt idx="66">
                  <c:v>294.95</c:v>
                </c:pt>
                <c:pt idx="67">
                  <c:v>361.14</c:v>
                </c:pt>
                <c:pt idx="68">
                  <c:v>467.71</c:v>
                </c:pt>
                <c:pt idx="69">
                  <c:v>403.78</c:v>
                </c:pt>
                <c:pt idx="70">
                  <c:v>245.74</c:v>
                </c:pt>
                <c:pt idx="71">
                  <c:v>339.94</c:v>
                </c:pt>
                <c:pt idx="72">
                  <c:v>400.82</c:v>
                </c:pt>
                <c:pt idx="73">
                  <c:v>326.54000000000002</c:v>
                </c:pt>
              </c:numCache>
            </c:numRef>
          </c:yVal>
          <c:smooth val="0"/>
          <c:extLst>
            <c:ext xmlns:c16="http://schemas.microsoft.com/office/drawing/2014/chart" uri="{C3380CC4-5D6E-409C-BE32-E72D297353CC}">
              <c16:uniqueId val="{00000001-2EB1-430D-9930-2B332A60B62C}"/>
            </c:ext>
          </c:extLst>
        </c:ser>
        <c:dLbls>
          <c:showLegendKey val="0"/>
          <c:showVal val="0"/>
          <c:showCatName val="0"/>
          <c:showSerName val="0"/>
          <c:showPercent val="0"/>
          <c:showBubbleSize val="0"/>
        </c:dLbls>
        <c:axId val="1745020431"/>
        <c:axId val="1745009615"/>
      </c:scatterChart>
      <c:valAx>
        <c:axId val="1745020431"/>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Sales/ sq ft</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45009615"/>
        <c:crosses val="autoZero"/>
        <c:crossBetween val="midCat"/>
      </c:valAx>
      <c:valAx>
        <c:axId val="1745009615"/>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Median income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_);\(#,##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45020431"/>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Median Age Vs. Sales/Sq Ft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28575"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18282545931758526"/>
                  <c:y val="-0.17633603091280256"/>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Scatterplots!$D$3:$D$76</c:f>
              <c:numCache>
                <c:formatCode>0.0</c:formatCode>
                <c:ptCount val="74"/>
                <c:pt idx="0">
                  <c:v>34.4</c:v>
                </c:pt>
                <c:pt idx="1">
                  <c:v>41.2</c:v>
                </c:pt>
                <c:pt idx="2">
                  <c:v>40.299999999999997</c:v>
                </c:pt>
                <c:pt idx="3">
                  <c:v>35.4</c:v>
                </c:pt>
                <c:pt idx="4">
                  <c:v>31.5</c:v>
                </c:pt>
                <c:pt idx="5">
                  <c:v>36.299999999999997</c:v>
                </c:pt>
                <c:pt idx="6">
                  <c:v>35.1</c:v>
                </c:pt>
                <c:pt idx="7">
                  <c:v>37.6</c:v>
                </c:pt>
                <c:pt idx="8">
                  <c:v>34.9</c:v>
                </c:pt>
                <c:pt idx="9">
                  <c:v>34.799999999999997</c:v>
                </c:pt>
                <c:pt idx="10">
                  <c:v>36.200000000000003</c:v>
                </c:pt>
                <c:pt idx="11">
                  <c:v>32.200000000000003</c:v>
                </c:pt>
                <c:pt idx="12">
                  <c:v>30.9</c:v>
                </c:pt>
                <c:pt idx="13">
                  <c:v>37.700000000000003</c:v>
                </c:pt>
                <c:pt idx="14">
                  <c:v>34.299999999999997</c:v>
                </c:pt>
                <c:pt idx="15">
                  <c:v>32.4</c:v>
                </c:pt>
                <c:pt idx="16">
                  <c:v>32.1</c:v>
                </c:pt>
                <c:pt idx="17">
                  <c:v>31.4</c:v>
                </c:pt>
                <c:pt idx="18">
                  <c:v>30.4</c:v>
                </c:pt>
                <c:pt idx="19">
                  <c:v>33.9</c:v>
                </c:pt>
                <c:pt idx="20">
                  <c:v>35.6</c:v>
                </c:pt>
                <c:pt idx="21">
                  <c:v>35.9</c:v>
                </c:pt>
                <c:pt idx="22">
                  <c:v>33.6</c:v>
                </c:pt>
                <c:pt idx="23">
                  <c:v>37.9</c:v>
                </c:pt>
                <c:pt idx="24">
                  <c:v>40.6</c:v>
                </c:pt>
                <c:pt idx="25">
                  <c:v>37.700000000000003</c:v>
                </c:pt>
                <c:pt idx="26">
                  <c:v>36.4</c:v>
                </c:pt>
                <c:pt idx="27">
                  <c:v>40.9</c:v>
                </c:pt>
                <c:pt idx="28">
                  <c:v>35</c:v>
                </c:pt>
                <c:pt idx="29">
                  <c:v>26.4</c:v>
                </c:pt>
                <c:pt idx="30">
                  <c:v>37.1</c:v>
                </c:pt>
                <c:pt idx="31">
                  <c:v>30.3</c:v>
                </c:pt>
                <c:pt idx="32">
                  <c:v>31.3</c:v>
                </c:pt>
                <c:pt idx="33">
                  <c:v>29.6</c:v>
                </c:pt>
                <c:pt idx="34">
                  <c:v>32.9</c:v>
                </c:pt>
                <c:pt idx="35">
                  <c:v>40.700000000000003</c:v>
                </c:pt>
                <c:pt idx="36">
                  <c:v>29.3</c:v>
                </c:pt>
                <c:pt idx="37">
                  <c:v>37.299999999999997</c:v>
                </c:pt>
                <c:pt idx="38">
                  <c:v>39.799999999999997</c:v>
                </c:pt>
                <c:pt idx="39">
                  <c:v>33.9</c:v>
                </c:pt>
                <c:pt idx="40">
                  <c:v>35</c:v>
                </c:pt>
                <c:pt idx="41">
                  <c:v>35</c:v>
                </c:pt>
                <c:pt idx="42">
                  <c:v>35.9</c:v>
                </c:pt>
                <c:pt idx="43">
                  <c:v>33</c:v>
                </c:pt>
                <c:pt idx="44">
                  <c:v>30.9</c:v>
                </c:pt>
                <c:pt idx="45">
                  <c:v>38.5</c:v>
                </c:pt>
                <c:pt idx="46">
                  <c:v>40.5</c:v>
                </c:pt>
                <c:pt idx="47">
                  <c:v>32.1</c:v>
                </c:pt>
                <c:pt idx="48">
                  <c:v>34.799999999999997</c:v>
                </c:pt>
                <c:pt idx="49">
                  <c:v>38</c:v>
                </c:pt>
                <c:pt idx="50">
                  <c:v>37</c:v>
                </c:pt>
                <c:pt idx="51">
                  <c:v>34.700000000000003</c:v>
                </c:pt>
                <c:pt idx="52">
                  <c:v>36.4</c:v>
                </c:pt>
                <c:pt idx="53">
                  <c:v>36.799999999999997</c:v>
                </c:pt>
                <c:pt idx="54">
                  <c:v>32.200000000000003</c:v>
                </c:pt>
                <c:pt idx="55">
                  <c:v>34.799999999999997</c:v>
                </c:pt>
                <c:pt idx="56">
                  <c:v>36.700000000000003</c:v>
                </c:pt>
                <c:pt idx="57">
                  <c:v>33.799999999999997</c:v>
                </c:pt>
                <c:pt idx="58">
                  <c:v>34.200000000000003</c:v>
                </c:pt>
                <c:pt idx="59">
                  <c:v>39</c:v>
                </c:pt>
                <c:pt idx="60">
                  <c:v>34.9</c:v>
                </c:pt>
                <c:pt idx="61">
                  <c:v>39.299999999999997</c:v>
                </c:pt>
                <c:pt idx="62">
                  <c:v>35.6</c:v>
                </c:pt>
                <c:pt idx="63">
                  <c:v>36</c:v>
                </c:pt>
                <c:pt idx="64">
                  <c:v>41.1</c:v>
                </c:pt>
                <c:pt idx="65">
                  <c:v>24.7</c:v>
                </c:pt>
                <c:pt idx="66">
                  <c:v>40.5</c:v>
                </c:pt>
                <c:pt idx="67">
                  <c:v>32.9</c:v>
                </c:pt>
                <c:pt idx="68">
                  <c:v>30.3</c:v>
                </c:pt>
                <c:pt idx="69">
                  <c:v>36.200000000000003</c:v>
                </c:pt>
                <c:pt idx="70">
                  <c:v>32.4</c:v>
                </c:pt>
                <c:pt idx="71">
                  <c:v>43.5</c:v>
                </c:pt>
                <c:pt idx="72">
                  <c:v>41.6</c:v>
                </c:pt>
                <c:pt idx="73">
                  <c:v>31.4</c:v>
                </c:pt>
              </c:numCache>
            </c:numRef>
          </c:xVal>
          <c:yVal>
            <c:numRef>
              <c:f>Scatterplots!$E$3:$E$76</c:f>
              <c:numCache>
                <c:formatCode>#,##0.00_);\(#,##0.00\)</c:formatCode>
                <c:ptCount val="74"/>
                <c:pt idx="0">
                  <c:v>701.97</c:v>
                </c:pt>
                <c:pt idx="1">
                  <c:v>209.93</c:v>
                </c:pt>
                <c:pt idx="2">
                  <c:v>364.92</c:v>
                </c:pt>
                <c:pt idx="3">
                  <c:v>443.04</c:v>
                </c:pt>
                <c:pt idx="4">
                  <c:v>399.2</c:v>
                </c:pt>
                <c:pt idx="5">
                  <c:v>264.64</c:v>
                </c:pt>
                <c:pt idx="6">
                  <c:v>571.59</c:v>
                </c:pt>
                <c:pt idx="7">
                  <c:v>642.25</c:v>
                </c:pt>
                <c:pt idx="8">
                  <c:v>461.45</c:v>
                </c:pt>
                <c:pt idx="9">
                  <c:v>638.82000000000005</c:v>
                </c:pt>
                <c:pt idx="10">
                  <c:v>484.38</c:v>
                </c:pt>
                <c:pt idx="11">
                  <c:v>581.09</c:v>
                </c:pt>
                <c:pt idx="12">
                  <c:v>267.70999999999998</c:v>
                </c:pt>
                <c:pt idx="13">
                  <c:v>572.84</c:v>
                </c:pt>
                <c:pt idx="14">
                  <c:v>586.48</c:v>
                </c:pt>
                <c:pt idx="15">
                  <c:v>368.73</c:v>
                </c:pt>
                <c:pt idx="16">
                  <c:v>351.47</c:v>
                </c:pt>
                <c:pt idx="17">
                  <c:v>458.24</c:v>
                </c:pt>
                <c:pt idx="18">
                  <c:v>987.12</c:v>
                </c:pt>
                <c:pt idx="19">
                  <c:v>357.45</c:v>
                </c:pt>
                <c:pt idx="20">
                  <c:v>405.77</c:v>
                </c:pt>
                <c:pt idx="21">
                  <c:v>680.8</c:v>
                </c:pt>
                <c:pt idx="22">
                  <c:v>368.02</c:v>
                </c:pt>
                <c:pt idx="23">
                  <c:v>303.95</c:v>
                </c:pt>
                <c:pt idx="24">
                  <c:v>393.9</c:v>
                </c:pt>
                <c:pt idx="25">
                  <c:v>562.12</c:v>
                </c:pt>
                <c:pt idx="26">
                  <c:v>494.88</c:v>
                </c:pt>
                <c:pt idx="27">
                  <c:v>310.07</c:v>
                </c:pt>
                <c:pt idx="28">
                  <c:v>373.46</c:v>
                </c:pt>
                <c:pt idx="29">
                  <c:v>235.81</c:v>
                </c:pt>
                <c:pt idx="30">
                  <c:v>413.08</c:v>
                </c:pt>
                <c:pt idx="31">
                  <c:v>625.22</c:v>
                </c:pt>
                <c:pt idx="32">
                  <c:v>274.3</c:v>
                </c:pt>
                <c:pt idx="33">
                  <c:v>542.62</c:v>
                </c:pt>
                <c:pt idx="34">
                  <c:v>178.56</c:v>
                </c:pt>
                <c:pt idx="35">
                  <c:v>375.33</c:v>
                </c:pt>
                <c:pt idx="36">
                  <c:v>329.09</c:v>
                </c:pt>
                <c:pt idx="37">
                  <c:v>297.37</c:v>
                </c:pt>
                <c:pt idx="38">
                  <c:v>323.17</c:v>
                </c:pt>
                <c:pt idx="39">
                  <c:v>468.84</c:v>
                </c:pt>
                <c:pt idx="40">
                  <c:v>352.57</c:v>
                </c:pt>
                <c:pt idx="41">
                  <c:v>380.34</c:v>
                </c:pt>
                <c:pt idx="42">
                  <c:v>398.12</c:v>
                </c:pt>
                <c:pt idx="43">
                  <c:v>312.14999999999998</c:v>
                </c:pt>
                <c:pt idx="44">
                  <c:v>452.16</c:v>
                </c:pt>
                <c:pt idx="45">
                  <c:v>698.64</c:v>
                </c:pt>
                <c:pt idx="46">
                  <c:v>367.19</c:v>
                </c:pt>
                <c:pt idx="47">
                  <c:v>431.93</c:v>
                </c:pt>
                <c:pt idx="48">
                  <c:v>367.06</c:v>
                </c:pt>
                <c:pt idx="49">
                  <c:v>400.53</c:v>
                </c:pt>
                <c:pt idx="50">
                  <c:v>414.36</c:v>
                </c:pt>
                <c:pt idx="51">
                  <c:v>481.11</c:v>
                </c:pt>
                <c:pt idx="52">
                  <c:v>538.05999999999995</c:v>
                </c:pt>
                <c:pt idx="53">
                  <c:v>330.48</c:v>
                </c:pt>
                <c:pt idx="54">
                  <c:v>249.93</c:v>
                </c:pt>
                <c:pt idx="55">
                  <c:v>291.87</c:v>
                </c:pt>
                <c:pt idx="56">
                  <c:v>517.4</c:v>
                </c:pt>
                <c:pt idx="57">
                  <c:v>551.58000000000004</c:v>
                </c:pt>
                <c:pt idx="58">
                  <c:v>386.81</c:v>
                </c:pt>
                <c:pt idx="59">
                  <c:v>427.5</c:v>
                </c:pt>
                <c:pt idx="60">
                  <c:v>453.94</c:v>
                </c:pt>
                <c:pt idx="61">
                  <c:v>512.46</c:v>
                </c:pt>
                <c:pt idx="62">
                  <c:v>345.27</c:v>
                </c:pt>
                <c:pt idx="63">
                  <c:v>234.04</c:v>
                </c:pt>
                <c:pt idx="64">
                  <c:v>348.33</c:v>
                </c:pt>
                <c:pt idx="65">
                  <c:v>348.47</c:v>
                </c:pt>
                <c:pt idx="66">
                  <c:v>294.95</c:v>
                </c:pt>
                <c:pt idx="67">
                  <c:v>361.14</c:v>
                </c:pt>
                <c:pt idx="68">
                  <c:v>467.71</c:v>
                </c:pt>
                <c:pt idx="69">
                  <c:v>403.78</c:v>
                </c:pt>
                <c:pt idx="70">
                  <c:v>245.74</c:v>
                </c:pt>
                <c:pt idx="71">
                  <c:v>339.94</c:v>
                </c:pt>
                <c:pt idx="72">
                  <c:v>400.82</c:v>
                </c:pt>
                <c:pt idx="73">
                  <c:v>326.54000000000002</c:v>
                </c:pt>
              </c:numCache>
            </c:numRef>
          </c:yVal>
          <c:smooth val="0"/>
          <c:extLst>
            <c:ext xmlns:c16="http://schemas.microsoft.com/office/drawing/2014/chart" uri="{C3380CC4-5D6E-409C-BE32-E72D297353CC}">
              <c16:uniqueId val="{00000001-E847-4F21-A12B-2716EC2B76C9}"/>
            </c:ext>
          </c:extLst>
        </c:ser>
        <c:dLbls>
          <c:showLegendKey val="0"/>
          <c:showVal val="0"/>
          <c:showCatName val="0"/>
          <c:showSerName val="0"/>
          <c:showPercent val="0"/>
          <c:showBubbleSize val="0"/>
        </c:dLbls>
        <c:axId val="1203898079"/>
        <c:axId val="1203899327"/>
      </c:scatterChart>
      <c:valAx>
        <c:axId val="1203898079"/>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Median income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03899327"/>
        <c:crosses val="autoZero"/>
        <c:crossBetween val="midCat"/>
      </c:valAx>
      <c:valAx>
        <c:axId val="120389932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Sales/ sq ft</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_);\(#,##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03898079"/>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Bachelor's Degree % Vs. Sales/Sq Ft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28575"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23436548556430445"/>
                  <c:y val="-0.21239610673665793"/>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Scatterplots!$G$3:$G$76</c:f>
              <c:numCache>
                <c:formatCode>0</c:formatCode>
                <c:ptCount val="74"/>
                <c:pt idx="0">
                  <c:v>31</c:v>
                </c:pt>
                <c:pt idx="1">
                  <c:v>20</c:v>
                </c:pt>
                <c:pt idx="2">
                  <c:v>24</c:v>
                </c:pt>
                <c:pt idx="3">
                  <c:v>29</c:v>
                </c:pt>
                <c:pt idx="4">
                  <c:v>18</c:v>
                </c:pt>
                <c:pt idx="5">
                  <c:v>30</c:v>
                </c:pt>
                <c:pt idx="6">
                  <c:v>14</c:v>
                </c:pt>
                <c:pt idx="7">
                  <c:v>33</c:v>
                </c:pt>
                <c:pt idx="8">
                  <c:v>28</c:v>
                </c:pt>
                <c:pt idx="9">
                  <c:v>29</c:v>
                </c:pt>
                <c:pt idx="10">
                  <c:v>39</c:v>
                </c:pt>
                <c:pt idx="11">
                  <c:v>23</c:v>
                </c:pt>
                <c:pt idx="12">
                  <c:v>22</c:v>
                </c:pt>
                <c:pt idx="13">
                  <c:v>37</c:v>
                </c:pt>
                <c:pt idx="14">
                  <c:v>24</c:v>
                </c:pt>
                <c:pt idx="15">
                  <c:v>17</c:v>
                </c:pt>
                <c:pt idx="16">
                  <c:v>37</c:v>
                </c:pt>
                <c:pt idx="17">
                  <c:v>22</c:v>
                </c:pt>
                <c:pt idx="18">
                  <c:v>36</c:v>
                </c:pt>
                <c:pt idx="19">
                  <c:v>34</c:v>
                </c:pt>
                <c:pt idx="20">
                  <c:v>26</c:v>
                </c:pt>
                <c:pt idx="21">
                  <c:v>20</c:v>
                </c:pt>
                <c:pt idx="22">
                  <c:v>20</c:v>
                </c:pt>
                <c:pt idx="23">
                  <c:v>26</c:v>
                </c:pt>
                <c:pt idx="24">
                  <c:v>21</c:v>
                </c:pt>
                <c:pt idx="25">
                  <c:v>37</c:v>
                </c:pt>
                <c:pt idx="26">
                  <c:v>34</c:v>
                </c:pt>
                <c:pt idx="27">
                  <c:v>34</c:v>
                </c:pt>
                <c:pt idx="28">
                  <c:v>30</c:v>
                </c:pt>
                <c:pt idx="29">
                  <c:v>16</c:v>
                </c:pt>
                <c:pt idx="30">
                  <c:v>28</c:v>
                </c:pt>
                <c:pt idx="31">
                  <c:v>36</c:v>
                </c:pt>
                <c:pt idx="32">
                  <c:v>18</c:v>
                </c:pt>
                <c:pt idx="33">
                  <c:v>36</c:v>
                </c:pt>
                <c:pt idx="34">
                  <c:v>18</c:v>
                </c:pt>
                <c:pt idx="35">
                  <c:v>24</c:v>
                </c:pt>
                <c:pt idx="36">
                  <c:v>22</c:v>
                </c:pt>
                <c:pt idx="37">
                  <c:v>29</c:v>
                </c:pt>
                <c:pt idx="38">
                  <c:v>25</c:v>
                </c:pt>
                <c:pt idx="39">
                  <c:v>28</c:v>
                </c:pt>
                <c:pt idx="40">
                  <c:v>40</c:v>
                </c:pt>
                <c:pt idx="41">
                  <c:v>39</c:v>
                </c:pt>
                <c:pt idx="42">
                  <c:v>30</c:v>
                </c:pt>
                <c:pt idx="43">
                  <c:v>17</c:v>
                </c:pt>
                <c:pt idx="44">
                  <c:v>22</c:v>
                </c:pt>
                <c:pt idx="45">
                  <c:v>29</c:v>
                </c:pt>
                <c:pt idx="46">
                  <c:v>19</c:v>
                </c:pt>
                <c:pt idx="47">
                  <c:v>29</c:v>
                </c:pt>
                <c:pt idx="48">
                  <c:v>18</c:v>
                </c:pt>
                <c:pt idx="49">
                  <c:v>19</c:v>
                </c:pt>
                <c:pt idx="50">
                  <c:v>34</c:v>
                </c:pt>
                <c:pt idx="51">
                  <c:v>25</c:v>
                </c:pt>
                <c:pt idx="52">
                  <c:v>30</c:v>
                </c:pt>
                <c:pt idx="53">
                  <c:v>21</c:v>
                </c:pt>
                <c:pt idx="54">
                  <c:v>30</c:v>
                </c:pt>
                <c:pt idx="55">
                  <c:v>30</c:v>
                </c:pt>
                <c:pt idx="56">
                  <c:v>28</c:v>
                </c:pt>
                <c:pt idx="57">
                  <c:v>31</c:v>
                </c:pt>
                <c:pt idx="58">
                  <c:v>16</c:v>
                </c:pt>
                <c:pt idx="59">
                  <c:v>31</c:v>
                </c:pt>
                <c:pt idx="60">
                  <c:v>40</c:v>
                </c:pt>
                <c:pt idx="61">
                  <c:v>33</c:v>
                </c:pt>
                <c:pt idx="62">
                  <c:v>28</c:v>
                </c:pt>
                <c:pt idx="63">
                  <c:v>23</c:v>
                </c:pt>
                <c:pt idx="64">
                  <c:v>16</c:v>
                </c:pt>
                <c:pt idx="65">
                  <c:v>25</c:v>
                </c:pt>
                <c:pt idx="66">
                  <c:v>25</c:v>
                </c:pt>
                <c:pt idx="67">
                  <c:v>18</c:v>
                </c:pt>
                <c:pt idx="68">
                  <c:v>15</c:v>
                </c:pt>
                <c:pt idx="69">
                  <c:v>19</c:v>
                </c:pt>
                <c:pt idx="70">
                  <c:v>27</c:v>
                </c:pt>
                <c:pt idx="71">
                  <c:v>21</c:v>
                </c:pt>
                <c:pt idx="72">
                  <c:v>29</c:v>
                </c:pt>
                <c:pt idx="73">
                  <c:v>15</c:v>
                </c:pt>
              </c:numCache>
            </c:numRef>
          </c:xVal>
          <c:yVal>
            <c:numRef>
              <c:f>Scatterplots!$H$3:$H$76</c:f>
              <c:numCache>
                <c:formatCode>#,##0.00_);\(#,##0.00\)</c:formatCode>
                <c:ptCount val="74"/>
                <c:pt idx="0">
                  <c:v>701.97</c:v>
                </c:pt>
                <c:pt idx="1">
                  <c:v>209.93</c:v>
                </c:pt>
                <c:pt idx="2">
                  <c:v>364.92</c:v>
                </c:pt>
                <c:pt idx="3">
                  <c:v>443.04</c:v>
                </c:pt>
                <c:pt idx="4">
                  <c:v>399.2</c:v>
                </c:pt>
                <c:pt idx="5">
                  <c:v>264.64</c:v>
                </c:pt>
                <c:pt idx="6">
                  <c:v>571.59</c:v>
                </c:pt>
                <c:pt idx="7">
                  <c:v>642.25</c:v>
                </c:pt>
                <c:pt idx="8">
                  <c:v>461.45</c:v>
                </c:pt>
                <c:pt idx="9">
                  <c:v>638.82000000000005</c:v>
                </c:pt>
                <c:pt idx="10">
                  <c:v>484.38</c:v>
                </c:pt>
                <c:pt idx="11">
                  <c:v>581.09</c:v>
                </c:pt>
                <c:pt idx="12">
                  <c:v>267.70999999999998</c:v>
                </c:pt>
                <c:pt idx="13">
                  <c:v>572.84</c:v>
                </c:pt>
                <c:pt idx="14">
                  <c:v>586.48</c:v>
                </c:pt>
                <c:pt idx="15">
                  <c:v>368.73</c:v>
                </c:pt>
                <c:pt idx="16">
                  <c:v>351.47</c:v>
                </c:pt>
                <c:pt idx="17">
                  <c:v>458.24</c:v>
                </c:pt>
                <c:pt idx="18">
                  <c:v>987.12</c:v>
                </c:pt>
                <c:pt idx="19">
                  <c:v>357.45</c:v>
                </c:pt>
                <c:pt idx="20">
                  <c:v>405.77</c:v>
                </c:pt>
                <c:pt idx="21">
                  <c:v>680.8</c:v>
                </c:pt>
                <c:pt idx="22">
                  <c:v>368.02</c:v>
                </c:pt>
                <c:pt idx="23">
                  <c:v>303.95</c:v>
                </c:pt>
                <c:pt idx="24">
                  <c:v>393.9</c:v>
                </c:pt>
                <c:pt idx="25">
                  <c:v>562.12</c:v>
                </c:pt>
                <c:pt idx="26">
                  <c:v>494.88</c:v>
                </c:pt>
                <c:pt idx="27">
                  <c:v>310.07</c:v>
                </c:pt>
                <c:pt idx="28">
                  <c:v>373.46</c:v>
                </c:pt>
                <c:pt idx="29">
                  <c:v>235.81</c:v>
                </c:pt>
                <c:pt idx="30">
                  <c:v>413.08</c:v>
                </c:pt>
                <c:pt idx="31">
                  <c:v>625.22</c:v>
                </c:pt>
                <c:pt idx="32">
                  <c:v>274.3</c:v>
                </c:pt>
                <c:pt idx="33">
                  <c:v>542.62</c:v>
                </c:pt>
                <c:pt idx="34">
                  <c:v>178.56</c:v>
                </c:pt>
                <c:pt idx="35">
                  <c:v>375.33</c:v>
                </c:pt>
                <c:pt idx="36">
                  <c:v>329.09</c:v>
                </c:pt>
                <c:pt idx="37">
                  <c:v>297.37</c:v>
                </c:pt>
                <c:pt idx="38">
                  <c:v>323.17</c:v>
                </c:pt>
                <c:pt idx="39">
                  <c:v>468.84</c:v>
                </c:pt>
                <c:pt idx="40">
                  <c:v>352.57</c:v>
                </c:pt>
                <c:pt idx="41">
                  <c:v>380.34</c:v>
                </c:pt>
                <c:pt idx="42">
                  <c:v>398.12</c:v>
                </c:pt>
                <c:pt idx="43">
                  <c:v>312.14999999999998</c:v>
                </c:pt>
                <c:pt idx="44">
                  <c:v>452.16</c:v>
                </c:pt>
                <c:pt idx="45">
                  <c:v>698.64</c:v>
                </c:pt>
                <c:pt idx="46">
                  <c:v>367.19</c:v>
                </c:pt>
                <c:pt idx="47">
                  <c:v>431.93</c:v>
                </c:pt>
                <c:pt idx="48">
                  <c:v>367.06</c:v>
                </c:pt>
                <c:pt idx="49">
                  <c:v>400.53</c:v>
                </c:pt>
                <c:pt idx="50">
                  <c:v>414.36</c:v>
                </c:pt>
                <c:pt idx="51">
                  <c:v>481.11</c:v>
                </c:pt>
                <c:pt idx="52">
                  <c:v>538.05999999999995</c:v>
                </c:pt>
                <c:pt idx="53">
                  <c:v>330.48</c:v>
                </c:pt>
                <c:pt idx="54">
                  <c:v>249.93</c:v>
                </c:pt>
                <c:pt idx="55">
                  <c:v>291.87</c:v>
                </c:pt>
                <c:pt idx="56">
                  <c:v>517.4</c:v>
                </c:pt>
                <c:pt idx="57">
                  <c:v>551.58000000000004</c:v>
                </c:pt>
                <c:pt idx="58">
                  <c:v>386.81</c:v>
                </c:pt>
                <c:pt idx="59">
                  <c:v>427.5</c:v>
                </c:pt>
                <c:pt idx="60">
                  <c:v>453.94</c:v>
                </c:pt>
                <c:pt idx="61">
                  <c:v>512.46</c:v>
                </c:pt>
                <c:pt idx="62">
                  <c:v>345.27</c:v>
                </c:pt>
                <c:pt idx="63">
                  <c:v>234.04</c:v>
                </c:pt>
                <c:pt idx="64">
                  <c:v>348.33</c:v>
                </c:pt>
                <c:pt idx="65">
                  <c:v>348.47</c:v>
                </c:pt>
                <c:pt idx="66">
                  <c:v>294.95</c:v>
                </c:pt>
                <c:pt idx="67">
                  <c:v>361.14</c:v>
                </c:pt>
                <c:pt idx="68">
                  <c:v>467.71</c:v>
                </c:pt>
                <c:pt idx="69">
                  <c:v>403.78</c:v>
                </c:pt>
                <c:pt idx="70">
                  <c:v>245.74</c:v>
                </c:pt>
                <c:pt idx="71">
                  <c:v>339.94</c:v>
                </c:pt>
                <c:pt idx="72">
                  <c:v>400.82</c:v>
                </c:pt>
                <c:pt idx="73">
                  <c:v>326.54000000000002</c:v>
                </c:pt>
              </c:numCache>
            </c:numRef>
          </c:yVal>
          <c:smooth val="0"/>
          <c:extLst>
            <c:ext xmlns:c16="http://schemas.microsoft.com/office/drawing/2014/chart" uri="{C3380CC4-5D6E-409C-BE32-E72D297353CC}">
              <c16:uniqueId val="{00000001-9E9C-4917-8AB0-4FF841515FD5}"/>
            </c:ext>
          </c:extLst>
        </c:ser>
        <c:dLbls>
          <c:showLegendKey val="0"/>
          <c:showVal val="0"/>
          <c:showCatName val="0"/>
          <c:showSerName val="0"/>
          <c:showPercent val="0"/>
          <c:showBubbleSize val="0"/>
        </c:dLbls>
        <c:axId val="1737186639"/>
        <c:axId val="1737179567"/>
      </c:scatterChart>
      <c:valAx>
        <c:axId val="1737186639"/>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 with Bachelor's Degree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37179567"/>
        <c:crosses val="autoZero"/>
        <c:crossBetween val="midCat"/>
      </c:valAx>
      <c:valAx>
        <c:axId val="173717956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Sales/ sq ft</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_);\(#,##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37186639"/>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Loyalty Card % Vs. Sales Growth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28575"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17686395450568679"/>
                  <c:y val="-0.28967556138815981"/>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Scatterplots!$J$3:$J$76</c:f>
              <c:numCache>
                <c:formatCode>_(* #,##0.00_);_(* \(#,##0.00\);_(* "-"??_);_(@_)</c:formatCode>
                <c:ptCount val="74"/>
                <c:pt idx="0">
                  <c:v>2.0699999999999998</c:v>
                </c:pt>
                <c:pt idx="1">
                  <c:v>2.54</c:v>
                </c:pt>
                <c:pt idx="2">
                  <c:v>1.66</c:v>
                </c:pt>
                <c:pt idx="3">
                  <c:v>2.06</c:v>
                </c:pt>
                <c:pt idx="4">
                  <c:v>2.48</c:v>
                </c:pt>
                <c:pt idx="5">
                  <c:v>2.96</c:v>
                </c:pt>
                <c:pt idx="6">
                  <c:v>2.2799999999999998</c:v>
                </c:pt>
                <c:pt idx="7">
                  <c:v>2.34</c:v>
                </c:pt>
                <c:pt idx="8">
                  <c:v>2.2000000000000002</c:v>
                </c:pt>
                <c:pt idx="9">
                  <c:v>2.34</c:v>
                </c:pt>
                <c:pt idx="10">
                  <c:v>2.09</c:v>
                </c:pt>
                <c:pt idx="11">
                  <c:v>2.4700000000000002</c:v>
                </c:pt>
                <c:pt idx="12">
                  <c:v>2.04</c:v>
                </c:pt>
                <c:pt idx="13">
                  <c:v>2.02</c:v>
                </c:pt>
                <c:pt idx="14">
                  <c:v>2.0099999999999998</c:v>
                </c:pt>
                <c:pt idx="15">
                  <c:v>2.64</c:v>
                </c:pt>
                <c:pt idx="16">
                  <c:v>2.2200000000000002</c:v>
                </c:pt>
                <c:pt idx="17">
                  <c:v>2.0699999999999998</c:v>
                </c:pt>
                <c:pt idx="18">
                  <c:v>1.94</c:v>
                </c:pt>
                <c:pt idx="19">
                  <c:v>2.17</c:v>
                </c:pt>
                <c:pt idx="20">
                  <c:v>0.72</c:v>
                </c:pt>
                <c:pt idx="21">
                  <c:v>2</c:v>
                </c:pt>
                <c:pt idx="22">
                  <c:v>1.81</c:v>
                </c:pt>
                <c:pt idx="23">
                  <c:v>2.13</c:v>
                </c:pt>
                <c:pt idx="24">
                  <c:v>2.5</c:v>
                </c:pt>
                <c:pt idx="25">
                  <c:v>2.63</c:v>
                </c:pt>
                <c:pt idx="26">
                  <c:v>1.95</c:v>
                </c:pt>
                <c:pt idx="27">
                  <c:v>2.04</c:v>
                </c:pt>
                <c:pt idx="28">
                  <c:v>1.41</c:v>
                </c:pt>
                <c:pt idx="29">
                  <c:v>2.0499999999999998</c:v>
                </c:pt>
                <c:pt idx="30">
                  <c:v>2.13</c:v>
                </c:pt>
                <c:pt idx="31">
                  <c:v>2.08</c:v>
                </c:pt>
                <c:pt idx="32">
                  <c:v>2.73</c:v>
                </c:pt>
                <c:pt idx="33">
                  <c:v>1.95</c:v>
                </c:pt>
                <c:pt idx="34">
                  <c:v>2.04</c:v>
                </c:pt>
                <c:pt idx="35">
                  <c:v>1.62</c:v>
                </c:pt>
                <c:pt idx="36">
                  <c:v>1.95</c:v>
                </c:pt>
                <c:pt idx="37">
                  <c:v>1.64</c:v>
                </c:pt>
                <c:pt idx="38">
                  <c:v>1.78</c:v>
                </c:pt>
                <c:pt idx="39">
                  <c:v>2.23</c:v>
                </c:pt>
                <c:pt idx="40">
                  <c:v>2.15</c:v>
                </c:pt>
                <c:pt idx="41">
                  <c:v>2.83</c:v>
                </c:pt>
                <c:pt idx="42">
                  <c:v>2.37</c:v>
                </c:pt>
                <c:pt idx="43">
                  <c:v>3.07</c:v>
                </c:pt>
                <c:pt idx="44">
                  <c:v>2.19</c:v>
                </c:pt>
                <c:pt idx="45">
                  <c:v>1.28</c:v>
                </c:pt>
                <c:pt idx="46">
                  <c:v>1.76</c:v>
                </c:pt>
                <c:pt idx="47">
                  <c:v>2.5099999999999998</c:v>
                </c:pt>
                <c:pt idx="48">
                  <c:v>1.9</c:v>
                </c:pt>
                <c:pt idx="49">
                  <c:v>1.98</c:v>
                </c:pt>
                <c:pt idx="50">
                  <c:v>2.41</c:v>
                </c:pt>
                <c:pt idx="51">
                  <c:v>2.17</c:v>
                </c:pt>
                <c:pt idx="52">
                  <c:v>2.16</c:v>
                </c:pt>
                <c:pt idx="53">
                  <c:v>0.28999999999999998</c:v>
                </c:pt>
                <c:pt idx="54">
                  <c:v>1.85</c:v>
                </c:pt>
                <c:pt idx="55">
                  <c:v>1.88</c:v>
                </c:pt>
                <c:pt idx="56">
                  <c:v>2.19</c:v>
                </c:pt>
                <c:pt idx="57">
                  <c:v>2.56</c:v>
                </c:pt>
                <c:pt idx="58">
                  <c:v>2.16</c:v>
                </c:pt>
                <c:pt idx="59">
                  <c:v>2.1</c:v>
                </c:pt>
                <c:pt idx="60">
                  <c:v>1.98</c:v>
                </c:pt>
                <c:pt idx="61">
                  <c:v>0.87</c:v>
                </c:pt>
                <c:pt idx="62">
                  <c:v>1.07</c:v>
                </c:pt>
                <c:pt idx="63">
                  <c:v>3.38</c:v>
                </c:pt>
                <c:pt idx="64">
                  <c:v>1.17</c:v>
                </c:pt>
                <c:pt idx="65">
                  <c:v>2.14</c:v>
                </c:pt>
                <c:pt idx="66">
                  <c:v>0.93</c:v>
                </c:pt>
                <c:pt idx="67">
                  <c:v>2.2200000000000002</c:v>
                </c:pt>
                <c:pt idx="68">
                  <c:v>1.68</c:v>
                </c:pt>
                <c:pt idx="69">
                  <c:v>2.41</c:v>
                </c:pt>
                <c:pt idx="70">
                  <c:v>2.81</c:v>
                </c:pt>
                <c:pt idx="71">
                  <c:v>1.0900000000000001</c:v>
                </c:pt>
                <c:pt idx="72">
                  <c:v>0.64</c:v>
                </c:pt>
                <c:pt idx="73">
                  <c:v>1.77</c:v>
                </c:pt>
              </c:numCache>
            </c:numRef>
          </c:xVal>
          <c:yVal>
            <c:numRef>
              <c:f>Scatterplots!$K$3:$K$76</c:f>
              <c:numCache>
                <c:formatCode>0.00</c:formatCode>
                <c:ptCount val="74"/>
                <c:pt idx="0">
                  <c:v>-8.31</c:v>
                </c:pt>
                <c:pt idx="1">
                  <c:v>-4.01</c:v>
                </c:pt>
                <c:pt idx="2">
                  <c:v>-3.94</c:v>
                </c:pt>
                <c:pt idx="3">
                  <c:v>-3.39</c:v>
                </c:pt>
                <c:pt idx="4">
                  <c:v>-3.3</c:v>
                </c:pt>
                <c:pt idx="5">
                  <c:v>-1.94</c:v>
                </c:pt>
                <c:pt idx="6">
                  <c:v>-0.77</c:v>
                </c:pt>
                <c:pt idx="7">
                  <c:v>-0.37</c:v>
                </c:pt>
                <c:pt idx="8">
                  <c:v>-0.25</c:v>
                </c:pt>
                <c:pt idx="9">
                  <c:v>-0.17</c:v>
                </c:pt>
                <c:pt idx="10">
                  <c:v>0.47</c:v>
                </c:pt>
                <c:pt idx="11">
                  <c:v>0.55000000000000004</c:v>
                </c:pt>
                <c:pt idx="12">
                  <c:v>0.77</c:v>
                </c:pt>
                <c:pt idx="13">
                  <c:v>1.92</c:v>
                </c:pt>
                <c:pt idx="14">
                  <c:v>2.0499999999999998</c:v>
                </c:pt>
                <c:pt idx="15">
                  <c:v>2.12</c:v>
                </c:pt>
                <c:pt idx="16">
                  <c:v>2.84</c:v>
                </c:pt>
                <c:pt idx="17">
                  <c:v>2.88</c:v>
                </c:pt>
                <c:pt idx="18">
                  <c:v>3.96</c:v>
                </c:pt>
                <c:pt idx="19">
                  <c:v>4.04</c:v>
                </c:pt>
                <c:pt idx="20">
                  <c:v>4.05</c:v>
                </c:pt>
                <c:pt idx="21">
                  <c:v>4.05</c:v>
                </c:pt>
                <c:pt idx="22">
                  <c:v>4.24</c:v>
                </c:pt>
                <c:pt idx="23">
                  <c:v>4.58</c:v>
                </c:pt>
                <c:pt idx="24">
                  <c:v>5.09</c:v>
                </c:pt>
                <c:pt idx="25">
                  <c:v>5.14</c:v>
                </c:pt>
                <c:pt idx="26">
                  <c:v>5.48</c:v>
                </c:pt>
                <c:pt idx="27">
                  <c:v>5.86</c:v>
                </c:pt>
                <c:pt idx="28">
                  <c:v>5.91</c:v>
                </c:pt>
                <c:pt idx="29">
                  <c:v>5.98</c:v>
                </c:pt>
                <c:pt idx="30">
                  <c:v>6.08</c:v>
                </c:pt>
                <c:pt idx="31">
                  <c:v>6.08</c:v>
                </c:pt>
                <c:pt idx="32">
                  <c:v>6.13</c:v>
                </c:pt>
                <c:pt idx="33">
                  <c:v>6.27</c:v>
                </c:pt>
                <c:pt idx="34">
                  <c:v>6.57</c:v>
                </c:pt>
                <c:pt idx="35">
                  <c:v>6.9</c:v>
                </c:pt>
                <c:pt idx="36">
                  <c:v>6.94</c:v>
                </c:pt>
                <c:pt idx="37">
                  <c:v>7.12</c:v>
                </c:pt>
                <c:pt idx="38">
                  <c:v>7.39</c:v>
                </c:pt>
                <c:pt idx="39">
                  <c:v>7.67</c:v>
                </c:pt>
                <c:pt idx="40">
                  <c:v>7.91</c:v>
                </c:pt>
                <c:pt idx="41">
                  <c:v>8.08</c:v>
                </c:pt>
                <c:pt idx="42">
                  <c:v>8.27</c:v>
                </c:pt>
                <c:pt idx="43">
                  <c:v>8.5399999999999991</c:v>
                </c:pt>
                <c:pt idx="44">
                  <c:v>8.58</c:v>
                </c:pt>
                <c:pt idx="45">
                  <c:v>8.7200000000000006</c:v>
                </c:pt>
                <c:pt idx="46">
                  <c:v>8.75</c:v>
                </c:pt>
                <c:pt idx="47">
                  <c:v>8.7899999999999991</c:v>
                </c:pt>
                <c:pt idx="48">
                  <c:v>8.9</c:v>
                </c:pt>
                <c:pt idx="49">
                  <c:v>9.1199999999999992</c:v>
                </c:pt>
                <c:pt idx="50">
                  <c:v>9.4700000000000006</c:v>
                </c:pt>
                <c:pt idx="51">
                  <c:v>10.17</c:v>
                </c:pt>
                <c:pt idx="52">
                  <c:v>10.66</c:v>
                </c:pt>
                <c:pt idx="53">
                  <c:v>10.97</c:v>
                </c:pt>
                <c:pt idx="54">
                  <c:v>11.34</c:v>
                </c:pt>
                <c:pt idx="55">
                  <c:v>11.45</c:v>
                </c:pt>
                <c:pt idx="56">
                  <c:v>11.51</c:v>
                </c:pt>
                <c:pt idx="57">
                  <c:v>11.73</c:v>
                </c:pt>
                <c:pt idx="58">
                  <c:v>11.83</c:v>
                </c:pt>
                <c:pt idx="59">
                  <c:v>11.95</c:v>
                </c:pt>
                <c:pt idx="60">
                  <c:v>12.47</c:v>
                </c:pt>
                <c:pt idx="61">
                  <c:v>12.8</c:v>
                </c:pt>
                <c:pt idx="62">
                  <c:v>13.78</c:v>
                </c:pt>
                <c:pt idx="63">
                  <c:v>14.09</c:v>
                </c:pt>
                <c:pt idx="64">
                  <c:v>14.23</c:v>
                </c:pt>
                <c:pt idx="65">
                  <c:v>14.6</c:v>
                </c:pt>
                <c:pt idx="66">
                  <c:v>14.88</c:v>
                </c:pt>
                <c:pt idx="67">
                  <c:v>15.42</c:v>
                </c:pt>
                <c:pt idx="68">
                  <c:v>16.18</c:v>
                </c:pt>
                <c:pt idx="69">
                  <c:v>17.23</c:v>
                </c:pt>
                <c:pt idx="70">
                  <c:v>18.43</c:v>
                </c:pt>
                <c:pt idx="71">
                  <c:v>20.76</c:v>
                </c:pt>
                <c:pt idx="72">
                  <c:v>25.54</c:v>
                </c:pt>
                <c:pt idx="73">
                  <c:v>28.81</c:v>
                </c:pt>
              </c:numCache>
            </c:numRef>
          </c:yVal>
          <c:smooth val="0"/>
          <c:extLst>
            <c:ext xmlns:c16="http://schemas.microsoft.com/office/drawing/2014/chart" uri="{C3380CC4-5D6E-409C-BE32-E72D297353CC}">
              <c16:uniqueId val="{00000001-FCA8-43C7-B437-C7B1D0447B6A}"/>
            </c:ext>
          </c:extLst>
        </c:ser>
        <c:dLbls>
          <c:showLegendKey val="0"/>
          <c:showVal val="0"/>
          <c:showCatName val="0"/>
          <c:showSerName val="0"/>
          <c:showPercent val="0"/>
          <c:showBubbleSize val="0"/>
        </c:dLbls>
        <c:axId val="1737163759"/>
        <c:axId val="1737142959"/>
      </c:scatterChart>
      <c:valAx>
        <c:axId val="1737163759"/>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Loyalty card % of net sales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_(* #,##0.00_);_(* \(#,##0.00\);_(* &quot;-&quot;??_);_(@_)"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37142959"/>
        <c:crosses val="autoZero"/>
        <c:crossBetween val="midCat"/>
      </c:valAx>
      <c:valAx>
        <c:axId val="173714295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Sales growth (in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37163759"/>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numDim type="val">
        <cx:f>Data!$F$6:$F$79</cx:f>
        <cx:lvl ptCount="74" formatCode="#,##0.00_);\(#,##0.00\)">
          <cx:pt idx="0">701.97000000000003</cx:pt>
          <cx:pt idx="1">209.93000000000001</cx:pt>
          <cx:pt idx="2">364.92000000000002</cx:pt>
          <cx:pt idx="3">443.04000000000002</cx:pt>
          <cx:pt idx="4">399.19999999999999</cx:pt>
          <cx:pt idx="5">264.63999999999999</cx:pt>
          <cx:pt idx="6">571.59000000000003</cx:pt>
          <cx:pt idx="7">642.25</cx:pt>
          <cx:pt idx="8">461.44999999999999</cx:pt>
          <cx:pt idx="9">638.82000000000005</cx:pt>
          <cx:pt idx="10">484.38</cx:pt>
          <cx:pt idx="11">581.09000000000003</cx:pt>
          <cx:pt idx="12">267.70999999999998</cx:pt>
          <cx:pt idx="13">572.84000000000003</cx:pt>
          <cx:pt idx="14">586.48000000000002</cx:pt>
          <cx:pt idx="15">368.73000000000002</cx:pt>
          <cx:pt idx="16">351.47000000000003</cx:pt>
          <cx:pt idx="17">458.24000000000001</cx:pt>
          <cx:pt idx="18">987.12</cx:pt>
          <cx:pt idx="19">357.44999999999999</cx:pt>
          <cx:pt idx="20">405.76999999999998</cx:pt>
          <cx:pt idx="21">680.79999999999995</cx:pt>
          <cx:pt idx="22">368.01999999999998</cx:pt>
          <cx:pt idx="23">303.94999999999999</cx:pt>
          <cx:pt idx="24">393.89999999999998</cx:pt>
          <cx:pt idx="25">562.12</cx:pt>
          <cx:pt idx="26">494.88</cx:pt>
          <cx:pt idx="27">310.06999999999999</cx:pt>
          <cx:pt idx="28">373.45999999999998</cx:pt>
          <cx:pt idx="29">235.81</cx:pt>
          <cx:pt idx="30">413.07999999999998</cx:pt>
          <cx:pt idx="31">625.22000000000003</cx:pt>
          <cx:pt idx="32">274.30000000000001</cx:pt>
          <cx:pt idx="33">542.62</cx:pt>
          <cx:pt idx="34">178.56</cx:pt>
          <cx:pt idx="35">375.32999999999998</cx:pt>
          <cx:pt idx="36">329.08999999999997</cx:pt>
          <cx:pt idx="37">297.37</cx:pt>
          <cx:pt idx="38">323.17000000000002</cx:pt>
          <cx:pt idx="39">468.83999999999997</cx:pt>
          <cx:pt idx="40">352.56999999999999</cx:pt>
          <cx:pt idx="41">380.33999999999997</cx:pt>
          <cx:pt idx="42">398.12</cx:pt>
          <cx:pt idx="43">312.14999999999998</cx:pt>
          <cx:pt idx="44">452.16000000000003</cx:pt>
          <cx:pt idx="45">698.63999999999999</cx:pt>
          <cx:pt idx="46">367.19</cx:pt>
          <cx:pt idx="47">431.93000000000001</cx:pt>
          <cx:pt idx="48">367.06</cx:pt>
          <cx:pt idx="49">400.52999999999997</cx:pt>
          <cx:pt idx="50">414.36000000000001</cx:pt>
          <cx:pt idx="51">481.11000000000001</cx:pt>
          <cx:pt idx="52">538.05999999999995</cx:pt>
          <cx:pt idx="53">330.48000000000002</cx:pt>
          <cx:pt idx="54">249.93000000000001</cx:pt>
          <cx:pt idx="55">291.87</cx:pt>
          <cx:pt idx="56">517.39999999999998</cx:pt>
          <cx:pt idx="57">551.58000000000004</cx:pt>
          <cx:pt idx="58">386.81</cx:pt>
          <cx:pt idx="59">427.5</cx:pt>
          <cx:pt idx="60">453.94</cx:pt>
          <cx:pt idx="61">512.46000000000004</cx:pt>
          <cx:pt idx="62">345.26999999999998</cx:pt>
          <cx:pt idx="63">234.03999999999999</cx:pt>
          <cx:pt idx="64">348.32999999999998</cx:pt>
          <cx:pt idx="65">348.47000000000003</cx:pt>
          <cx:pt idx="66">294.94999999999999</cx:pt>
          <cx:pt idx="67">361.13999999999999</cx:pt>
          <cx:pt idx="68">467.70999999999998</cx:pt>
          <cx:pt idx="69">403.77999999999997</cx:pt>
          <cx:pt idx="70">245.74000000000001</cx:pt>
          <cx:pt idx="71">339.94</cx:pt>
          <cx:pt idx="72">400.81999999999999</cx:pt>
          <cx:pt idx="73">326.54000000000002</cx:pt>
        </cx:lvl>
      </cx:numDim>
    </cx:data>
  </cx:chartData>
  <cx:chart>
    <cx:title pos="t" align="ctr" overlay="0">
      <cx:tx>
        <cx:txData>
          <cx:v>Distribution of Annual Sales Per Sq Ft</cx:v>
        </cx:txData>
      </cx:tx>
      <cx:txPr>
        <a:bodyPr spcFirstLastPara="1" vertOverflow="ellipsis" horzOverflow="overflow" wrap="square" lIns="0" tIns="0" rIns="0" bIns="0" anchor="ctr" anchorCtr="1"/>
        <a:lstStyle/>
        <a:p>
          <a:pPr algn="ctr" rtl="0">
            <a:defRPr/>
          </a:pPr>
          <a:r>
            <a:rPr lang="en-US" sz="1400" b="0" i="0" u="none" strike="noStrike" baseline="0">
              <a:solidFill>
                <a:sysClr val="windowText" lastClr="000000">
                  <a:lumMod val="65000"/>
                  <a:lumOff val="35000"/>
                </a:sysClr>
              </a:solidFill>
              <a:latin typeface="Calibri" panose="020F0502020204030204"/>
            </a:rPr>
            <a:t>Distribution of Annual Sales Per Sq Ft</a:t>
          </a:r>
        </a:p>
      </cx:txPr>
    </cx:title>
    <cx:plotArea>
      <cx:plotAreaRegion>
        <cx:series layoutId="clusteredColumn" uniqueId="{515D59F0-0954-4F7B-9DDF-50F837EFE5B8}">
          <cx:tx>
            <cx:txData>
              <cx:f>Data!$F$5</cx:f>
              <cx:v>Sales/SqFt</cx:v>
            </cx:txData>
          </cx:tx>
          <cx:dataId val="0"/>
          <cx:layoutPr>
            <cx:binning intervalClosed="r"/>
          </cx:layoutPr>
        </cx:series>
      </cx:plotAreaRegion>
      <cx:axis id="0">
        <cx:catScaling gapWidth="0"/>
        <cx:tickLabels/>
        <cx:numFmt formatCode="#,##0_);(#,##0)" sourceLinked="0"/>
      </cx:axis>
      <cx:axis id="1">
        <cx:valScaling/>
        <cx:majorGridlines/>
        <cx:tickLabels/>
      </cx:axis>
    </cx:plotArea>
  </cx:chart>
</cx:chartSpace>
</file>

<file path=word/charts/chartEx2.xml><?xml version="1.0" encoding="utf-8"?>
<cx:chartSpace xmlns:a="http://schemas.openxmlformats.org/drawingml/2006/main" xmlns:r="http://schemas.openxmlformats.org/officeDocument/2006/relationships" xmlns:cx="http://schemas.microsoft.com/office/drawing/2014/chartex">
  <cx:chartData>
    <cx:externalData r:id="rId1" cx:autoUpdate="0"/>
    <cx:data id="0">
      <cx:numDim type="val">
        <cx:f>Data!$G$6:$G$79</cx:f>
        <cx:lvl ptCount="74" formatCode="0">
          <cx:pt idx="0">45177</cx:pt>
          <cx:pt idx="1">51888</cx:pt>
          <cx:pt idx="2">51379</cx:pt>
          <cx:pt idx="3">66081</cx:pt>
          <cx:pt idx="4">50999</cx:pt>
          <cx:pt idx="5">41562</cx:pt>
          <cx:pt idx="6">44196</cx:pt>
          <cx:pt idx="7">50975</cx:pt>
          <cx:pt idx="8">72808</cx:pt>
          <cx:pt idx="9">79070</cx:pt>
          <cx:pt idx="10">78497</cx:pt>
          <cx:pt idx="11">41245</cx:pt>
          <cx:pt idx="12">33003</cx:pt>
          <cx:pt idx="13">90988</cx:pt>
          <cx:pt idx="14">37950</cx:pt>
          <cx:pt idx="15">45206</cx:pt>
          <cx:pt idx="16">79312</cx:pt>
          <cx:pt idx="17">37345</cx:pt>
          <cx:pt idx="18">46226</cx:pt>
          <cx:pt idx="19">70024</cx:pt>
          <cx:pt idx="20">54982</cx:pt>
          <cx:pt idx="21">54932</cx:pt>
          <cx:pt idx="22">34097</cx:pt>
          <cx:pt idx="23">46593</cx:pt>
          <cx:pt idx="24">51893</cx:pt>
          <cx:pt idx="25">88162</cx:pt>
          <cx:pt idx="26">89016</cx:pt>
          <cx:pt idx="27">114353</cx:pt>
          <cx:pt idx="28">75366</cx:pt>
          <cx:pt idx="29">48163</cx:pt>
          <cx:pt idx="30">49956</cx:pt>
          <cx:pt idx="31">45990</cx:pt>
          <cx:pt idx="32">45723</cx:pt>
          <cx:pt idx="33">43800</cx:pt>
          <cx:pt idx="34">68711</cx:pt>
          <cx:pt idx="35">65150</cx:pt>
          <cx:pt idx="36">39329</cx:pt>
          <cx:pt idx="37">63657</cx:pt>
          <cx:pt idx="38">67099</cx:pt>
          <cx:pt idx="39">75151</cx:pt>
          <cx:pt idx="40">93876</cx:pt>
          <cx:pt idx="41">79701</cx:pt>
          <cx:pt idx="42">77115</cx:pt>
          <cx:pt idx="43">52766</cx:pt>
          <cx:pt idx="44">32929</cx:pt>
          <cx:pt idx="45">87863</cx:pt>
          <cx:pt idx="46">73752</cx:pt>
          <cx:pt idx="47">85366</cx:pt>
          <cx:pt idx="48">39180</cx:pt>
          <cx:pt idx="49">56077</cx:pt>
          <cx:pt idx="50">77449</cx:pt>
          <cx:pt idx="51">56822</cx:pt>
          <cx:pt idx="52">80470</cx:pt>
          <cx:pt idx="53">55584</cx:pt>
          <cx:pt idx="54">78001</cx:pt>
          <cx:pt idx="55">75307</cx:pt>
          <cx:pt idx="56">76375</cx:pt>
          <cx:pt idx="57">61857</cx:pt>
          <cx:pt idx="58">61312</cx:pt>
          <cx:pt idx="59">72040</cx:pt>
          <cx:pt idx="60">92414</cx:pt>
          <cx:pt idx="61">92602</cx:pt>
          <cx:pt idx="62">59599</cx:pt>
          <cx:pt idx="63">72453</cx:pt>
          <cx:pt idx="64">67925</cx:pt>
          <cx:pt idx="65">42631</cx:pt>
          <cx:pt idx="66">75652</cx:pt>
          <cx:pt idx="67">39650</cx:pt>
          <cx:pt idx="68">48033</cx:pt>
          <cx:pt idx="69">67403</cx:pt>
          <cx:pt idx="70">80597</cx:pt>
          <cx:pt idx="71">60928</cx:pt>
          <cx:pt idx="72">73762</cx:pt>
          <cx:pt idx="73">64225</cx:pt>
        </cx:lvl>
      </cx:numDim>
    </cx:data>
  </cx:chartData>
  <cx:chart>
    <cx:title pos="t" align="ctr" overlay="0">
      <cx:tx>
        <cx:txData>
          <cx:v>Distribution of Median Income</cx:v>
        </cx:txData>
      </cx:tx>
      <cx:txPr>
        <a:bodyPr spcFirstLastPara="1" vertOverflow="ellipsis" horzOverflow="overflow" wrap="square" lIns="0" tIns="0" rIns="0" bIns="0" anchor="ctr" anchorCtr="1"/>
        <a:lstStyle/>
        <a:p>
          <a:pPr algn="ctr" rtl="0">
            <a:defRPr/>
          </a:pPr>
          <a:r>
            <a:rPr lang="en-US" sz="1400" b="0" i="0" u="none" strike="noStrike" baseline="0">
              <a:solidFill>
                <a:sysClr val="windowText" lastClr="000000">
                  <a:lumMod val="65000"/>
                  <a:lumOff val="35000"/>
                </a:sysClr>
              </a:solidFill>
              <a:latin typeface="Calibri" panose="020F0502020204030204"/>
            </a:rPr>
            <a:t>Distribution of Median Income</a:t>
          </a:r>
        </a:p>
      </cx:txPr>
    </cx:title>
    <cx:plotArea>
      <cx:plotAreaRegion>
        <cx:series layoutId="clusteredColumn" uniqueId="{9FD91B59-E50C-4EEA-87E2-3B68C447FF5F}">
          <cx:tx>
            <cx:txData>
              <cx:f>Data!$G$5</cx:f>
              <cx:v>MedIncome</cx:v>
            </cx:txData>
          </cx:tx>
          <cx:dataId val="0"/>
          <cx:layoutPr>
            <cx:binning intervalClosed="r"/>
          </cx:layoutPr>
        </cx:series>
      </cx:plotAreaRegion>
      <cx:axis id="0">
        <cx:catScaling gapWidth="0"/>
        <cx:tickLabels/>
        <cx:numFmt formatCode="0" sourceLinked="0"/>
      </cx:axis>
      <cx:axis id="1">
        <cx:valScaling/>
        <cx:majorGridlines/>
        <cx:tickLabels/>
      </cx:axis>
    </cx:plotArea>
  </cx:chart>
</cx:chartSpace>
</file>

<file path=word/charts/chartEx3.xml><?xml version="1.0" encoding="utf-8"?>
<cx:chartSpace xmlns:a="http://schemas.openxmlformats.org/drawingml/2006/main" xmlns:r="http://schemas.openxmlformats.org/officeDocument/2006/relationships" xmlns:cx="http://schemas.microsoft.com/office/drawing/2014/chartex">
  <cx:chartData>
    <cx:externalData r:id="rId1" cx:autoUpdate="0"/>
    <cx:data id="0">
      <cx:numDim type="val">
        <cx:f>Data!$H$6:$H$79</cx:f>
        <cx:lvl ptCount="74" formatCode="0.0">
          <cx:pt idx="0">34.399999999999999</cx:pt>
          <cx:pt idx="1">41.200000000000003</cx:pt>
          <cx:pt idx="2">40.299999999999997</cx:pt>
          <cx:pt idx="3">35.399999999999999</cx:pt>
          <cx:pt idx="4">31.5</cx:pt>
          <cx:pt idx="5">36.299999999999997</cx:pt>
          <cx:pt idx="6">35.100000000000001</cx:pt>
          <cx:pt idx="7">37.600000000000001</cx:pt>
          <cx:pt idx="8">34.899999999999999</cx:pt>
          <cx:pt idx="9">34.799999999999997</cx:pt>
          <cx:pt idx="10">36.200000000000003</cx:pt>
          <cx:pt idx="11">32.200000000000003</cx:pt>
          <cx:pt idx="12">30.899999999999999</cx:pt>
          <cx:pt idx="13">37.700000000000003</cx:pt>
          <cx:pt idx="14">34.299999999999997</cx:pt>
          <cx:pt idx="15">32.399999999999999</cx:pt>
          <cx:pt idx="16">32.100000000000001</cx:pt>
          <cx:pt idx="17">31.399999999999999</cx:pt>
          <cx:pt idx="18">30.399999999999999</cx:pt>
          <cx:pt idx="19">33.899999999999999</cx:pt>
          <cx:pt idx="20">35.600000000000001</cx:pt>
          <cx:pt idx="21">35.899999999999999</cx:pt>
          <cx:pt idx="22">33.600000000000001</cx:pt>
          <cx:pt idx="23">37.899999999999999</cx:pt>
          <cx:pt idx="24">40.600000000000001</cx:pt>
          <cx:pt idx="25">37.700000000000003</cx:pt>
          <cx:pt idx="26">36.399999999999999</cx:pt>
          <cx:pt idx="27">40.899999999999999</cx:pt>
          <cx:pt idx="28">35</cx:pt>
          <cx:pt idx="29">26.399999999999999</cx:pt>
          <cx:pt idx="30">37.100000000000001</cx:pt>
          <cx:pt idx="31">30.300000000000001</cx:pt>
          <cx:pt idx="32">31.300000000000001</cx:pt>
          <cx:pt idx="33">29.600000000000001</cx:pt>
          <cx:pt idx="34">32.899999999999999</cx:pt>
          <cx:pt idx="35">40.700000000000003</cx:pt>
          <cx:pt idx="36">29.300000000000001</cx:pt>
          <cx:pt idx="37">37.299999999999997</cx:pt>
          <cx:pt idx="38">39.799999999999997</cx:pt>
          <cx:pt idx="39">33.899999999999999</cx:pt>
          <cx:pt idx="40">35</cx:pt>
          <cx:pt idx="41">35</cx:pt>
          <cx:pt idx="42">35.899999999999999</cx:pt>
          <cx:pt idx="43">33</cx:pt>
          <cx:pt idx="44">30.899999999999999</cx:pt>
          <cx:pt idx="45">38.5</cx:pt>
          <cx:pt idx="46">40.5</cx:pt>
          <cx:pt idx="47">32.100000000000001</cx:pt>
          <cx:pt idx="48">34.799999999999997</cx:pt>
          <cx:pt idx="49">38</cx:pt>
          <cx:pt idx="50">37</cx:pt>
          <cx:pt idx="51">34.700000000000003</cx:pt>
          <cx:pt idx="52">36.399999999999999</cx:pt>
          <cx:pt idx="53">36.799999999999997</cx:pt>
          <cx:pt idx="54">32.200000000000003</cx:pt>
          <cx:pt idx="55">34.799999999999997</cx:pt>
          <cx:pt idx="56">36.700000000000003</cx:pt>
          <cx:pt idx="57">33.799999999999997</cx:pt>
          <cx:pt idx="58">34.200000000000003</cx:pt>
          <cx:pt idx="59">39</cx:pt>
          <cx:pt idx="60">34.899999999999999</cx:pt>
          <cx:pt idx="61">39.299999999999997</cx:pt>
          <cx:pt idx="62">35.600000000000001</cx:pt>
          <cx:pt idx="63">36</cx:pt>
          <cx:pt idx="64">41.100000000000001</cx:pt>
          <cx:pt idx="65">24.699999999999999</cx:pt>
          <cx:pt idx="66">40.5</cx:pt>
          <cx:pt idx="67">32.899999999999999</cx:pt>
          <cx:pt idx="68">30.300000000000001</cx:pt>
          <cx:pt idx="69">36.200000000000003</cx:pt>
          <cx:pt idx="70">32.399999999999999</cx:pt>
          <cx:pt idx="71">43.5</cx:pt>
          <cx:pt idx="72">41.600000000000001</cx:pt>
          <cx:pt idx="73">31.399999999999999</cx:pt>
        </cx:lvl>
      </cx:numDim>
    </cx:data>
  </cx:chartData>
  <cx:chart>
    <cx:title pos="t" align="ctr" overlay="0">
      <cx:tx>
        <cx:txData>
          <cx:v>Distribution of Median Age</cx:v>
        </cx:txData>
      </cx:tx>
      <cx:txPr>
        <a:bodyPr spcFirstLastPara="1" vertOverflow="ellipsis" horzOverflow="overflow" wrap="square" lIns="0" tIns="0" rIns="0" bIns="0" anchor="ctr" anchorCtr="1"/>
        <a:lstStyle/>
        <a:p>
          <a:pPr algn="ctr" rtl="0">
            <a:defRPr/>
          </a:pPr>
          <a:r>
            <a:rPr lang="en-US" sz="1400" b="0" i="0" u="none" strike="noStrike" baseline="0">
              <a:solidFill>
                <a:sysClr val="windowText" lastClr="000000">
                  <a:lumMod val="65000"/>
                  <a:lumOff val="35000"/>
                </a:sysClr>
              </a:solidFill>
              <a:latin typeface="Calibri" panose="020F0502020204030204"/>
            </a:rPr>
            <a:t>Distribution of Median Age</a:t>
          </a:r>
        </a:p>
      </cx:txPr>
    </cx:title>
    <cx:plotArea>
      <cx:plotAreaRegion>
        <cx:series layoutId="clusteredColumn" uniqueId="{07152BBA-B622-4729-B6A6-7F2DD850156F}">
          <cx:tx>
            <cx:txData>
              <cx:f>Data!$H$5</cx:f>
              <cx:v>MedAge</cx:v>
            </cx:txData>
          </cx:tx>
          <cx:dataId val="0"/>
          <cx:layoutPr>
            <cx:binning intervalClosed="r"/>
          </cx:layoutPr>
        </cx:series>
      </cx:plotAreaRegion>
      <cx:axis id="0">
        <cx:catScaling gapWidth="0"/>
        <cx:tickLabels/>
      </cx:axis>
      <cx:axis id="1">
        <cx:valScaling/>
        <cx:majorGridlines/>
        <cx:tickLabels/>
      </cx:axis>
    </cx:plotArea>
  </cx:chart>
</cx:chartSpace>
</file>

<file path=word/charts/chartEx4.xml><?xml version="1.0" encoding="utf-8"?>
<cx:chartSpace xmlns:a="http://schemas.openxmlformats.org/drawingml/2006/main" xmlns:r="http://schemas.openxmlformats.org/officeDocument/2006/relationships" xmlns:cx="http://schemas.microsoft.com/office/drawing/2014/chartex">
  <cx:chartData>
    <cx:externalData r:id="rId1" cx:autoUpdate="0"/>
    <cx:data id="0">
      <cx:numDim type="val">
        <cx:f>Data!$I$6:$I$79</cx:f>
        <cx:lvl ptCount="74" formatCode="0">
          <cx:pt idx="0">31</cx:pt>
          <cx:pt idx="1">20</cx:pt>
          <cx:pt idx="2">24</cx:pt>
          <cx:pt idx="3">29</cx:pt>
          <cx:pt idx="4">18</cx:pt>
          <cx:pt idx="5">30</cx:pt>
          <cx:pt idx="6">14</cx:pt>
          <cx:pt idx="7">33</cx:pt>
          <cx:pt idx="8">28</cx:pt>
          <cx:pt idx="9">29</cx:pt>
          <cx:pt idx="10">39</cx:pt>
          <cx:pt idx="11">23</cx:pt>
          <cx:pt idx="12">22</cx:pt>
          <cx:pt idx="13">37</cx:pt>
          <cx:pt idx="14">24</cx:pt>
          <cx:pt idx="15">17</cx:pt>
          <cx:pt idx="16">37</cx:pt>
          <cx:pt idx="17">22</cx:pt>
          <cx:pt idx="18">36</cx:pt>
          <cx:pt idx="19">34</cx:pt>
          <cx:pt idx="20">26</cx:pt>
          <cx:pt idx="21">20</cx:pt>
          <cx:pt idx="22">20</cx:pt>
          <cx:pt idx="23">26</cx:pt>
          <cx:pt idx="24">21</cx:pt>
          <cx:pt idx="25">37</cx:pt>
          <cx:pt idx="26">34</cx:pt>
          <cx:pt idx="27">34</cx:pt>
          <cx:pt idx="28">30</cx:pt>
          <cx:pt idx="29">16</cx:pt>
          <cx:pt idx="30">28</cx:pt>
          <cx:pt idx="31">36</cx:pt>
          <cx:pt idx="32">18</cx:pt>
          <cx:pt idx="33">36</cx:pt>
          <cx:pt idx="34">18</cx:pt>
          <cx:pt idx="35">24</cx:pt>
          <cx:pt idx="36">22</cx:pt>
          <cx:pt idx="37">29</cx:pt>
          <cx:pt idx="38">25</cx:pt>
          <cx:pt idx="39">28</cx:pt>
          <cx:pt idx="40">40</cx:pt>
          <cx:pt idx="41">39</cx:pt>
          <cx:pt idx="42">30</cx:pt>
          <cx:pt idx="43">17</cx:pt>
          <cx:pt idx="44">22</cx:pt>
          <cx:pt idx="45">29</cx:pt>
          <cx:pt idx="46">19</cx:pt>
          <cx:pt idx="47">29</cx:pt>
          <cx:pt idx="48">18</cx:pt>
          <cx:pt idx="49">19</cx:pt>
          <cx:pt idx="50">34</cx:pt>
          <cx:pt idx="51">25</cx:pt>
          <cx:pt idx="52">30</cx:pt>
          <cx:pt idx="53">21</cx:pt>
          <cx:pt idx="54">30</cx:pt>
          <cx:pt idx="55">30</cx:pt>
          <cx:pt idx="56">28</cx:pt>
          <cx:pt idx="57">31</cx:pt>
          <cx:pt idx="58">16</cx:pt>
          <cx:pt idx="59">31</cx:pt>
          <cx:pt idx="60">40</cx:pt>
          <cx:pt idx="61">33</cx:pt>
          <cx:pt idx="62">28</cx:pt>
          <cx:pt idx="63">23</cx:pt>
          <cx:pt idx="64">16</cx:pt>
          <cx:pt idx="65">25</cx:pt>
          <cx:pt idx="66">25</cx:pt>
          <cx:pt idx="67">18</cx:pt>
          <cx:pt idx="68">15</cx:pt>
          <cx:pt idx="69">19</cx:pt>
          <cx:pt idx="70">27</cx:pt>
          <cx:pt idx="71">21</cx:pt>
          <cx:pt idx="72">29</cx:pt>
          <cx:pt idx="73">15</cx:pt>
        </cx:lvl>
      </cx:numDim>
    </cx:data>
  </cx:chartData>
  <cx:chart>
    <cx:title pos="t" align="ctr" overlay="0">
      <cx:tx>
        <cx:txData>
          <cx:v>Distribution of % w/Bachelors' Degree</cx:v>
        </cx:txData>
      </cx:tx>
      <cx:txPr>
        <a:bodyPr spcFirstLastPara="1" vertOverflow="ellipsis" horzOverflow="overflow" wrap="square" lIns="0" tIns="0" rIns="0" bIns="0" anchor="ctr" anchorCtr="1"/>
        <a:lstStyle/>
        <a:p>
          <a:pPr algn="ctr" rtl="0">
            <a:defRPr/>
          </a:pPr>
          <a:r>
            <a:rPr lang="en-US" sz="1400" b="0" i="0" u="none" strike="noStrike" baseline="0">
              <a:solidFill>
                <a:sysClr val="windowText" lastClr="000000">
                  <a:lumMod val="65000"/>
                  <a:lumOff val="35000"/>
                </a:sysClr>
              </a:solidFill>
              <a:latin typeface="Calibri" panose="020F0502020204030204"/>
            </a:rPr>
            <a:t>Distribution of % w/Bachelors' Degree</a:t>
          </a:r>
        </a:p>
      </cx:txPr>
    </cx:title>
    <cx:plotArea>
      <cx:plotAreaRegion>
        <cx:series layoutId="clusteredColumn" uniqueId="{7B6F0EE8-C51E-40E5-B937-A35445A562D4}">
          <cx:tx>
            <cx:txData>
              <cx:f>Data!$I$5</cx:f>
              <cx:v>BachDeg%</cx:v>
            </cx:txData>
          </cx:tx>
          <cx:dataId val="0"/>
          <cx:layoutPr>
            <cx:binning intervalClosed="r"/>
          </cx:layoutPr>
        </cx:series>
      </cx:plotAreaRegion>
      <cx:axis id="0">
        <cx:catScaling gapWidth="0"/>
        <cx:tickLabels/>
      </cx:axis>
      <cx:axis id="1">
        <cx:valScaling/>
        <cx:majorGridlines/>
        <cx:tickLabels/>
      </cx:axis>
    </cx:plotArea>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6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36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36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36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F88FF-330A-462D-87FB-718C64C46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7</Pages>
  <Words>981</Words>
  <Characters>5596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37</cp:revision>
  <dcterms:created xsi:type="dcterms:W3CDTF">2022-10-28T09:45:00Z</dcterms:created>
  <dcterms:modified xsi:type="dcterms:W3CDTF">2022-10-28T14:01:00Z</dcterms:modified>
</cp:coreProperties>
</file>