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ackground w:color="ffffff"/>
  <w:body>
    <w:p>
      <w:pPr>
        <w:pStyle w:val="style0"/>
        <w:spacing w:lineRule="auto" w:line="480"/>
        <w:rPr>
          <w:b/>
          <w:bCs/>
          <w:sz w:val="24"/>
          <w:szCs w:val="24"/>
        </w:rPr>
      </w:pPr>
    </w:p>
    <w:p>
      <w:pPr>
        <w:pStyle w:val="style0"/>
        <w:spacing w:lineRule="auto" w:line="480"/>
        <w:jc w:val="center"/>
        <w:rPr>
          <w:b/>
          <w:bCs/>
          <w:sz w:val="24"/>
          <w:szCs w:val="24"/>
        </w:rPr>
      </w:pPr>
    </w:p>
    <w:p>
      <w:pPr>
        <w:pStyle w:val="style0"/>
        <w:spacing w:lineRule="auto" w:line="480"/>
        <w:jc w:val="center"/>
        <w:rPr>
          <w:b/>
          <w:bCs/>
          <w:sz w:val="24"/>
          <w:szCs w:val="24"/>
        </w:rPr>
      </w:pPr>
    </w:p>
    <w:p>
      <w:pPr>
        <w:pStyle w:val="style0"/>
        <w:spacing w:lineRule="auto" w:line="480"/>
        <w:jc w:val="center"/>
        <w:rPr>
          <w:b/>
          <w:bCs/>
          <w:sz w:val="24"/>
          <w:szCs w:val="24"/>
        </w:rPr>
      </w:pPr>
    </w:p>
    <w:p>
      <w:pPr>
        <w:pStyle w:val="style0"/>
        <w:spacing w:lineRule="auto" w:line="480"/>
        <w:jc w:val="center"/>
        <w:rPr>
          <w:b/>
          <w:bCs/>
          <w:sz w:val="24"/>
          <w:szCs w:val="24"/>
        </w:rPr>
      </w:pPr>
      <w:r>
        <w:rPr>
          <w:b/>
          <w:bCs/>
          <w:sz w:val="24"/>
          <w:szCs w:val="24"/>
        </w:rPr>
        <w:t>Assigment</w:t>
      </w:r>
      <w:r>
        <w:rPr>
          <w:b/>
          <w:bCs/>
          <w:sz w:val="24"/>
          <w:szCs w:val="24"/>
        </w:rPr>
        <w:t xml:space="preserve"> 4:</w:t>
      </w:r>
      <w:r>
        <w:rPr>
          <w:b/>
          <w:bCs/>
          <w:sz w:val="24"/>
          <w:szCs w:val="24"/>
        </w:rPr>
        <w:t xml:space="preserve"> </w:t>
      </w:r>
      <w:r>
        <w:rPr>
          <w:b/>
          <w:bCs/>
          <w:sz w:val="24"/>
          <w:szCs w:val="24"/>
        </w:rPr>
        <w:t>Whirlpool</w:t>
      </w:r>
    </w:p>
    <w:p>
      <w:pPr>
        <w:pStyle w:val="style0"/>
        <w:spacing w:lineRule="auto" w:line="480"/>
        <w:jc w:val="center"/>
        <w:rPr>
          <w:b/>
          <w:bCs/>
          <w:sz w:val="24"/>
          <w:szCs w:val="24"/>
        </w:rPr>
      </w:pPr>
    </w:p>
    <w:p>
      <w:pPr>
        <w:pStyle w:val="style0"/>
        <w:spacing w:lineRule="auto" w:line="480"/>
        <w:jc w:val="center"/>
        <w:rPr>
          <w:b/>
          <w:bCs/>
          <w:sz w:val="24"/>
          <w:szCs w:val="24"/>
        </w:rPr>
      </w:pPr>
    </w:p>
    <w:p>
      <w:pPr>
        <w:pStyle w:val="style0"/>
        <w:spacing w:lineRule="auto" w:line="480"/>
        <w:jc w:val="center"/>
        <w:rPr>
          <w:b w:val="false"/>
          <w:bCs w:val="false"/>
          <w:sz w:val="24"/>
          <w:szCs w:val="24"/>
        </w:rPr>
      </w:pPr>
      <w:r>
        <w:rPr>
          <w:b w:val="false"/>
          <w:bCs w:val="false"/>
          <w:sz w:val="24"/>
          <w:szCs w:val="24"/>
        </w:rPr>
        <w:t>Student Name:</w:t>
      </w:r>
    </w:p>
    <w:p>
      <w:pPr>
        <w:pStyle w:val="style0"/>
        <w:spacing w:lineRule="auto" w:line="480"/>
        <w:jc w:val="center"/>
        <w:rPr>
          <w:bCs/>
          <w:sz w:val="24"/>
          <w:szCs w:val="24"/>
        </w:rPr>
      </w:pPr>
      <w:r>
        <w:rPr>
          <w:bCs/>
          <w:sz w:val="24"/>
          <w:szCs w:val="24"/>
        </w:rPr>
        <w:t>Department:</w:t>
      </w:r>
    </w:p>
    <w:p>
      <w:pPr>
        <w:pStyle w:val="style0"/>
        <w:spacing w:lineRule="auto" w:line="480"/>
        <w:jc w:val="center"/>
        <w:rPr>
          <w:bCs/>
          <w:sz w:val="24"/>
          <w:szCs w:val="24"/>
        </w:rPr>
      </w:pPr>
      <w:r>
        <w:rPr>
          <w:bCs/>
          <w:sz w:val="24"/>
          <w:szCs w:val="24"/>
        </w:rPr>
        <w:t>Professor:</w:t>
      </w:r>
    </w:p>
    <w:p>
      <w:pPr>
        <w:pStyle w:val="style0"/>
        <w:spacing w:lineRule="auto" w:line="480"/>
        <w:jc w:val="center"/>
        <w:rPr>
          <w:bCs/>
          <w:sz w:val="24"/>
          <w:szCs w:val="24"/>
        </w:rPr>
      </w:pPr>
      <w:r>
        <w:rPr>
          <w:bCs/>
          <w:sz w:val="24"/>
          <w:szCs w:val="24"/>
        </w:rPr>
        <w:t>Course:</w:t>
      </w:r>
    </w:p>
    <w:p>
      <w:pPr>
        <w:pStyle w:val="style0"/>
        <w:spacing w:lineRule="auto" w:line="480"/>
        <w:jc w:val="center"/>
        <w:rPr>
          <w:bCs/>
          <w:sz w:val="24"/>
          <w:szCs w:val="24"/>
        </w:rPr>
      </w:pPr>
      <w:r>
        <w:rPr>
          <w:bCs/>
          <w:sz w:val="24"/>
          <w:szCs w:val="24"/>
        </w:rPr>
        <w:t>Date:</w:t>
      </w:r>
    </w:p>
    <w:p>
      <w:pPr>
        <w:pStyle w:val="style0"/>
        <w:spacing w:lineRule="auto" w:line="480"/>
        <w:jc w:val="center"/>
        <w:rPr>
          <w:b/>
          <w:bCs/>
          <w:sz w:val="24"/>
          <w:szCs w:val="24"/>
        </w:rPr>
      </w:pPr>
      <w:r>
        <w:rPr>
          <w:b/>
          <w:bCs/>
          <w:sz w:val="24"/>
          <w:szCs w:val="24"/>
        </w:rPr>
        <w:br w:type="page"/>
      </w:r>
    </w:p>
    <w:p>
      <w:pPr>
        <w:pStyle w:val="style0"/>
        <w:spacing w:lineRule="auto" w:line="480"/>
        <w:rPr>
          <w:b/>
          <w:bCs/>
          <w:sz w:val="24"/>
          <w:szCs w:val="24"/>
        </w:rPr>
      </w:pPr>
      <w:r>
        <w:rPr>
          <w:b/>
          <w:bCs/>
          <w:sz w:val="24"/>
          <w:szCs w:val="24"/>
        </w:rPr>
        <w:t>Assume that Whirlpool's washing machine business will need a new boss. Describe what would transpire for each of the actions listed below.</w:t>
      </w:r>
    </w:p>
    <w:p>
      <w:pPr>
        <w:pStyle w:val="style0"/>
        <w:spacing w:lineRule="auto" w:line="480"/>
        <w:ind w:firstLine="720"/>
        <w:rPr>
          <w:sz w:val="24"/>
          <w:szCs w:val="24"/>
        </w:rPr>
      </w:pPr>
      <w:r>
        <w:rPr>
          <w:sz w:val="24"/>
          <w:szCs w:val="24"/>
        </w:rPr>
        <w:t>Whirlpool would need to take many measures to find the most qualified applicant for the role of washing machine division chief. The first step would be to anticipate the demands of the employee. This would include determining what the job entails and what skills and expertise are required for success. After identifying the staff requirements, Whirlpool would need to outline the position. Creating a job description that describes the tasks and responsibilities of the role would be required.</w:t>
      </w:r>
      <w:r>
        <w:rPr>
          <w:sz w:val="24"/>
          <w:szCs w:val="24"/>
        </w:rPr>
        <w:t xml:space="preserve"> </w:t>
      </w:r>
      <w:r>
        <w:rPr>
          <w:sz w:val="24"/>
          <w:szCs w:val="24"/>
        </w:rPr>
        <w:t>After the position has been outlined, Whirlpool would need to build an applicant pool. This may be accomplished via publicizing the vacancy, holding interviews, or through a recruiting firm. Once a candidate pool has been formed, Whirlpool would evaluate the applicants. This would include evaluating their talents, experience, and credentials to guarantee a suitable match for the role. After evaluating the finalists, Whirlpool would need to seal the acquisition. This would include providing a job offer to the most qualified applicant.</w:t>
      </w:r>
    </w:p>
    <w:p>
      <w:pPr>
        <w:pStyle w:val="style0"/>
        <w:spacing w:lineRule="auto" w:line="480"/>
        <w:ind w:firstLine="720"/>
        <w:rPr>
          <w:sz w:val="24"/>
          <w:szCs w:val="24"/>
        </w:rPr>
      </w:pPr>
      <w:r>
        <w:rPr>
          <w:sz w:val="24"/>
          <w:szCs w:val="24"/>
        </w:rPr>
        <w:t>After the applicant accepts the job offer, Whirlpool would need to integrate the new employee. This would include acclimating the new employee to the organization and ensuring their integration into the team. This would include orienting them to the company's culture and principles, as well as providing them with the necessary resources and assistance to succeed in their new position. Important to note is that the integration process should continue throughout the new employee's first year of employment.</w:t>
      </w:r>
    </w:p>
    <w:p>
      <w:pPr>
        <w:pStyle w:val="style0"/>
        <w:spacing w:lineRule="auto" w:line="480"/>
        <w:rPr>
          <w:b/>
          <w:bCs/>
          <w:sz w:val="24"/>
          <w:szCs w:val="24"/>
        </w:rPr>
      </w:pPr>
      <w:r>
        <w:rPr>
          <w:b/>
          <w:bCs/>
          <w:sz w:val="24"/>
          <w:szCs w:val="24"/>
        </w:rPr>
        <w:t>Evaluate the impact of training, plant rotation, and demanding tasks on Julia's growth as a Whirlpool employee.</w:t>
      </w:r>
    </w:p>
    <w:p>
      <w:pPr>
        <w:pStyle w:val="style0"/>
        <w:spacing w:lineRule="auto" w:line="480"/>
        <w:ind w:firstLine="720"/>
        <w:rPr>
          <w:sz w:val="24"/>
          <w:szCs w:val="24"/>
        </w:rPr>
      </w:pPr>
      <w:r>
        <w:rPr>
          <w:sz w:val="24"/>
          <w:szCs w:val="24"/>
        </w:rPr>
        <w:t>Julia is presently enrolled in the Manufacturing Leadership Development Program as a Whirlpool employee. This training is assisting her in understanding the manufacturing process and how to become a leader in this industry. She has also benefitted from plant rotation, which has provided her with the opportunity to learn about all facets of the production process and see how they all interact. Additionally, challenging tasks have aided in her growth and skill development, allowing her to be better equipped for her future job.</w:t>
      </w:r>
    </w:p>
    <w:p>
      <w:pPr>
        <w:pStyle w:val="style0"/>
        <w:spacing w:lineRule="auto" w:line="480"/>
        <w:rPr>
          <w:sz w:val="24"/>
          <w:szCs w:val="24"/>
        </w:rPr>
      </w:pPr>
      <w:r>
        <w:rPr>
          <w:b/>
          <w:bCs/>
          <w:sz w:val="24"/>
          <w:szCs w:val="24"/>
        </w:rPr>
        <w:t>Describe the importance of Julia's individual development plan</w:t>
      </w:r>
      <w:r>
        <w:rPr>
          <w:b/>
          <w:bCs/>
          <w:sz w:val="24"/>
          <w:szCs w:val="24"/>
          <w:lang w:val="en-GB"/>
        </w:rPr>
        <w:t>(IDP)</w:t>
      </w:r>
      <w:r>
        <w:rPr>
          <w:b/>
          <w:bCs/>
          <w:sz w:val="24"/>
          <w:szCs w:val="24"/>
        </w:rPr>
        <w:t xml:space="preserve"> in her professional advancement</w:t>
      </w:r>
      <w:r>
        <w:rPr>
          <w:sz w:val="24"/>
          <w:szCs w:val="24"/>
        </w:rPr>
        <w:t>.</w:t>
      </w:r>
    </w:p>
    <w:p>
      <w:pPr>
        <w:pStyle w:val="style0"/>
        <w:spacing w:lineRule="auto" w:line="480"/>
        <w:rPr>
          <w:sz w:val="24"/>
          <w:szCs w:val="24"/>
        </w:rPr>
      </w:pPr>
      <w:r>
        <w:rPr>
          <w:sz w:val="24"/>
          <w:szCs w:val="24"/>
          <w:lang w:val="en-GB"/>
        </w:rPr>
        <w:t xml:space="preserve">        </w:t>
      </w:r>
      <w:r>
        <w:rPr>
          <w:sz w:val="24"/>
          <w:szCs w:val="24"/>
          <w:lang w:val="en-GB"/>
        </w:rPr>
        <w:t>T</w:t>
      </w:r>
      <w:r>
        <w:rPr>
          <w:sz w:val="24"/>
          <w:szCs w:val="24"/>
        </w:rPr>
        <w:t>he IDP is an essential tool for career planning and development because it enables people to identify their strengths and limitations, establish attainable objectives, and monitor their progress over time.</w:t>
      </w:r>
      <w:r>
        <w:rPr>
          <w:sz w:val="24"/>
          <w:szCs w:val="24"/>
          <w:lang w:val="en-GB"/>
        </w:rPr>
        <w:t xml:space="preserve"> </w:t>
      </w:r>
      <w:r>
        <w:rPr>
          <w:sz w:val="24"/>
          <w:szCs w:val="24"/>
        </w:rPr>
        <w:t>A variety of goals and objectives relevant to Julia's advancement as a manufacturing leader would likely comprise her professional development plan. Among these objectives may include the completion of her engineering degree, the acquisition of diverse industrial experience, and the enhancement of her leadership abilities. By articulating these goals and objectives, Julia may establish a clear strategy for her professional advancement and monitor her success over time.</w:t>
      </w:r>
    </w:p>
    <w:p>
      <w:pPr>
        <w:pStyle w:val="style0"/>
        <w:spacing w:lineRule="auto" w:line="480"/>
        <w:rPr>
          <w:b/>
          <w:bCs/>
          <w:sz w:val="24"/>
          <w:szCs w:val="24"/>
        </w:rPr>
      </w:pPr>
      <w:r>
        <w:rPr>
          <w:b/>
          <w:bCs/>
          <w:sz w:val="24"/>
          <w:szCs w:val="24"/>
        </w:rPr>
        <w:t>Despite the fact that Julia is a relatively recent recruit, please indicate how Whirlpool may consider her future responsibilities as part of their succession planning efforts.</w:t>
      </w:r>
    </w:p>
    <w:p>
      <w:pPr>
        <w:pStyle w:val="style0"/>
        <w:spacing w:lineRule="auto" w:line="480"/>
        <w:ind w:firstLine="720"/>
        <w:rPr>
          <w:sz w:val="24"/>
          <w:szCs w:val="24"/>
        </w:rPr>
      </w:pPr>
      <w:r>
        <w:rPr>
          <w:sz w:val="24"/>
          <w:szCs w:val="24"/>
        </w:rPr>
        <w:t>Since Julia is a recent recruit, Whirlpool might explore her future responsibilities as part of their succession planning operations. Succession planning is the process of identifying and nurturing people with the potential to assume important leadership positions within an organization. Organizations must have a succession plan in place so that they can continue to run efficiently in the event that key executives depart.</w:t>
      </w:r>
      <w:r>
        <w:rPr>
          <w:sz w:val="24"/>
          <w:szCs w:val="24"/>
        </w:rPr>
        <w:t xml:space="preserve"> </w:t>
      </w:r>
      <w:r>
        <w:rPr>
          <w:sz w:val="24"/>
          <w:szCs w:val="24"/>
        </w:rPr>
        <w:t>Whirlpool may recognize Julia as a future organizational leader and give her with opportunity to advance her skills and expertise. They may also construct a mentoring program for her so she can learn from the company's more seasoned executives. Whirlpool would be preparing Julia for future leadership positions within the company by taking this action.</w:t>
      </w:r>
    </w:p>
    <w:p>
      <w:pPr>
        <w:pStyle w:val="style0"/>
        <w:spacing w:lineRule="auto" w:line="480"/>
        <w:rPr>
          <w:b/>
          <w:bCs/>
          <w:sz w:val="24"/>
          <w:szCs w:val="24"/>
        </w:rPr>
      </w:pPr>
      <w:r>
        <w:rPr>
          <w:b/>
          <w:bCs/>
          <w:sz w:val="24"/>
          <w:szCs w:val="24"/>
        </w:rPr>
        <w:t>Performance-Based Compensation Program</w:t>
      </w:r>
    </w:p>
    <w:p>
      <w:pPr>
        <w:pStyle w:val="style0"/>
        <w:spacing w:lineRule="auto" w:line="480"/>
        <w:rPr>
          <w:b/>
          <w:bCs/>
          <w:sz w:val="24"/>
          <w:szCs w:val="24"/>
        </w:rPr>
      </w:pPr>
      <w:r>
        <w:rPr>
          <w:b/>
          <w:bCs/>
          <w:sz w:val="24"/>
          <w:szCs w:val="24"/>
        </w:rPr>
        <w:t>Discuss the role of human resource management in the creation of this program.</w:t>
      </w:r>
    </w:p>
    <w:p>
      <w:pPr>
        <w:pStyle w:val="style0"/>
        <w:spacing w:lineRule="auto" w:line="480"/>
        <w:ind w:firstLine="720"/>
        <w:rPr>
          <w:sz w:val="24"/>
          <w:szCs w:val="24"/>
        </w:rPr>
      </w:pPr>
      <w:r>
        <w:rPr>
          <w:sz w:val="24"/>
          <w:szCs w:val="24"/>
        </w:rPr>
        <w:t>The department of human resource management at Whirlpool is crucial in designing and managing the company's pay-for-performance compensation model. The purpose of this program is to inspire workers by directly tying their salary to their individual success. Employees are rewarded under this program for attaining or surpassing defined performance targets. This gives individuals with a strong motivation to work hard and achieve at their highest level.</w:t>
      </w:r>
      <w:r>
        <w:rPr>
          <w:sz w:val="24"/>
          <w:szCs w:val="24"/>
        </w:rPr>
        <w:t xml:space="preserve"> </w:t>
      </w:r>
      <w:r>
        <w:rPr>
          <w:sz w:val="24"/>
          <w:szCs w:val="24"/>
        </w:rPr>
        <w:t>The department of human resource management is responsible for establishing the performance requirements that workers must achieve to get a bonus</w:t>
      </w:r>
      <w:r>
        <w:rPr>
          <w:sz w:val="24"/>
          <w:szCs w:val="24"/>
          <w:lang w:val="en-GB"/>
        </w:rPr>
        <w:t>. T</w:t>
      </w:r>
      <w:r>
        <w:rPr>
          <w:sz w:val="24"/>
          <w:szCs w:val="24"/>
        </w:rPr>
        <w:t xml:space="preserve">hese objectives must be attainable, but hard enough to inspire people to pursue greatness. Additionally, the department controls the assessment process to guarantee that personnel are appraised fairly and </w:t>
      </w:r>
      <w:r>
        <w:rPr>
          <w:sz w:val="24"/>
          <w:szCs w:val="24"/>
        </w:rPr>
        <w:t>properly</w:t>
      </w:r>
      <w:r>
        <w:rPr>
          <w:sz w:val="24"/>
          <w:szCs w:val="24"/>
          <w:lang w:val="en-GB"/>
        </w:rPr>
        <w:t xml:space="preserve"> (Chang, 2006)</w:t>
      </w:r>
      <w:r>
        <w:rPr>
          <w:sz w:val="24"/>
          <w:szCs w:val="24"/>
        </w:rPr>
        <w:t>.This</w:t>
      </w:r>
      <w:r>
        <w:rPr>
          <w:sz w:val="24"/>
          <w:szCs w:val="24"/>
        </w:rPr>
        <w:t xml:space="preserve"> pay-for-performance remuneration package has shown to be a successful tool for motivating workers and boosting performance. It has assisted Whirlpool in achieving a high degree of success and maintaining its status as a leading worldwide company.</w:t>
      </w:r>
    </w:p>
    <w:p>
      <w:pPr>
        <w:pStyle w:val="style0"/>
        <w:spacing w:lineRule="auto" w:line="480"/>
        <w:rPr>
          <w:b/>
          <w:bCs/>
          <w:sz w:val="24"/>
          <w:szCs w:val="24"/>
        </w:rPr>
      </w:pPr>
      <w:r>
        <w:rPr>
          <w:b/>
          <w:bCs/>
          <w:sz w:val="24"/>
          <w:szCs w:val="24"/>
        </w:rPr>
        <w:t>Describe the function of a merit matrix and its application</w:t>
      </w:r>
      <w:r>
        <w:rPr>
          <w:b/>
          <w:bCs/>
          <w:sz w:val="24"/>
          <w:szCs w:val="24"/>
          <w:lang w:val="en-GB"/>
        </w:rPr>
        <w:t>.</w:t>
      </w:r>
    </w:p>
    <w:p>
      <w:pPr>
        <w:pStyle w:val="style0"/>
        <w:spacing w:lineRule="auto" w:line="480"/>
        <w:ind w:firstLine="720"/>
        <w:rPr>
          <w:sz w:val="24"/>
          <w:szCs w:val="24"/>
        </w:rPr>
      </w:pPr>
      <w:r>
        <w:rPr>
          <w:sz w:val="24"/>
          <w:szCs w:val="24"/>
        </w:rPr>
        <w:t xml:space="preserve">A merit matrix is used to guarantee that workers are payed appropriately based on their performance. This </w:t>
      </w:r>
      <w:r>
        <w:rPr>
          <w:sz w:val="24"/>
          <w:szCs w:val="24"/>
          <w:lang w:val="en-GB"/>
        </w:rPr>
        <w:t>approach</w:t>
      </w:r>
      <w:r>
        <w:rPr>
          <w:sz w:val="24"/>
          <w:szCs w:val="24"/>
        </w:rPr>
        <w:t xml:space="preserve"> enables managers to establish precise objectives for staff and then track their progress toward those goals. If an employee reaches or surpasses their objectives, they will earn a raise depending on their performance. This approach is intended to drive people to perform at their highest level and enhance the quality of the firm as a whole.</w:t>
      </w:r>
      <w:r>
        <w:rPr>
          <w:sz w:val="24"/>
          <w:szCs w:val="24"/>
        </w:rPr>
        <w:t xml:space="preserve"> </w:t>
      </w:r>
      <w:r>
        <w:rPr>
          <w:sz w:val="24"/>
          <w:szCs w:val="24"/>
        </w:rPr>
        <w:t>A merit matrix is a tool that may be used to analyze the performance of an employee. This matrix takes both the amount and quality of an employee's work into consideration. Prior to determining an employee's pay-for-performance increase, the management will establish specified objectives</w:t>
      </w:r>
      <w:r>
        <w:rPr>
          <w:sz w:val="24"/>
          <w:szCs w:val="24"/>
          <w:lang w:val="en-GB"/>
        </w:rPr>
        <w:t xml:space="preserve">(Chang, 2006). </w:t>
      </w:r>
      <w:r>
        <w:rPr>
          <w:sz w:val="24"/>
          <w:szCs w:val="24"/>
        </w:rPr>
        <w:t>Once these objectives have been accomplished, the management will examine the matrix to determine if the employee has surpassed expectations. The employee will earn a raise if they have fulfilled or surpassed their objectives. This approach is intended to drive people to perform at their highest level and enhance the quality of the firm as a whole.</w:t>
      </w:r>
    </w:p>
    <w:p>
      <w:pPr>
        <w:pStyle w:val="style0"/>
        <w:spacing w:lineRule="auto" w:line="480"/>
        <w:rPr>
          <w:b/>
          <w:bCs/>
          <w:sz w:val="24"/>
          <w:szCs w:val="24"/>
        </w:rPr>
      </w:pPr>
      <w:r>
        <w:rPr>
          <w:b/>
          <w:bCs/>
          <w:sz w:val="24"/>
          <w:szCs w:val="24"/>
        </w:rPr>
        <w:t>Discuss how this program might inspire workers and give an example of a prize that could be offered for outstanding achievement.</w:t>
      </w:r>
    </w:p>
    <w:p>
      <w:pPr>
        <w:pStyle w:val="style0"/>
        <w:spacing w:lineRule="auto" w:line="480"/>
        <w:ind w:firstLine="720"/>
        <w:rPr>
          <w:sz w:val="24"/>
          <w:szCs w:val="24"/>
        </w:rPr>
      </w:pPr>
      <w:r>
        <w:rPr>
          <w:sz w:val="24"/>
          <w:szCs w:val="24"/>
        </w:rPr>
        <w:t xml:space="preserve">A "Pay-For-Performance </w:t>
      </w:r>
      <w:r>
        <w:rPr>
          <w:sz w:val="24"/>
          <w:szCs w:val="24"/>
        </w:rPr>
        <w:t>Compensation Program" would incentivize workers by rewarding them for achieving achievement. For instance, a bonus is a sort of incentive that might be offered for exemplary performance.</w:t>
      </w:r>
      <w:r>
        <w:rPr>
          <w:sz w:val="24"/>
          <w:szCs w:val="24"/>
        </w:rPr>
        <w:t xml:space="preserve"> </w:t>
      </w:r>
      <w:r>
        <w:rPr>
          <w:sz w:val="24"/>
          <w:szCs w:val="24"/>
        </w:rPr>
        <w:t>Employees would be motivated to work hard and be productive since they would know they would be rewarded for their efforts. Furthermore, this sort of program would inspire workers by boosting their feeling of duty and accountability, since their performance would directly affect their income.</w:t>
      </w:r>
      <w:r>
        <w:rPr>
          <w:sz w:val="24"/>
          <w:szCs w:val="24"/>
        </w:rPr>
        <w:t xml:space="preserve"> </w:t>
      </w:r>
      <w:r>
        <w:rPr>
          <w:sz w:val="24"/>
          <w:szCs w:val="24"/>
        </w:rPr>
        <w:t>To guarantee that the "Pay-For-Performance Compensation Program" effectively motivates workers, it is essential to establish clear and attainable objectives. Employees must understand what is expected of them and what they must perform to obtain a bonus. In addition, the conditions for getting a bonus should be reasonable and fair. If workers believe that the objectives are unachievable or that the standards are unjust, they will likely become demoralized and unmotivate</w:t>
      </w:r>
      <w:r>
        <w:rPr>
          <w:sz w:val="24"/>
          <w:szCs w:val="24"/>
          <w:lang w:val="en-GB"/>
        </w:rPr>
        <w:t>d</w:t>
      </w:r>
      <w:r>
        <w:rPr>
          <w:sz w:val="24"/>
          <w:szCs w:val="24"/>
          <w:lang w:val="en-GB"/>
        </w:rPr>
        <w:t xml:space="preserve"> (Chang, 2006)</w:t>
      </w:r>
      <w:r>
        <w:rPr>
          <w:sz w:val="24"/>
          <w:szCs w:val="24"/>
        </w:rPr>
        <w:t>.</w:t>
      </w:r>
    </w:p>
    <w:p>
      <w:pPr>
        <w:pStyle w:val="style0"/>
        <w:spacing w:lineRule="auto" w:line="480"/>
        <w:rPr>
          <w:b/>
          <w:bCs/>
          <w:sz w:val="24"/>
          <w:szCs w:val="24"/>
        </w:rPr>
      </w:pPr>
      <w:r>
        <w:rPr>
          <w:b/>
          <w:bCs/>
          <w:sz w:val="24"/>
          <w:szCs w:val="24"/>
        </w:rPr>
        <w:t>Discuss the role of HR management in implementing the Total Rewards Strategy.</w:t>
      </w:r>
    </w:p>
    <w:p>
      <w:pPr>
        <w:pStyle w:val="style0"/>
        <w:spacing w:lineRule="auto" w:line="480"/>
        <w:ind w:firstLine="720"/>
        <w:rPr>
          <w:sz w:val="24"/>
          <w:szCs w:val="24"/>
        </w:rPr>
      </w:pPr>
      <w:r>
        <w:rPr>
          <w:sz w:val="24"/>
          <w:szCs w:val="24"/>
        </w:rPr>
        <w:t xml:space="preserve">To design a complete incentives plan, HRM must first examine the organization's requirements in terms of the kind and composition of personnel necessary to meet its business goals. HRM may build a whole rewards plan that includes </w:t>
      </w:r>
      <w:r>
        <w:rPr>
          <w:sz w:val="24"/>
          <w:szCs w:val="24"/>
        </w:rPr>
        <w:t>competitive salary, benefits, and other perks and incentives to attract and retain the best workers after the organization's personnel requirements have been assessed</w:t>
      </w:r>
      <w:r>
        <w:rPr>
          <w:sz w:val="24"/>
          <w:szCs w:val="24"/>
          <w:lang w:val="en-GB"/>
        </w:rPr>
        <w:t>(Lyons &amp; Ben</w:t>
      </w:r>
      <w:r>
        <w:rPr>
          <w:sz w:val="24"/>
          <w:szCs w:val="24"/>
          <w:lang w:val="en-GB"/>
        </w:rPr>
        <w:t>-Ora, 2002)</w:t>
      </w:r>
      <w:r>
        <w:rPr>
          <w:sz w:val="24"/>
          <w:szCs w:val="24"/>
        </w:rPr>
        <w:t>.</w:t>
      </w:r>
      <w:r>
        <w:rPr>
          <w:sz w:val="24"/>
          <w:szCs w:val="24"/>
        </w:rPr>
        <w:t xml:space="preserve"> </w:t>
      </w:r>
      <w:r>
        <w:rPr>
          <w:sz w:val="24"/>
          <w:szCs w:val="24"/>
        </w:rPr>
        <w:t xml:space="preserve">To be successful, the entire rewards system must be connected with the organization's business strategy. </w:t>
      </w:r>
      <w:r>
        <w:rPr>
          <w:sz w:val="24"/>
          <w:szCs w:val="24"/>
        </w:rPr>
        <w:t>Once the entire incentives plan has been designed, it must be implemented via the HR rules and procedures of the firm. The complete rewards plan should be conveyed regularly to all workers so that they are aware of the various advantages and incentives. In addition, the whole incentives plan should be regularly evaluated and revised to ensure that it stays aligned with the organization's business strategy and the requirements of the workforce.</w:t>
      </w:r>
    </w:p>
    <w:p>
      <w:pPr>
        <w:pStyle w:val="style0"/>
        <w:spacing w:lineRule="auto" w:line="480"/>
        <w:rPr>
          <w:b/>
          <w:bCs/>
          <w:sz w:val="24"/>
          <w:szCs w:val="24"/>
        </w:rPr>
      </w:pPr>
      <w:r>
        <w:rPr>
          <w:b/>
          <w:bCs/>
          <w:sz w:val="24"/>
          <w:szCs w:val="24"/>
        </w:rPr>
        <w:t>Discuss how this program will incentivize workers and give an example of a prize that might be offered for exceptional achievement.</w:t>
      </w:r>
    </w:p>
    <w:p>
      <w:pPr>
        <w:pStyle w:val="style0"/>
        <w:spacing w:lineRule="auto" w:line="480"/>
        <w:ind w:firstLine="720"/>
        <w:rPr>
          <w:sz w:val="24"/>
          <w:szCs w:val="24"/>
        </w:rPr>
      </w:pPr>
      <w:r>
        <w:rPr>
          <w:sz w:val="24"/>
          <w:szCs w:val="24"/>
        </w:rPr>
        <w:t>In return for their success, a comprehensive rewards approach provides workers with a mix of monetary and non-monetary awards. This sort of program would excite workers by imbuing their job with purpose and significance. A comprehensive rewards approach would also provide workers with a feeling of security and stability, as well as the opportunity to earn extra revenue. A complete incentives approach might, for instance, provide workers a bonus for reaching or surpassing performance targets.</w:t>
      </w:r>
      <w:r>
        <w:rPr>
          <w:sz w:val="24"/>
          <w:szCs w:val="24"/>
        </w:rPr>
        <w:t xml:space="preserve"> </w:t>
      </w:r>
      <w:r>
        <w:rPr>
          <w:sz w:val="24"/>
          <w:szCs w:val="24"/>
        </w:rPr>
        <w:t>Before implementing a complete incentives approach effectively, firms must determine the requirements and desires of their workers. The organization may then build a program to satisfy these requirements after determining them</w:t>
      </w:r>
      <w:r>
        <w:rPr>
          <w:sz w:val="24"/>
          <w:szCs w:val="24"/>
          <w:lang w:val="en-GB"/>
        </w:rPr>
        <w:t xml:space="preserve"> </w:t>
      </w:r>
      <w:r>
        <w:rPr>
          <w:sz w:val="24"/>
          <w:szCs w:val="24"/>
          <w:lang w:val="en-GB"/>
        </w:rPr>
        <w:t xml:space="preserve">(Lyons &amp; Ben-Ora, </w:t>
      </w:r>
      <w:r>
        <w:rPr>
          <w:sz w:val="24"/>
          <w:szCs w:val="24"/>
          <w:lang w:val="en-GB"/>
        </w:rPr>
        <w:t>2002)</w:t>
      </w:r>
      <w:r>
        <w:rPr>
          <w:sz w:val="24"/>
          <w:szCs w:val="24"/>
        </w:rPr>
        <w:t>.</w:t>
      </w:r>
      <w:r>
        <w:rPr>
          <w:sz w:val="24"/>
          <w:szCs w:val="24"/>
        </w:rPr>
        <w:t>.</w:t>
      </w:r>
    </w:p>
    <w:p>
      <w:pPr>
        <w:pStyle w:val="style0"/>
        <w:spacing w:lineRule="auto" w:line="480"/>
        <w:rPr>
          <w:b/>
          <w:bCs/>
          <w:sz w:val="24"/>
          <w:szCs w:val="24"/>
        </w:rPr>
      </w:pPr>
      <w:r>
        <w:rPr>
          <w:b/>
          <w:bCs/>
          <w:sz w:val="24"/>
          <w:szCs w:val="24"/>
        </w:rPr>
        <w:t>Discuss how the "Work-Life Effectiveness" and "Recognition" components of this program would motivate employees in the absence of a monetary incentive.</w:t>
      </w:r>
    </w:p>
    <w:p>
      <w:pPr>
        <w:pStyle w:val="style0"/>
        <w:spacing w:lineRule="auto" w:line="480"/>
        <w:ind w:firstLine="720"/>
        <w:rPr>
          <w:sz w:val="24"/>
          <w:szCs w:val="24"/>
        </w:rPr>
      </w:pPr>
      <w:r>
        <w:rPr>
          <w:sz w:val="24"/>
          <w:szCs w:val="24"/>
        </w:rPr>
        <w:t>The "Work-Life Effectiveness" and "Recognition" components of Whirlpool's Total Rewards Strategy would surely encourage workers in the absence of monetary compensation. The "Work-Life Effectiveness" feature would appeal to workers who want a healthy work-life balance, while the "Recognition" part would appeal to employees who desire recognition for their hard work.</w:t>
      </w:r>
      <w:r>
        <w:rPr>
          <w:sz w:val="24"/>
          <w:szCs w:val="24"/>
        </w:rPr>
        <w:t xml:space="preserve"> </w:t>
      </w:r>
      <w:r>
        <w:rPr>
          <w:sz w:val="24"/>
          <w:szCs w:val="24"/>
        </w:rPr>
        <w:t>The "Work-Life Effectiveness" component of the Total Rewards Strategy would let workers to have a flexible work schedule, which would be advantageous for those with families or other obligations outside of work. In addition, this feature would enable workers to use Whirlpool's child care and eldercare services, which would be advantageous for those with families. The "Acknowledgment" portion of the Total Rewards Strategy would let workers to be acknowledged for their hard work via awards, plaques, and other kinds of recognition. This would undoubtedly be motivating for staff, since their achievements would be recognized.</w:t>
      </w:r>
    </w:p>
    <w:p>
      <w:pPr>
        <w:pStyle w:val="style0"/>
        <w:spacing w:lineRule="auto" w:line="480"/>
        <w:rPr>
          <w:b/>
          <w:bCs/>
          <w:sz w:val="24"/>
          <w:szCs w:val="24"/>
        </w:rPr>
      </w:pPr>
      <w:r>
        <w:rPr>
          <w:b/>
          <w:bCs/>
          <w:sz w:val="24"/>
          <w:szCs w:val="24"/>
        </w:rPr>
        <w:t>Provide examples for each of the three forms of diversity that may occur at Whirlpool.</w:t>
      </w:r>
    </w:p>
    <w:p>
      <w:pPr>
        <w:pStyle w:val="style0"/>
        <w:spacing w:lineRule="auto" w:line="480"/>
        <w:ind w:firstLine="720"/>
        <w:rPr>
          <w:sz w:val="24"/>
          <w:szCs w:val="24"/>
        </w:rPr>
      </w:pPr>
      <w:r>
        <w:rPr>
          <w:sz w:val="24"/>
          <w:szCs w:val="24"/>
        </w:rPr>
        <w:t>Visible and readily recognized qualities, such as color, ethnicity, gender, and age, are included in surface-level diversity. Deep-level diversity encompasses less obvious and more difficult to define qualities, such as values, beliefs, and attitudes. Non-obvious qualities, such as sexual orientation and disability, are included in the concept of hidden diversity</w:t>
      </w:r>
      <w:r>
        <w:rPr>
          <w:sz w:val="24"/>
          <w:szCs w:val="24"/>
          <w:lang w:val="en-GB"/>
        </w:rPr>
        <w:t xml:space="preserve"> (Patrick &amp; Kumar,</w:t>
      </w:r>
      <w:r>
        <w:rPr>
          <w:sz w:val="24"/>
          <w:szCs w:val="24"/>
          <w:lang w:val="en-GB"/>
        </w:rPr>
        <w:t xml:space="preserve"> </w:t>
      </w:r>
      <w:r>
        <w:rPr>
          <w:sz w:val="24"/>
          <w:szCs w:val="24"/>
          <w:lang w:val="en-GB"/>
        </w:rPr>
        <w:t>20</w:t>
      </w:r>
      <w:r>
        <w:rPr>
          <w:sz w:val="24"/>
          <w:szCs w:val="24"/>
          <w:lang w:val="en-GB"/>
        </w:rPr>
        <w:t>12)</w:t>
      </w:r>
      <w:r>
        <w:rPr>
          <w:sz w:val="24"/>
          <w:szCs w:val="24"/>
        </w:rPr>
        <w:t>.</w:t>
      </w:r>
      <w:r>
        <w:rPr>
          <w:sz w:val="24"/>
          <w:szCs w:val="24"/>
        </w:rPr>
        <w:t xml:space="preserve"> </w:t>
      </w:r>
      <w:r>
        <w:rPr>
          <w:sz w:val="24"/>
          <w:szCs w:val="24"/>
        </w:rPr>
        <w:t xml:space="preserve">Whirlpool is dedicated to fostering a diverse and inclusive workplace for all workers. Diversity and </w:t>
      </w:r>
      <w:r>
        <w:rPr>
          <w:sz w:val="24"/>
          <w:szCs w:val="24"/>
        </w:rPr>
        <w:t>inclusion are vital to the company's commercial success. Whirlpool feels that a diverse staff improves the company's ability to comprehend and service its consumers. Whirlpool is dedicated to providing all employees and candidates with equitable employment opportunities.</w:t>
      </w:r>
    </w:p>
    <w:p>
      <w:pPr>
        <w:pStyle w:val="style0"/>
        <w:spacing w:lineRule="auto" w:line="480"/>
        <w:rPr>
          <w:b/>
          <w:bCs/>
          <w:sz w:val="24"/>
          <w:szCs w:val="24"/>
        </w:rPr>
      </w:pPr>
      <w:r>
        <w:rPr>
          <w:b/>
          <w:bCs/>
          <w:sz w:val="24"/>
          <w:szCs w:val="24"/>
        </w:rPr>
        <w:t>Discuss how the following two ideas assist Whirlpool management comprehend their diverse workforce, and suggest if the theory might have a good or negative impact on the organization:</w:t>
      </w:r>
    </w:p>
    <w:p>
      <w:pPr>
        <w:pStyle w:val="style0"/>
        <w:spacing w:lineRule="auto" w:line="480"/>
        <w:ind w:firstLine="720"/>
        <w:rPr>
          <w:sz w:val="24"/>
          <w:szCs w:val="24"/>
        </w:rPr>
      </w:pPr>
      <w:r>
        <w:rPr>
          <w:sz w:val="24"/>
          <w:szCs w:val="24"/>
        </w:rPr>
        <w:t>Cognitive Diversity Hypothesis and Similarity-Attraction Paradigm are the two ideas that aid Whirlpool management in better understanding their diverse workforce.</w:t>
      </w:r>
      <w:r>
        <w:rPr>
          <w:sz w:val="24"/>
          <w:szCs w:val="24"/>
        </w:rPr>
        <w:t xml:space="preserve"> </w:t>
      </w:r>
      <w:r>
        <w:rPr>
          <w:sz w:val="24"/>
          <w:szCs w:val="24"/>
        </w:rPr>
        <w:t>According to the Cognitive Diversity Hypothesis, diversity in the workforce enhances creativity and problem-solving skills. This is due to the fact that diverse teams may bring multiple views and expertise to bear on an issue, resulting in more imaginative solutions.</w:t>
      </w:r>
      <w:r>
        <w:rPr>
          <w:sz w:val="24"/>
          <w:szCs w:val="24"/>
        </w:rPr>
        <w:t xml:space="preserve"> </w:t>
      </w:r>
      <w:r>
        <w:rPr>
          <w:sz w:val="24"/>
          <w:szCs w:val="24"/>
        </w:rPr>
        <w:t>The Similarity-Attraction Paradigm, on the other hand, suggests that individuals are attracted to others who are similar to them in terms of race, ethnicity, gender, and other variables. As team members feel more comfortable and trustworthy with one another, this may lead to better team communication and cooperation</w:t>
      </w:r>
      <w:r>
        <w:rPr>
          <w:sz w:val="24"/>
          <w:szCs w:val="24"/>
          <w:lang w:val="en-GB"/>
        </w:rPr>
        <w:t xml:space="preserve"> (Olson, Parayitam &amp; Bao, 2007).</w:t>
      </w:r>
    </w:p>
    <w:p>
      <w:pPr>
        <w:pStyle w:val="style0"/>
        <w:spacing w:lineRule="auto" w:line="480"/>
        <w:ind w:firstLine="720"/>
        <w:rPr>
          <w:sz w:val="24"/>
          <w:szCs w:val="24"/>
        </w:rPr>
      </w:pPr>
      <w:r>
        <w:rPr>
          <w:sz w:val="24"/>
          <w:szCs w:val="24"/>
        </w:rPr>
        <w:t>Depending on how they are applied, each of these ideas may have beneficial or bad consequences for an organization. If managers use the Cognitive Diversity Hypothesis to cultivate a more creative and imaginative workforce, it may result in enhanced organizational performance. However, if managers employ the Similarity-Attraction Paradigm to build more homogenous teams, it may result in lower communication and cooperation, and hence, diminished performance.</w:t>
      </w:r>
    </w:p>
    <w:p>
      <w:pPr>
        <w:pStyle w:val="style0"/>
        <w:spacing w:lineRule="auto" w:line="480"/>
        <w:rPr>
          <w:b/>
          <w:bCs/>
          <w:sz w:val="24"/>
          <w:szCs w:val="24"/>
        </w:rPr>
      </w:pPr>
      <w:r>
        <w:rPr>
          <w:b/>
          <w:bCs/>
          <w:sz w:val="24"/>
          <w:szCs w:val="24"/>
        </w:rPr>
        <w:t>Describe the benefits and problems of diversity in the workplace by addressing the following:</w:t>
      </w:r>
    </w:p>
    <w:p>
      <w:pPr>
        <w:pStyle w:val="style0"/>
        <w:spacing w:lineRule="auto" w:line="480"/>
        <w:ind w:firstLine="720"/>
        <w:rPr>
          <w:sz w:val="24"/>
          <w:szCs w:val="24"/>
        </w:rPr>
      </w:pPr>
      <w:r>
        <w:rPr>
          <w:sz w:val="24"/>
          <w:szCs w:val="24"/>
        </w:rPr>
        <w:t>A diverse</w:t>
      </w:r>
      <w:r>
        <w:rPr>
          <w:sz w:val="24"/>
          <w:szCs w:val="24"/>
        </w:rPr>
        <w:t> workforce consists of workers with various backgrounds and experiences. Diversity in the workplace may provide several benefits for firms, including improved marketing abilities, higher creativity, and expanded problem-solving skills.</w:t>
      </w:r>
      <w:r>
        <w:rPr>
          <w:sz w:val="24"/>
          <w:szCs w:val="24"/>
        </w:rPr>
        <w:t xml:space="preserve"> </w:t>
      </w:r>
      <w:r>
        <w:rPr>
          <w:sz w:val="24"/>
          <w:szCs w:val="24"/>
        </w:rPr>
        <w:t xml:space="preserve">One of </w:t>
      </w:r>
      <w:r>
        <w:rPr>
          <w:sz w:val="24"/>
          <w:szCs w:val="24"/>
        </w:rPr>
        <w:t>the primary benefits of a diverse</w:t>
      </w:r>
      <w:r>
        <w:rPr>
          <w:sz w:val="24"/>
          <w:szCs w:val="24"/>
        </w:rPr>
        <w:t xml:space="preserve"> staff is that firms can sell themselves more effectively to a broader group of customers. This is due to the fact that personnel with diverse backgrounds and experiences </w:t>
      </w:r>
      <w:r>
        <w:rPr>
          <w:sz w:val="24"/>
          <w:szCs w:val="24"/>
        </w:rPr>
        <w:t>may provide unique viewpoints to the marketing and advertising process. They may be able to develop more innovative and successful marketing methods that appeal to a wider audience. Furthermore, a diverse staff may help firms look more open and inclusive, which can increase the likelihood that new consumers and clients would do business with them.</w:t>
      </w:r>
      <w:r>
        <w:rPr>
          <w:sz w:val="24"/>
          <w:szCs w:val="24"/>
        </w:rPr>
        <w:t xml:space="preserve"> </w:t>
      </w:r>
      <w:r>
        <w:rPr>
          <w:sz w:val="24"/>
          <w:szCs w:val="24"/>
        </w:rPr>
        <w:t>Another benefit of workplace diversity is that it may foster innovation. When individuals with diverse backgrounds and experiences collaborate, they may provide a wide range of ideas and viewpoints. This may result in more imaginative and creative problem-solving. In addition, a varied workforce may encourage individuals to think creatively and provide fresh and unique ideas.</w:t>
      </w:r>
    </w:p>
    <w:p>
      <w:pPr>
        <w:pStyle w:val="style0"/>
        <w:spacing w:lineRule="auto" w:line="480"/>
        <w:ind w:firstLine="720"/>
        <w:rPr>
          <w:sz w:val="24"/>
          <w:szCs w:val="24"/>
        </w:rPr>
      </w:pPr>
      <w:r>
        <w:rPr>
          <w:sz w:val="24"/>
          <w:szCs w:val="24"/>
        </w:rPr>
        <w:t>Diversity in the workplace may also improve problem-solving. This is due to the fact that personnel with diverse backgrounds and experiences may provide unique views on issues and possible solutions. Diverse viewpoints may aid organizations in finding the optimal solution to an issue</w:t>
      </w:r>
      <w:r>
        <w:rPr>
          <w:sz w:val="24"/>
          <w:szCs w:val="24"/>
          <w:lang w:val="en-GB"/>
        </w:rPr>
        <w:t xml:space="preserve"> (Goldberg, 2005)</w:t>
      </w:r>
      <w:r>
        <w:rPr>
          <w:sz w:val="24"/>
          <w:szCs w:val="24"/>
        </w:rPr>
        <w:t>.</w:t>
      </w:r>
      <w:r>
        <w:rPr>
          <w:sz w:val="24"/>
          <w:szCs w:val="24"/>
        </w:rPr>
        <w:t xml:space="preserve"> </w:t>
      </w:r>
    </w:p>
    <w:p>
      <w:pPr>
        <w:pStyle w:val="style0"/>
        <w:spacing w:lineRule="auto" w:line="480"/>
        <w:rPr>
          <w:b/>
          <w:bCs/>
          <w:sz w:val="24"/>
          <w:szCs w:val="24"/>
        </w:rPr>
      </w:pPr>
      <w:r>
        <w:rPr>
          <w:b/>
          <w:bCs/>
          <w:sz w:val="24"/>
          <w:szCs w:val="24"/>
        </w:rPr>
        <w:t>Would Whirlpool's policy adequately protect you from this form of discrimination if you were an employee? Provide an explanation as to why or why not.</w:t>
      </w:r>
    </w:p>
    <w:p>
      <w:pPr>
        <w:pStyle w:val="style0"/>
        <w:spacing w:lineRule="auto" w:line="480"/>
        <w:ind w:firstLine="720"/>
        <w:rPr>
          <w:sz w:val="24"/>
          <w:szCs w:val="24"/>
        </w:rPr>
      </w:pPr>
      <w:r>
        <w:rPr>
          <w:sz w:val="24"/>
          <w:szCs w:val="24"/>
        </w:rPr>
        <w:t xml:space="preserve">The U.S. Equal Employment Opportunity Commission (EEOC) is responsible for enforcing federal laws that prohibit discrimination against job applicants and employees based </w:t>
      </w:r>
      <w:r>
        <w:rPr>
          <w:sz w:val="24"/>
          <w:szCs w:val="24"/>
        </w:rPr>
        <w:t>on race, color, religion, sex (including pregnancy, gender identity, and sexual orientation), national origin, age (40 or older), disability, or genetic information. It is also unlawful to discriminate against a person because he or she complained about discrimination, filed a charge of discrimination, or In accordance with its Non-Discrimination and Anti-Harassment Policy, Whirlpool Corporation does not tolerate harassment or discrimination of any kind, including but not limited to, that based on a person's race, color, religion, sex, pregnancy, gender identity, sexual orientation, national origin, age, disability, genetic information, or any other trait protected by federal, state, or local law. All aspects of the employment relationship, such as recruitment, advancement, reprimand, reassignment, dismissal, pay, and benefits, are covered by this policy.</w:t>
      </w:r>
      <w:r>
        <w:rPr>
          <w:sz w:val="24"/>
          <w:szCs w:val="24"/>
        </w:rPr>
        <w:t xml:space="preserve"> </w:t>
      </w:r>
      <w:r>
        <w:rPr>
          <w:sz w:val="24"/>
          <w:szCs w:val="24"/>
          <w:lang w:val="en-GB"/>
        </w:rPr>
        <w:t xml:space="preserve">Whirlpool's policy prohibits discrimination and harassment based on race, </w:t>
      </w:r>
      <w:r>
        <w:rPr>
          <w:sz w:val="24"/>
          <w:szCs w:val="24"/>
          <w:lang w:val="en-GB"/>
        </w:rPr>
        <w:t>color</w:t>
      </w:r>
      <w:r>
        <w:rPr>
          <w:sz w:val="24"/>
          <w:szCs w:val="24"/>
          <w:lang w:val="en-GB"/>
        </w:rPr>
        <w:t>, religion, sex, pregnancy, or national origin against any employee or applicant for employment would provide enough protection against this kind of discrimination.</w:t>
      </w:r>
    </w:p>
    <w:p>
      <w:pPr>
        <w:pStyle w:val="style0"/>
        <w:spacing w:lineRule="auto" w:line="480"/>
        <w:rPr>
          <w:b/>
          <w:bCs/>
          <w:sz w:val="24"/>
          <w:szCs w:val="24"/>
        </w:rPr>
      </w:pPr>
      <w:r>
        <w:rPr>
          <w:b/>
          <w:bCs/>
          <w:sz w:val="24"/>
          <w:szCs w:val="24"/>
        </w:rPr>
        <w:t>Examine the U.S. Equal Employment Opportunity Commission section on "Harassment."</w:t>
      </w:r>
      <w:r>
        <w:rPr>
          <w:b/>
          <w:bCs/>
          <w:sz w:val="24"/>
          <w:szCs w:val="24"/>
          <w:lang w:val="en-GB"/>
        </w:rPr>
        <w:t>Next, e</w:t>
      </w:r>
      <w:r>
        <w:rPr>
          <w:b/>
          <w:bCs/>
          <w:sz w:val="24"/>
          <w:szCs w:val="24"/>
        </w:rPr>
        <w:t>xamine</w:t>
      </w:r>
      <w:r>
        <w:rPr>
          <w:b/>
          <w:bCs/>
          <w:sz w:val="24"/>
          <w:szCs w:val="24"/>
        </w:rPr>
        <w:t xml:space="preserve"> the Whirlpool Non-Discrimination and Anti-Harassment Policy and explain how this sort of conduct is addressed. Would Whirlpool's policy adequately protect you from this form of discrimination if you were an employee? Provide an explanation as to why or why not.</w:t>
      </w:r>
    </w:p>
    <w:p>
      <w:pPr>
        <w:pStyle w:val="style0"/>
        <w:spacing w:lineRule="auto" w:line="480"/>
        <w:ind w:firstLine="720"/>
        <w:rPr>
          <w:sz w:val="24"/>
          <w:szCs w:val="24"/>
        </w:rPr>
      </w:pPr>
      <w:r>
        <w:rPr>
          <w:sz w:val="24"/>
          <w:szCs w:val="24"/>
        </w:rPr>
        <w:t>The U.S. Equal Employment Opportunity Commission (EEOC) is responsible for enforcing federal laws that prohibit discrimination against job applicants and employees based on race, color, religion, sex (including pregnancy, gender identity, and sexual orientation), national origin, age (40 or older), disability, or genetic information.</w:t>
      </w:r>
      <w:r>
        <w:rPr>
          <w:sz w:val="24"/>
          <w:szCs w:val="24"/>
        </w:rPr>
        <w:t xml:space="preserve"> </w:t>
      </w:r>
      <w:r>
        <w:rPr>
          <w:sz w:val="24"/>
          <w:szCs w:val="24"/>
        </w:rPr>
        <w:t>It is also unlawful to discriminate against a person because he or she complained about discrimination, filed a charge of discrimination, or participated in an inquiry or litigation about job discrimination.</w:t>
      </w:r>
      <w:r>
        <w:rPr>
          <w:sz w:val="24"/>
          <w:szCs w:val="24"/>
        </w:rPr>
        <w:t>The Equal Employment Opportunity Commission examines allegations of discrimination and seeks to settle them via conciliation, mediation, and litigation.</w:t>
      </w:r>
      <w:r>
        <w:rPr>
          <w:sz w:val="24"/>
          <w:szCs w:val="24"/>
        </w:rPr>
        <w:t xml:space="preserve"> </w:t>
      </w:r>
      <w:r>
        <w:rPr>
          <w:sz w:val="24"/>
          <w:szCs w:val="24"/>
        </w:rPr>
        <w:t xml:space="preserve">Whirlpool has a policy in place </w:t>
      </w:r>
      <w:r>
        <w:rPr>
          <w:sz w:val="24"/>
          <w:szCs w:val="24"/>
        </w:rPr>
        <w:t xml:space="preserve">that </w:t>
      </w:r>
      <w:r>
        <w:rPr>
          <w:sz w:val="24"/>
          <w:szCs w:val="24"/>
        </w:rPr>
        <w:t>outlaws</w:t>
      </w:r>
      <w:r>
        <w:rPr>
          <w:sz w:val="24"/>
          <w:szCs w:val="24"/>
        </w:rPr>
        <w:t xml:space="preserve"> discrimination and harassment on the basis of legally protected characteristics, including but not limited to race, color, religion, sex, national origin, age, disability, and genetic information.</w:t>
      </w:r>
      <w:r>
        <w:rPr>
          <w:sz w:val="24"/>
          <w:szCs w:val="24"/>
        </w:rPr>
        <w:t xml:space="preserve"> </w:t>
      </w:r>
      <w:r>
        <w:rPr>
          <w:sz w:val="24"/>
          <w:szCs w:val="24"/>
          <w:lang w:val="en-GB"/>
        </w:rPr>
        <w:t>The whole employment lifecycle is covered by this policy: application, interview, offer, probation, advancement, reprimand, reassignment, dismissal, pay, benefits, and professional developmen</w:t>
      </w:r>
      <w:r>
        <w:rPr>
          <w:sz w:val="24"/>
          <w:szCs w:val="24"/>
          <w:lang w:val="en-GB"/>
        </w:rPr>
        <w:t>t</w:t>
      </w:r>
      <w:r>
        <w:rPr>
          <w:sz w:val="24"/>
          <w:szCs w:val="24"/>
          <w:lang w:val="en-GB"/>
        </w:rPr>
        <w:t xml:space="preserve"> </w:t>
      </w:r>
      <w:r>
        <w:rPr>
          <w:sz w:val="24"/>
          <w:szCs w:val="24"/>
          <w:lang w:val="en-GB"/>
        </w:rPr>
        <w:t>(</w:t>
      </w:r>
      <w:r>
        <w:rPr>
          <w:sz w:val="24"/>
          <w:szCs w:val="24"/>
          <w:lang w:val="en-GB"/>
        </w:rPr>
        <w:t>Vi</w:t>
      </w:r>
      <w:r>
        <w:rPr>
          <w:sz w:val="24"/>
          <w:szCs w:val="24"/>
          <w:lang w:val="en-GB"/>
        </w:rPr>
        <w:t>ctor, Thacker, Gary, Pawluk &amp; Copolillo, 2016). T</w:t>
      </w:r>
      <w:r>
        <w:rPr>
          <w:sz w:val="24"/>
          <w:szCs w:val="24"/>
        </w:rPr>
        <w:t>he policy also forbids retaliation against workers who file discrimination complaints or assist in discrimination investigations.</w:t>
      </w:r>
    </w:p>
    <w:p>
      <w:pPr>
        <w:pStyle w:val="style0"/>
        <w:spacing w:lineRule="auto" w:line="480"/>
        <w:ind w:firstLine="720"/>
        <w:rPr>
          <w:sz w:val="24"/>
          <w:szCs w:val="24"/>
        </w:rPr>
      </w:pPr>
      <w:r>
        <w:rPr>
          <w:sz w:val="24"/>
          <w:szCs w:val="24"/>
        </w:rPr>
        <w:t xml:space="preserve">I </w:t>
      </w:r>
      <w:r>
        <w:rPr>
          <w:sz w:val="24"/>
          <w:szCs w:val="24"/>
          <w:lang w:val="en-GB"/>
        </w:rPr>
        <w:t>believe</w:t>
      </w:r>
      <w:r>
        <w:rPr>
          <w:sz w:val="24"/>
          <w:szCs w:val="24"/>
          <w:lang w:val="en-GB"/>
        </w:rPr>
        <w:t xml:space="preserve"> </w:t>
      </w:r>
      <w:r>
        <w:rPr>
          <w:sz w:val="24"/>
          <w:szCs w:val="24"/>
        </w:rPr>
        <w:t>Whirlpool's policy would adequately protect you from this form of discrimination if you were an employee. The policy is straightforward and comprehensive, and it addresses all federally protected qualities. In addition, the policy forbids retribution, which is crucial given that workers who complain about discrimination or cooperate in an inquiry are often subject to reprisal.</w:t>
      </w: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ind w:firstLine="720"/>
        <w:rPr>
          <w:sz w:val="24"/>
          <w:szCs w:val="24"/>
        </w:rPr>
      </w:pPr>
    </w:p>
    <w:p>
      <w:pPr>
        <w:pStyle w:val="style0"/>
        <w:spacing w:lineRule="auto" w:line="480"/>
        <w:rPr>
          <w:sz w:val="24"/>
          <w:szCs w:val="24"/>
        </w:rPr>
      </w:pPr>
    </w:p>
    <w:p>
      <w:pPr>
        <w:pStyle w:val="style0"/>
        <w:spacing w:lineRule="auto" w:line="480"/>
        <w:ind w:firstLine="720"/>
        <w:jc w:val="center"/>
        <w:rPr>
          <w:sz w:val="24"/>
          <w:szCs w:val="24"/>
        </w:rPr>
      </w:pPr>
      <w:r>
        <w:rPr>
          <w:sz w:val="24"/>
          <w:szCs w:val="24"/>
        </w:rPr>
        <w:t>References</w:t>
      </w:r>
    </w:p>
    <w:p>
      <w:pPr>
        <w:pStyle w:val="style0"/>
        <w:spacing w:lineRule="auto" w:line="480"/>
        <w:jc w:val="left"/>
        <w:rPr>
          <w:rFonts w:ascii="Arial" w:cs="Arial" w:hAnsi="Arial"/>
          <w:color w:val="222222"/>
          <w:sz w:val="20"/>
          <w:shd w:val="clear" w:color="auto" w:fill="ffffff"/>
        </w:rPr>
      </w:pPr>
      <w:r>
        <w:rPr>
          <w:rFonts w:ascii="Arial" w:cs="Arial" w:hAnsi="Arial"/>
          <w:color w:val="222222"/>
          <w:sz w:val="20"/>
          <w:shd w:val="clear" w:color="auto" w:fill="ffffff"/>
        </w:rPr>
        <w:t>Chang, E. (2006). Individual pay for performance and commitment HR practices in South Korea. </w:t>
      </w:r>
      <w:r>
        <w:rPr>
          <w:rFonts w:ascii="Arial" w:cs="Arial" w:hAnsi="Arial"/>
          <w:i/>
          <w:iCs/>
          <w:color w:val="222222"/>
          <w:sz w:val="20"/>
          <w:shd w:val="clear" w:color="auto" w:fill="ffffff"/>
        </w:rPr>
        <w:t>Journal of World Business</w:t>
      </w:r>
      <w:r>
        <w:rPr>
          <w:rFonts w:ascii="Arial" w:cs="Arial" w:hAnsi="Arial"/>
          <w:color w:val="222222"/>
          <w:sz w:val="20"/>
          <w:shd w:val="clear" w:color="auto" w:fill="ffffff"/>
        </w:rPr>
        <w:t>, </w:t>
      </w:r>
      <w:r>
        <w:rPr>
          <w:rFonts w:ascii="Arial" w:cs="Arial" w:hAnsi="Arial"/>
          <w:i/>
          <w:iCs/>
          <w:color w:val="222222"/>
          <w:sz w:val="20"/>
          <w:shd w:val="clear" w:color="auto" w:fill="ffffff"/>
        </w:rPr>
        <w:t>41</w:t>
      </w:r>
      <w:r>
        <w:rPr>
          <w:rFonts w:ascii="Arial" w:cs="Arial" w:hAnsi="Arial"/>
          <w:color w:val="222222"/>
          <w:sz w:val="20"/>
          <w:shd w:val="clear" w:color="auto" w:fill="ffffff"/>
        </w:rPr>
        <w:t>(4), 368-381.</w:t>
      </w:r>
    </w:p>
    <w:p>
      <w:pPr>
        <w:pStyle w:val="style0"/>
        <w:spacing w:lineRule="auto" w:line="480"/>
        <w:jc w:val="left"/>
        <w:rPr>
          <w:rFonts w:ascii="Arial" w:cs="Arial" w:hAnsi="Arial"/>
          <w:color w:val="222222"/>
          <w:sz w:val="20"/>
          <w:shd w:val="clear" w:color="auto" w:fill="ffffff"/>
        </w:rPr>
      </w:pPr>
      <w:r>
        <w:rPr>
          <w:rFonts w:cs="Arial" w:hAnsi="Arial"/>
          <w:color w:val="222222"/>
          <w:sz w:val="20"/>
          <w:shd w:val="clear" w:color="auto" w:fill="ffffff"/>
          <w:lang w:val="en-GB"/>
        </w:rPr>
        <w:t>Goldberg, C. B. (2005). Relational demography and similarity-attraction in interview assessments and subsequent offer decisions: Are we missing something?. Group &amp; Organization Management, 30(6), 597-624.</w:t>
      </w:r>
    </w:p>
    <w:p>
      <w:pPr>
        <w:pStyle w:val="style0"/>
        <w:spacing w:lineRule="auto" w:line="480"/>
        <w:jc w:val="left"/>
        <w:rPr>
          <w:rFonts w:ascii="Arial" w:cs="Arial" w:hAnsi="Arial"/>
          <w:color w:val="222222"/>
          <w:sz w:val="20"/>
          <w:shd w:val="clear" w:color="auto" w:fill="ffffff"/>
        </w:rPr>
      </w:pPr>
      <w:r>
        <w:rPr>
          <w:rFonts w:ascii="Arial" w:cs="Arial" w:hAnsi="Arial"/>
          <w:color w:val="222222"/>
          <w:sz w:val="20"/>
          <w:shd w:val="clear" w:color="auto" w:fill="ffffff"/>
        </w:rPr>
        <w:t>Lyons, F. H., &amp; Ben-</w:t>
      </w:r>
      <w:r>
        <w:rPr>
          <w:rFonts w:ascii="Arial" w:cs="Arial" w:hAnsi="Arial"/>
          <w:color w:val="222222"/>
          <w:sz w:val="20"/>
          <w:shd w:val="clear" w:color="auto" w:fill="ffffff"/>
        </w:rPr>
        <w:t>Ora</w:t>
      </w:r>
      <w:r>
        <w:rPr>
          <w:rFonts w:ascii="Arial" w:cs="Arial" w:hAnsi="Arial"/>
          <w:color w:val="222222"/>
          <w:sz w:val="20"/>
          <w:shd w:val="clear" w:color="auto" w:fill="ffffff"/>
        </w:rPr>
        <w:t>, D. (2002). Total rewards strategy: The best foundation of pay for performance. </w:t>
      </w:r>
      <w:r>
        <w:rPr>
          <w:rFonts w:ascii="Arial" w:cs="Arial" w:hAnsi="Arial"/>
          <w:i/>
          <w:iCs/>
          <w:color w:val="222222"/>
          <w:sz w:val="20"/>
          <w:shd w:val="clear" w:color="auto" w:fill="ffffff"/>
        </w:rPr>
        <w:t>Compensation &amp; Benefits Review</w:t>
      </w:r>
      <w:r>
        <w:rPr>
          <w:rFonts w:ascii="Arial" w:cs="Arial" w:hAnsi="Arial"/>
          <w:color w:val="222222"/>
          <w:sz w:val="20"/>
          <w:shd w:val="clear" w:color="auto" w:fill="ffffff"/>
        </w:rPr>
        <w:t>, </w:t>
      </w:r>
      <w:r>
        <w:rPr>
          <w:rFonts w:ascii="Arial" w:cs="Arial" w:hAnsi="Arial"/>
          <w:i/>
          <w:iCs/>
          <w:color w:val="222222"/>
          <w:sz w:val="20"/>
          <w:shd w:val="clear" w:color="auto" w:fill="ffffff"/>
        </w:rPr>
        <w:t>34</w:t>
      </w:r>
      <w:r>
        <w:rPr>
          <w:rFonts w:ascii="Arial" w:cs="Arial" w:hAnsi="Arial"/>
          <w:color w:val="222222"/>
          <w:sz w:val="20"/>
          <w:shd w:val="clear" w:color="auto" w:fill="ffffff"/>
        </w:rPr>
        <w:t>(2), 34-40.</w:t>
      </w:r>
    </w:p>
    <w:p>
      <w:pPr>
        <w:pStyle w:val="style0"/>
        <w:spacing w:lineRule="auto" w:line="480"/>
        <w:jc w:val="left"/>
        <w:rPr>
          <w:rFonts w:cs="Arial" w:hAnsi="Arial"/>
          <w:color w:val="222222"/>
          <w:sz w:val="20"/>
          <w:shd w:val="clear" w:color="auto" w:fill="ffffff"/>
          <w:lang w:val="en-GB"/>
        </w:rPr>
      </w:pPr>
      <w:r>
        <w:rPr>
          <w:rFonts w:ascii="Arial" w:cs="Arial" w:hAnsi="Arial"/>
          <w:color w:val="222222"/>
          <w:sz w:val="20"/>
          <w:shd w:val="clear" w:color="auto" w:fill="ffffff"/>
        </w:rPr>
        <w:t xml:space="preserve">Olson, B. J., </w:t>
      </w:r>
      <w:r>
        <w:rPr>
          <w:rFonts w:ascii="Arial" w:cs="Arial" w:hAnsi="Arial"/>
          <w:color w:val="222222"/>
          <w:sz w:val="20"/>
          <w:shd w:val="clear" w:color="auto" w:fill="ffffff"/>
        </w:rPr>
        <w:t>Parayitam</w:t>
      </w:r>
      <w:r>
        <w:rPr>
          <w:rFonts w:ascii="Arial" w:cs="Arial" w:hAnsi="Arial"/>
          <w:color w:val="222222"/>
          <w:sz w:val="20"/>
          <w:shd w:val="clear" w:color="auto" w:fill="ffffff"/>
        </w:rPr>
        <w:t xml:space="preserve">, S., &amp; </w:t>
      </w:r>
      <w:r>
        <w:rPr>
          <w:rFonts w:ascii="Arial" w:cs="Arial" w:hAnsi="Arial"/>
          <w:color w:val="222222"/>
          <w:sz w:val="20"/>
          <w:shd w:val="clear" w:color="auto" w:fill="ffffff"/>
        </w:rPr>
        <w:t>Bao</w:t>
      </w:r>
      <w:r>
        <w:rPr>
          <w:rFonts w:ascii="Arial" w:cs="Arial" w:hAnsi="Arial"/>
          <w:color w:val="222222"/>
          <w:sz w:val="20"/>
          <w:shd w:val="clear" w:color="auto" w:fill="ffffff"/>
        </w:rPr>
        <w:t>, Y. (2007). Strategic decision making: The effects of cognitive diversity, conflict, and trust on decision outcomes. </w:t>
      </w:r>
      <w:r>
        <w:rPr>
          <w:rFonts w:ascii="Arial" w:cs="Arial" w:hAnsi="Arial"/>
          <w:i/>
          <w:iCs/>
          <w:color w:val="222222"/>
          <w:sz w:val="20"/>
          <w:shd w:val="clear" w:color="auto" w:fill="ffffff"/>
        </w:rPr>
        <w:t>Journal of management</w:t>
      </w:r>
      <w:r>
        <w:rPr>
          <w:rFonts w:ascii="Arial" w:cs="Arial" w:hAnsi="Arial"/>
          <w:color w:val="222222"/>
          <w:sz w:val="20"/>
          <w:shd w:val="clear" w:color="auto" w:fill="ffffff"/>
        </w:rPr>
        <w:t>, </w:t>
      </w:r>
      <w:r>
        <w:rPr>
          <w:rFonts w:ascii="Arial" w:cs="Arial" w:hAnsi="Arial"/>
          <w:i/>
          <w:iCs/>
          <w:color w:val="222222"/>
          <w:sz w:val="20"/>
          <w:shd w:val="clear" w:color="auto" w:fill="ffffff"/>
        </w:rPr>
        <w:t>33</w:t>
      </w:r>
      <w:r>
        <w:rPr>
          <w:rFonts w:ascii="Arial" w:cs="Arial" w:hAnsi="Arial"/>
          <w:color w:val="222222"/>
          <w:sz w:val="20"/>
          <w:shd w:val="clear" w:color="auto" w:fill="ffffff"/>
        </w:rPr>
        <w:t>(2), 196-222</w:t>
      </w:r>
      <w:r>
        <w:rPr>
          <w:rFonts w:cs="Arial" w:hAnsi="Arial"/>
          <w:color w:val="222222"/>
          <w:sz w:val="20"/>
          <w:shd w:val="clear" w:color="auto" w:fill="ffffff"/>
          <w:lang w:val="en-GB"/>
        </w:rPr>
        <w:t>.</w:t>
      </w:r>
    </w:p>
    <w:p>
      <w:pPr>
        <w:pStyle w:val="style0"/>
        <w:spacing w:lineRule="auto" w:line="480"/>
        <w:jc w:val="left"/>
        <w:rPr>
          <w:rFonts w:ascii="Arial" w:cs="Arial" w:hAnsi="Arial"/>
          <w:color w:val="222222"/>
          <w:sz w:val="20"/>
          <w:shd w:val="clear" w:color="auto" w:fill="ffffff"/>
        </w:rPr>
      </w:pPr>
      <w:r>
        <w:rPr>
          <w:rFonts w:cs="Arial" w:hAnsi="Arial"/>
          <w:color w:val="222222"/>
          <w:sz w:val="20"/>
          <w:shd w:val="clear" w:color="auto" w:fill="ffffff"/>
          <w:lang w:val="en-GB"/>
        </w:rPr>
        <w:t>Patrick, H. A., &amp; Kumar, V. R. (2012). Managing workplace diversity: Issues and challenges.</w:t>
      </w:r>
      <w:r>
        <w:rPr>
          <w:rFonts w:cs="Arial" w:hAnsi="Arial"/>
          <w:i/>
          <w:iCs/>
          <w:color w:val="222222"/>
          <w:sz w:val="20"/>
          <w:shd w:val="clear" w:color="auto" w:fill="ffffff"/>
          <w:lang w:val="en-GB"/>
        </w:rPr>
        <w:t> Sage Open</w:t>
      </w:r>
      <w:r>
        <w:rPr>
          <w:rFonts w:cs="Arial" w:hAnsi="Arial"/>
          <w:color w:val="222222"/>
          <w:sz w:val="20"/>
          <w:shd w:val="clear" w:color="auto" w:fill="ffffff"/>
          <w:lang w:val="en-GB"/>
        </w:rPr>
        <w:t>, 2(2), 2158244012444615.</w:t>
      </w:r>
    </w:p>
    <w:p>
      <w:pPr>
        <w:pStyle w:val="style0"/>
        <w:spacing w:lineRule="auto" w:line="480"/>
        <w:jc w:val="left"/>
        <w:rPr>
          <w:rFonts w:ascii="Arial" w:cs="Arial" w:hAnsi="Arial"/>
          <w:color w:val="222222"/>
          <w:sz w:val="20"/>
          <w:shd w:val="clear" w:color="auto" w:fill="ffffff"/>
        </w:rPr>
      </w:pPr>
      <w:r>
        <w:rPr>
          <w:rFonts w:ascii="Arial" w:cs="Arial" w:hAnsi="Arial"/>
          <w:color w:val="222222"/>
          <w:sz w:val="20"/>
          <w:shd w:val="clear" w:color="auto" w:fill="ffffff"/>
        </w:rPr>
        <w:t xml:space="preserve">Victor, C. M., Thacker, L. R., Gary, K. W., </w:t>
      </w:r>
      <w:r>
        <w:rPr>
          <w:rFonts w:ascii="Arial" w:cs="Arial" w:hAnsi="Arial"/>
          <w:color w:val="222222"/>
          <w:sz w:val="20"/>
          <w:shd w:val="clear" w:color="auto" w:fill="ffffff"/>
        </w:rPr>
        <w:t>Pawluk</w:t>
      </w:r>
      <w:r>
        <w:rPr>
          <w:rFonts w:ascii="Arial" w:cs="Arial" w:hAnsi="Arial"/>
          <w:color w:val="222222"/>
          <w:sz w:val="20"/>
          <w:shd w:val="clear" w:color="auto" w:fill="ffffff"/>
        </w:rPr>
        <w:t xml:space="preserve">, D. T., &amp; </w:t>
      </w:r>
      <w:r>
        <w:rPr>
          <w:rFonts w:ascii="Arial" w:cs="Arial" w:hAnsi="Arial"/>
          <w:color w:val="222222"/>
          <w:sz w:val="20"/>
          <w:shd w:val="clear" w:color="auto" w:fill="ffffff"/>
        </w:rPr>
        <w:t>Copolillo</w:t>
      </w:r>
      <w:r>
        <w:rPr>
          <w:rFonts w:ascii="Arial" w:cs="Arial" w:hAnsi="Arial"/>
          <w:color w:val="222222"/>
          <w:sz w:val="20"/>
          <w:shd w:val="clear" w:color="auto" w:fill="ffffff"/>
        </w:rPr>
        <w:t>, A. (2017). Workplace discrimination and visual impairment: A comparison of equal employment opportunity commission charges and resolutions under the Americans with Disabilities Act and Americans with Disabilities Amendments Act. </w:t>
      </w:r>
      <w:r>
        <w:rPr>
          <w:rFonts w:ascii="Arial" w:cs="Arial" w:hAnsi="Arial"/>
          <w:i/>
          <w:iCs/>
          <w:color w:val="222222"/>
          <w:sz w:val="20"/>
          <w:shd w:val="clear" w:color="auto" w:fill="ffffff"/>
        </w:rPr>
        <w:t>Journal of Visual Impairment &amp; Blindness</w:t>
      </w:r>
      <w:r>
        <w:rPr>
          <w:rFonts w:ascii="Arial" w:cs="Arial" w:hAnsi="Arial"/>
          <w:color w:val="222222"/>
          <w:sz w:val="20"/>
          <w:shd w:val="clear" w:color="auto" w:fill="ffffff"/>
        </w:rPr>
        <w:t>, </w:t>
      </w:r>
      <w:r>
        <w:rPr>
          <w:rFonts w:ascii="Arial" w:cs="Arial" w:hAnsi="Arial"/>
          <w:i/>
          <w:iCs/>
          <w:color w:val="222222"/>
          <w:sz w:val="20"/>
          <w:shd w:val="clear" w:color="auto" w:fill="ffffff"/>
        </w:rPr>
        <w:t>111</w:t>
      </w:r>
      <w:r>
        <w:rPr>
          <w:rFonts w:ascii="Arial" w:cs="Arial" w:hAnsi="Arial"/>
          <w:color w:val="222222"/>
          <w:sz w:val="20"/>
          <w:shd w:val="clear" w:color="auto" w:fill="ffffff"/>
        </w:rPr>
        <w:t>(5), 475-482.</w:t>
      </w:r>
      <w:r>
        <w:rPr>
          <w:rFonts w:ascii="Arial" w:cs="Arial" w:hAnsi="Arial"/>
          <w:color w:val="222222"/>
          <w:sz w:val="20"/>
          <w:shd w:val="clear" w:color="auto" w:fill="ffffff"/>
        </w:rPr>
        <w:t xml:space="preserve"> </w:t>
      </w:r>
    </w:p>
    <w:bookmarkStart w:id="0" w:name="_GoBack"/>
    <w:bookmarkEnd w:id="0"/>
    <w:p>
      <w:pPr>
        <w:pStyle w:val="style0"/>
        <w:spacing w:lineRule="auto" w:line="480"/>
        <w:ind w:firstLine="720"/>
        <w:jc w:val="left"/>
        <w:rPr>
          <w:sz w:val="24"/>
          <w:szCs w:val="24"/>
        </w:rPr>
      </w:pPr>
    </w:p>
    <w:sectPr>
      <w:headerReference w:type="default" r:id="rId2"/>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Arial">
    <w:altName w:val="Arial"/>
    <w:panose1 w:val="020b0604020000020204"/>
    <w:charset w:val="00"/>
    <w:family w:val="swiss"/>
    <w:pitch w:val="variable"/>
    <w:sig w:usb0="E0002EFF" w:usb1="C000785B" w:usb2="00000009" w:usb3="00000000" w:csb0="000001FF" w:csb1="00000000"/>
  </w:font>
  <w:font w:name="Cambria">
    <w:altName w:val="Cambria"/>
    <w:panose1 w:val="02040503050000030204"/>
    <w:charset w:val="00"/>
    <w:family w:val="roman"/>
    <w:pitch w:val="variable"/>
    <w:sig w:usb0="E00006FF" w:usb1="420024FF" w:usb2="02000000" w:usb3="00000000" w:csb0="0000019F" w:csb1="00000000"/>
  </w:font>
  <w:font w:name="Calibri">
    <w:altName w:val="Calibri"/>
    <w:panose1 w:val="020f0502020000030204"/>
    <w:charset w:val="00"/>
    <w:family w:val="swiss"/>
    <w:pitch w:val="variable"/>
    <w:sig w:usb0="E4002EFF" w:usb1="C000247B" w:usb2="00000009" w:usb3="00000000" w:csb0="000001FF"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jc w:val="right"/>
      <w:rPr/>
    </w:pPr>
    <w:r>
      <w:rPr/>
      <w:fldChar w:fldCharType="begin"/>
    </w:r>
    <w:r>
      <w:instrText xml:space="preserve"> PAGE   \* MERGEFORMAT </w:instrText>
    </w:r>
    <w:r>
      <w:rPr/>
      <w:fldChar w:fldCharType="separate"/>
    </w:r>
    <w:r>
      <w:rPr>
        <w:noProof/>
      </w:rPr>
      <w:t>14</w:t>
    </w:r>
    <w:r>
      <w:rPr>
        <w:noProof/>
      </w:rPr>
      <w:fldChar w:fldCharType="end"/>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plc="3ECA4F2C" w:tentative="1">
      <w:start w:val="1"/>
      <w:numFmt w:val="bullet"/>
      <w:lvlText w:val="●"/>
      <w:lvlJc w:val="left"/>
      <w:pPr>
        <w:ind w:left="720" w:hanging="360"/>
      </w:pPr>
    </w:lvl>
    <w:lvl w:ilvl="1" w:tplc="C60AF18A" w:tentative="1">
      <w:start w:val="1"/>
      <w:numFmt w:val="bullet"/>
      <w:lvlText w:val="○"/>
      <w:lvlJc w:val="left"/>
      <w:pPr>
        <w:ind w:left="1440" w:hanging="360"/>
      </w:pPr>
    </w:lvl>
    <w:lvl w:ilvl="2" w:tplc="C5D64DA0" w:tentative="1">
      <w:start w:val="1"/>
      <w:numFmt w:val="bullet"/>
      <w:lvlText w:val="■"/>
      <w:lvlJc w:val="left"/>
      <w:pPr>
        <w:ind w:left="2160" w:hanging="360"/>
      </w:pPr>
    </w:lvl>
    <w:lvl w:ilvl="3" w:tplc="67382EE4" w:tentative="1">
      <w:start w:val="1"/>
      <w:numFmt w:val="bullet"/>
      <w:lvlText w:val="●"/>
      <w:lvlJc w:val="left"/>
      <w:pPr>
        <w:ind w:left="2880" w:hanging="360"/>
      </w:pPr>
    </w:lvl>
    <w:lvl w:ilvl="4" w:tplc="662629BC" w:tentative="1">
      <w:start w:val="1"/>
      <w:numFmt w:val="bullet"/>
      <w:lvlText w:val="○"/>
      <w:lvlJc w:val="left"/>
      <w:pPr>
        <w:ind w:left="3600" w:hanging="360"/>
      </w:pPr>
    </w:lvl>
    <w:lvl w:ilvl="5" w:tplc="7F5A2A46" w:tentative="1">
      <w:start w:val="1"/>
      <w:numFmt w:val="bullet"/>
      <w:lvlText w:val="■"/>
      <w:lvlJc w:val="left"/>
      <w:pPr>
        <w:ind w:left="4320" w:hanging="360"/>
      </w:pPr>
    </w:lvl>
    <w:lvl w:ilvl="6" w:tplc="2FC29DFC" w:tentative="1">
      <w:start w:val="1"/>
      <w:numFmt w:val="bullet"/>
      <w:lvlText w:val="●"/>
      <w:lvlJc w:val="left"/>
      <w:pPr>
        <w:ind w:left="5040" w:hanging="360"/>
      </w:pPr>
    </w:lvl>
    <w:lvl w:ilvl="7" w:tplc="349496D6" w:tentative="1">
      <w:start w:val="1"/>
      <w:numFmt w:val="bullet"/>
      <w:lvlText w:val="●"/>
      <w:lvlJc w:val="left"/>
      <w:pPr>
        <w:ind w:left="5760" w:hanging="360"/>
      </w:pPr>
    </w:lvl>
    <w:lvl w:ilvl="8" w:tplc="1C2C2510" w:tentative="1">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displayBackgroundShape/>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Times New Roman" w:hAnsi="Times New Roman"/>
        <w:lang w:val="en-US" w:bidi="ar-SA" w:eastAsia="en-US"/>
      </w:rPr>
    </w:rPrDefault>
    <w:pPrDefault>
      <w:pPr/>
    </w:pPrDefault>
  </w:docDefaults>
  <w:style w:type="paragraph" w:default="1" w:styleId="style0">
    <w:name w:val="Normal"/>
    <w:next w:val="style0"/>
    <w:pPr>
      <w:jc w:val="both"/>
    </w:pPr>
    <w:rPr>
      <w:sz w:val="21"/>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62">
    <w:name w:val="Title"/>
    <w:next w:val="style62"/>
    <w:qFormat/>
    <w:pPr/>
    <w:rPr>
      <w:sz w:val="56"/>
      <w:szCs w:val="56"/>
    </w:rPr>
  </w:style>
  <w:style w:type="paragraph" w:customStyle="1" w:styleId="style4097">
    <w:name w:val="Heading 11"/>
    <w:next w:val="style4097"/>
    <w:qFormat/>
    <w:pPr/>
    <w:rPr>
      <w:color w:val="2e74b5"/>
      <w:sz w:val="32"/>
      <w:szCs w:val="32"/>
    </w:rPr>
  </w:style>
  <w:style w:type="paragraph" w:customStyle="1" w:styleId="style4098">
    <w:name w:val="Heading 21"/>
    <w:next w:val="style4098"/>
    <w:qFormat/>
    <w:pPr/>
    <w:rPr>
      <w:color w:val="2e74b5"/>
      <w:sz w:val="26"/>
      <w:szCs w:val="26"/>
    </w:rPr>
  </w:style>
  <w:style w:type="paragraph" w:customStyle="1" w:styleId="style4099">
    <w:name w:val="Heading 31"/>
    <w:next w:val="style4099"/>
    <w:qFormat/>
    <w:pPr/>
    <w:rPr>
      <w:color w:val="1f4d78"/>
      <w:sz w:val="24"/>
      <w:szCs w:val="24"/>
    </w:rPr>
  </w:style>
  <w:style w:type="paragraph" w:customStyle="1" w:styleId="style4100">
    <w:name w:val="Heading 41"/>
    <w:next w:val="style4100"/>
    <w:qFormat/>
    <w:pPr/>
    <w:rPr>
      <w:i/>
      <w:iCs/>
      <w:color w:val="2e74b5"/>
    </w:rPr>
  </w:style>
  <w:style w:type="paragraph" w:customStyle="1" w:styleId="style4101">
    <w:name w:val="Heading 51"/>
    <w:next w:val="style4101"/>
    <w:qFormat/>
    <w:pPr/>
    <w:rPr>
      <w:color w:val="2e74b5"/>
    </w:rPr>
  </w:style>
  <w:style w:type="paragraph" w:customStyle="1" w:styleId="style4102">
    <w:name w:val="Heading 61"/>
    <w:next w:val="style4102"/>
    <w:qFormat/>
    <w:pPr/>
    <w:rPr>
      <w:color w:val="1f4d78"/>
    </w:rPr>
  </w:style>
  <w:style w:type="paragraph" w:customStyle="1" w:styleId="style4103">
    <w:name w:val="Strong_3bebe069-60e4-4ac6-ace9-15152a934e1e"/>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tyle>
  <w:style w:type="character" w:customStyle="1" w:styleId="style4104">
    <w:name w:val="Footnote Text Char"/>
    <w:next w:val="style4104"/>
    <w:link w:val="style29"/>
    <w:uiPriority w:val="99"/>
    <w:rPr>
      <w:sz w:val="20"/>
      <w:szCs w:val="20"/>
    </w:rPr>
  </w:style>
  <w:style w:type="paragraph" w:styleId="style31">
    <w:name w:val="header"/>
    <w:basedOn w:val="style0"/>
    <w:next w:val="style31"/>
    <w:link w:val="style4105"/>
    <w:uiPriority w:val="99"/>
    <w:pPr>
      <w:tabs>
        <w:tab w:val="center" w:leader="none" w:pos="4680"/>
        <w:tab w:val="right" w:leader="none" w:pos="9360"/>
      </w:tabs>
    </w:pPr>
    <w:rPr/>
  </w:style>
  <w:style w:type="character" w:customStyle="1" w:styleId="style4105">
    <w:name w:val="Header Char_ce70c35c-3521-4f12-a454-8e3bae784d99"/>
    <w:basedOn w:val="style65"/>
    <w:next w:val="style4105"/>
    <w:link w:val="style31"/>
    <w:uiPriority w:val="99"/>
    <w:rPr>
      <w:sz w:val="21"/>
    </w:rPr>
  </w:style>
  <w:style w:type="paragraph" w:styleId="style32">
    <w:name w:val="footer"/>
    <w:basedOn w:val="style0"/>
    <w:next w:val="style32"/>
    <w:link w:val="style4106"/>
    <w:uiPriority w:val="99"/>
    <w:pPr>
      <w:tabs>
        <w:tab w:val="center" w:leader="none" w:pos="4680"/>
        <w:tab w:val="right" w:leader="none" w:pos="9360"/>
      </w:tabs>
    </w:pPr>
    <w:rPr/>
  </w:style>
  <w:style w:type="character" w:customStyle="1" w:styleId="style4106">
    <w:name w:val="Footer Char_46c2f698-f357-4639-87dd-11679110bbfb"/>
    <w:basedOn w:val="style65"/>
    <w:next w:val="style4106"/>
    <w:link w:val="style32"/>
    <w:uiPriority w:val="99"/>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Words>2812</Words>
  <Pages>14</Pages>
  <Characters>16442</Characters>
  <Application>WPS Office</Application>
  <DocSecurity>0</DocSecurity>
  <Paragraphs>72</Paragraphs>
  <ScaleCrop>false</ScaleCrop>
  <LinksUpToDate>false</LinksUpToDate>
  <CharactersWithSpaces>19215</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2022-10-25T14:14:14Z</dcterms:created>
  <dc:creator>Un-named</dc:creator>
  <lastModifiedBy>SM-A515F</lastModifiedBy>
  <dcterms:modified xsi:type="dcterms:W3CDTF">2022-10-25T18:41:00Z</dcterms:modified>
  <revision>33</revision>
</coreProperties>
</file>

<file path=docProps/custom.xml><?xml version="1.0" encoding="utf-8"?>
<Properties xmlns="http://schemas.openxmlformats.org/officeDocument/2006/custom-properties" xmlns:vt="http://schemas.openxmlformats.org/officeDocument/2006/docPropsVTypes"/>
</file>