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POLS 3317, Exam #1</w:t>
      </w:r>
    </w:p>
    <w:p w:rsidR="00B16512" w:rsidRPr="00735AB7" w:rsidRDefault="00B16512" w:rsidP="00735AB7">
      <w:pPr>
        <w:spacing w:after="0" w:line="480" w:lineRule="auto"/>
        <w:ind w:firstLine="284"/>
        <w:jc w:val="center"/>
        <w:rPr>
          <w:rFonts w:ascii="Times New Roman" w:hAnsi="Times New Roman" w:cs="Times New Roman"/>
          <w:b/>
          <w:sz w:val="24"/>
          <w:szCs w:val="24"/>
        </w:rPr>
      </w:pPr>
    </w:p>
    <w:p w:rsidR="00B16512" w:rsidRPr="00735AB7" w:rsidRDefault="00B16512" w:rsidP="00735AB7">
      <w:pPr>
        <w:spacing w:after="0" w:line="480" w:lineRule="auto"/>
        <w:ind w:firstLine="284"/>
        <w:jc w:val="center"/>
        <w:rPr>
          <w:rFonts w:ascii="Times New Roman" w:hAnsi="Times New Roman" w:cs="Times New Roman"/>
          <w:b/>
          <w:sz w:val="24"/>
          <w:szCs w:val="24"/>
        </w:rPr>
      </w:pPr>
    </w:p>
    <w:p w:rsidR="00B16512" w:rsidRPr="00735AB7" w:rsidRDefault="00B16512" w:rsidP="00735AB7">
      <w:pPr>
        <w:spacing w:after="0" w:line="480" w:lineRule="auto"/>
        <w:ind w:firstLine="284"/>
        <w:jc w:val="center"/>
        <w:rPr>
          <w:rFonts w:ascii="Times New Roman" w:hAnsi="Times New Roman" w:cs="Times New Roman"/>
          <w:b/>
          <w:sz w:val="24"/>
          <w:szCs w:val="24"/>
        </w:rPr>
      </w:pPr>
    </w:p>
    <w:p w:rsidR="00B16512" w:rsidRPr="00735AB7" w:rsidRDefault="006C646A" w:rsidP="00735AB7">
      <w:pPr>
        <w:spacing w:after="0" w:line="480" w:lineRule="auto"/>
        <w:ind w:firstLine="284"/>
        <w:jc w:val="center"/>
        <w:rPr>
          <w:rFonts w:ascii="Times New Roman" w:hAnsi="Times New Roman" w:cs="Times New Roman"/>
          <w:sz w:val="24"/>
          <w:szCs w:val="24"/>
        </w:rPr>
      </w:pPr>
      <w:r w:rsidRPr="00735AB7">
        <w:rPr>
          <w:rFonts w:ascii="Times New Roman" w:hAnsi="Times New Roman" w:cs="Times New Roman"/>
          <w:sz w:val="24"/>
          <w:szCs w:val="24"/>
        </w:rPr>
        <w:t xml:space="preserve">Students Name </w:t>
      </w:r>
    </w:p>
    <w:p w:rsidR="00B16512" w:rsidRPr="00735AB7" w:rsidRDefault="006C646A" w:rsidP="00735AB7">
      <w:pPr>
        <w:spacing w:after="0" w:line="480" w:lineRule="auto"/>
        <w:ind w:firstLine="284"/>
        <w:jc w:val="center"/>
        <w:rPr>
          <w:rFonts w:ascii="Times New Roman" w:hAnsi="Times New Roman" w:cs="Times New Roman"/>
          <w:sz w:val="24"/>
          <w:szCs w:val="24"/>
        </w:rPr>
      </w:pPr>
      <w:r w:rsidRPr="00735AB7">
        <w:rPr>
          <w:rFonts w:ascii="Times New Roman" w:hAnsi="Times New Roman" w:cs="Times New Roman"/>
          <w:sz w:val="24"/>
          <w:szCs w:val="24"/>
        </w:rPr>
        <w:t xml:space="preserve">Course Name </w:t>
      </w:r>
    </w:p>
    <w:p w:rsidR="00B16512" w:rsidRPr="00735AB7" w:rsidRDefault="006C646A" w:rsidP="00735AB7">
      <w:pPr>
        <w:spacing w:after="0" w:line="480" w:lineRule="auto"/>
        <w:ind w:firstLine="284"/>
        <w:jc w:val="center"/>
        <w:rPr>
          <w:rFonts w:ascii="Times New Roman" w:hAnsi="Times New Roman" w:cs="Times New Roman"/>
          <w:sz w:val="24"/>
          <w:szCs w:val="24"/>
        </w:rPr>
      </w:pPr>
      <w:r w:rsidRPr="00735AB7">
        <w:rPr>
          <w:rFonts w:ascii="Times New Roman" w:hAnsi="Times New Roman" w:cs="Times New Roman"/>
          <w:sz w:val="24"/>
          <w:szCs w:val="24"/>
        </w:rPr>
        <w:t>Institutional Affiliation</w:t>
      </w:r>
    </w:p>
    <w:p w:rsidR="00B16512" w:rsidRPr="00735AB7" w:rsidRDefault="006C646A" w:rsidP="00735AB7">
      <w:pPr>
        <w:spacing w:after="0" w:line="480" w:lineRule="auto"/>
        <w:ind w:firstLine="284"/>
        <w:jc w:val="center"/>
        <w:rPr>
          <w:rFonts w:ascii="Times New Roman" w:hAnsi="Times New Roman" w:cs="Times New Roman"/>
          <w:bCs/>
          <w:sz w:val="24"/>
          <w:szCs w:val="24"/>
        </w:rPr>
      </w:pPr>
      <w:r w:rsidRPr="00735AB7">
        <w:rPr>
          <w:rFonts w:ascii="Times New Roman" w:hAnsi="Times New Roman" w:cs="Times New Roman"/>
          <w:sz w:val="24"/>
          <w:szCs w:val="24"/>
        </w:rPr>
        <w:t>Date</w:t>
      </w:r>
    </w:p>
    <w:p w:rsidR="00B16512" w:rsidRPr="00735AB7" w:rsidRDefault="00B16512" w:rsidP="00735AB7">
      <w:pPr>
        <w:spacing w:after="0" w:line="480" w:lineRule="auto"/>
        <w:ind w:firstLine="284"/>
        <w:jc w:val="center"/>
        <w:rPr>
          <w:rFonts w:ascii="Times New Roman" w:hAnsi="Times New Roman" w:cs="Times New Roman"/>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ind w:firstLine="284"/>
        <w:jc w:val="center"/>
        <w:rPr>
          <w:rFonts w:ascii="Times New Roman" w:hAnsi="Times New Roman" w:cs="Times New Roman"/>
          <w:b/>
          <w:bCs/>
          <w:sz w:val="24"/>
          <w:szCs w:val="24"/>
        </w:rPr>
      </w:pPr>
    </w:p>
    <w:p w:rsidR="00B16512" w:rsidRPr="00735AB7" w:rsidRDefault="00B16512" w:rsidP="00735AB7">
      <w:pPr>
        <w:spacing w:after="0" w:line="480" w:lineRule="auto"/>
        <w:rPr>
          <w:rFonts w:ascii="Times New Roman" w:hAnsi="Times New Roman" w:cs="Times New Roman"/>
          <w:b/>
          <w:bCs/>
          <w:sz w:val="24"/>
          <w:szCs w:val="24"/>
        </w:rPr>
      </w:pPr>
    </w:p>
    <w:p w:rsidR="00B16512"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lastRenderedPageBreak/>
        <w:t>POLS 3317, Exam #1</w:t>
      </w:r>
    </w:p>
    <w:p w:rsidR="00FB0921" w:rsidRPr="00735AB7" w:rsidRDefault="006C646A" w:rsidP="00735AB7">
      <w:pPr>
        <w:spacing w:after="0" w:line="480" w:lineRule="auto"/>
        <w:ind w:firstLine="284"/>
        <w:jc w:val="center"/>
        <w:rPr>
          <w:rFonts w:ascii="Times New Roman" w:hAnsi="Times New Roman" w:cs="Times New Roman"/>
          <w:b/>
          <w:bCs/>
          <w:sz w:val="24"/>
          <w:szCs w:val="24"/>
        </w:rPr>
      </w:pPr>
      <w:r w:rsidRPr="00735AB7">
        <w:rPr>
          <w:rFonts w:ascii="Times New Roman" w:hAnsi="Times New Roman" w:cs="Times New Roman"/>
          <w:b/>
          <w:bCs/>
          <w:sz w:val="24"/>
          <w:szCs w:val="24"/>
        </w:rPr>
        <w:t>Short Answers</w:t>
      </w:r>
    </w:p>
    <w:p w:rsidR="00FB0921" w:rsidRPr="00735AB7" w:rsidRDefault="006C646A" w:rsidP="00735AB7">
      <w:pPr>
        <w:spacing w:after="0" w:line="480" w:lineRule="auto"/>
        <w:ind w:firstLine="284"/>
        <w:jc w:val="center"/>
        <w:rPr>
          <w:rFonts w:ascii="Times New Roman" w:hAnsi="Times New Roman" w:cs="Times New Roman"/>
          <w:sz w:val="24"/>
          <w:szCs w:val="24"/>
        </w:rPr>
      </w:pPr>
      <w:r w:rsidRPr="00735AB7">
        <w:rPr>
          <w:rFonts w:ascii="Times New Roman" w:hAnsi="Times New Roman" w:cs="Times New Roman"/>
          <w:sz w:val="24"/>
          <w:szCs w:val="24"/>
        </w:rPr>
        <w:t>1</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 xml:space="preserve">The Progressive Era was one of the eras in that political campaigns took place. Reaching out to voters using various forms </w:t>
      </w:r>
      <w:r w:rsidRPr="00735AB7">
        <w:rPr>
          <w:rFonts w:ascii="Times New Roman" w:hAnsi="Times New Roman" w:cs="Times New Roman"/>
          <w:sz w:val="24"/>
          <w:szCs w:val="24"/>
        </w:rPr>
        <w:t>of media is a characteristic of this period. It is analogous to current political campaigns, which likewise use mass media to communicate with voters</w:t>
      </w:r>
      <w:r w:rsidR="00735AB7" w:rsidRPr="00735AB7">
        <w:rPr>
          <w:rFonts w:ascii="Times New Roman" w:hAnsi="Times New Roman" w:cs="Times New Roman"/>
          <w:sz w:val="24"/>
          <w:szCs w:val="24"/>
        </w:rPr>
        <w:t xml:space="preserve">. </w:t>
      </w:r>
      <w:r w:rsidRPr="00735AB7">
        <w:rPr>
          <w:rFonts w:ascii="Times New Roman" w:hAnsi="Times New Roman" w:cs="Times New Roman"/>
          <w:sz w:val="24"/>
          <w:szCs w:val="24"/>
        </w:rPr>
        <w:t>Nevertheless, there are a few key distinctions</w:t>
      </w:r>
      <w:r w:rsidR="008C7402">
        <w:rPr>
          <w:rFonts w:ascii="Times New Roman" w:hAnsi="Times New Roman" w:cs="Times New Roman"/>
          <w:sz w:val="24"/>
          <w:szCs w:val="24"/>
        </w:rPr>
        <w:t xml:space="preserve"> </w:t>
      </w:r>
      <w:r w:rsidR="008C7402" w:rsidRPr="00735AB7">
        <w:rPr>
          <w:rFonts w:ascii="Times New Roman" w:hAnsi="Times New Roman" w:cs="Times New Roman"/>
          <w:sz w:val="24"/>
          <w:szCs w:val="24"/>
        </w:rPr>
        <w:t>(</w:t>
      </w:r>
      <w:r w:rsidR="008C7402" w:rsidRPr="00735AB7">
        <w:rPr>
          <w:rFonts w:ascii="Times New Roman" w:hAnsi="Times New Roman" w:cs="Times New Roman"/>
          <w:color w:val="222222"/>
          <w:sz w:val="24"/>
          <w:szCs w:val="24"/>
          <w:shd w:val="clear" w:color="auto" w:fill="FFFFFF"/>
        </w:rPr>
        <w:t>Connelly,</w:t>
      </w:r>
      <w:r w:rsidR="008C7402" w:rsidRPr="00735AB7">
        <w:rPr>
          <w:rFonts w:ascii="Times New Roman" w:hAnsi="Times New Roman" w:cs="Times New Roman"/>
          <w:sz w:val="24"/>
          <w:szCs w:val="24"/>
        </w:rPr>
        <w:t>2018)</w:t>
      </w:r>
      <w:r w:rsidRPr="00735AB7">
        <w:rPr>
          <w:rFonts w:ascii="Times New Roman" w:hAnsi="Times New Roman" w:cs="Times New Roman"/>
          <w:sz w:val="24"/>
          <w:szCs w:val="24"/>
        </w:rPr>
        <w:t xml:space="preserve">. Candidates did not have as much influence over their messages as they do now </w:t>
      </w:r>
      <w:r w:rsidR="00A2268A" w:rsidRPr="00735AB7">
        <w:rPr>
          <w:rFonts w:ascii="Times New Roman" w:hAnsi="Times New Roman" w:cs="Times New Roman"/>
          <w:sz w:val="24"/>
          <w:szCs w:val="24"/>
        </w:rPr>
        <w:t>comp</w:t>
      </w:r>
      <w:bookmarkStart w:id="0" w:name="_GoBack"/>
      <w:bookmarkEnd w:id="0"/>
      <w:r w:rsidR="00A2268A" w:rsidRPr="00735AB7">
        <w:rPr>
          <w:rFonts w:ascii="Times New Roman" w:hAnsi="Times New Roman" w:cs="Times New Roman"/>
          <w:sz w:val="24"/>
          <w:szCs w:val="24"/>
        </w:rPr>
        <w:t>are</w:t>
      </w:r>
      <w:r w:rsidR="001F31CC">
        <w:rPr>
          <w:rFonts w:ascii="Times New Roman" w:hAnsi="Times New Roman" w:cs="Times New Roman"/>
          <w:sz w:val="24"/>
          <w:szCs w:val="24"/>
        </w:rPr>
        <w:t>d to the Progressive Era, f</w:t>
      </w:r>
      <w:r w:rsidRPr="00735AB7">
        <w:rPr>
          <w:rFonts w:ascii="Times New Roman" w:hAnsi="Times New Roman" w:cs="Times New Roman"/>
          <w:sz w:val="24"/>
          <w:szCs w:val="24"/>
        </w:rPr>
        <w:t>or instance, they could not select the photographs or stories about themselves that were published in the local newspaper. Candidates may now h</w:t>
      </w:r>
      <w:r w:rsidRPr="00735AB7">
        <w:rPr>
          <w:rFonts w:ascii="Times New Roman" w:hAnsi="Times New Roman" w:cs="Times New Roman"/>
          <w:sz w:val="24"/>
          <w:szCs w:val="24"/>
        </w:rPr>
        <w:t>ave greater control over their messaging by selecting which photographs and articles are published on their website or social media platforms.</w:t>
      </w:r>
    </w:p>
    <w:p w:rsidR="00FB0921"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2</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In the past, only white men were permitted to vote in the United States, which was one of the voting restrictio</w:t>
      </w:r>
      <w:r w:rsidRPr="00735AB7">
        <w:rPr>
          <w:rFonts w:ascii="Times New Roman" w:hAnsi="Times New Roman" w:cs="Times New Roman"/>
          <w:sz w:val="24"/>
          <w:szCs w:val="24"/>
        </w:rPr>
        <w:t>ns that were in effect. After being ratified in 1870, the 15th Amendment removed this provision from the Constitution. Literacy tests and poll fees were two methods that were formerly used to disenfranchise potential voters in the United States</w:t>
      </w:r>
      <w:r w:rsidR="00A71C82" w:rsidRPr="00735AB7">
        <w:rPr>
          <w:rFonts w:ascii="Times New Roman" w:hAnsi="Times New Roman" w:cs="Times New Roman"/>
          <w:sz w:val="24"/>
          <w:szCs w:val="24"/>
        </w:rPr>
        <w:t xml:space="preserve"> (</w:t>
      </w:r>
      <w:r w:rsidR="00A71C82" w:rsidRPr="00735AB7">
        <w:rPr>
          <w:rFonts w:ascii="Times New Roman" w:hAnsi="Times New Roman" w:cs="Times New Roman"/>
          <w:color w:val="222222"/>
          <w:sz w:val="24"/>
          <w:szCs w:val="24"/>
          <w:shd w:val="clear" w:color="auto" w:fill="FFFFFF"/>
        </w:rPr>
        <w:t>Graham &amp; Svolik,2020)</w:t>
      </w:r>
      <w:r w:rsidRPr="00735AB7">
        <w:rPr>
          <w:rFonts w:ascii="Times New Roman" w:hAnsi="Times New Roman" w:cs="Times New Roman"/>
          <w:sz w:val="24"/>
          <w:szCs w:val="24"/>
        </w:rPr>
        <w:t>. These voting restrictions are no longer in use. The Voting Rights Act of 1965 stopped this stipulation, which had previously been in place.</w:t>
      </w:r>
    </w:p>
    <w:p w:rsidR="00FB0921"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3</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Off-cycle elections often have a lower voter turnout than those held during presidential or midterm e</w:t>
      </w:r>
      <w:r w:rsidRPr="00735AB7">
        <w:rPr>
          <w:rFonts w:ascii="Times New Roman" w:hAnsi="Times New Roman" w:cs="Times New Roman"/>
          <w:sz w:val="24"/>
          <w:szCs w:val="24"/>
        </w:rPr>
        <w:t>lections. It is because people are less likely to vote in off-cycle elections. It is because, during significant election cycles, individuals are often more interested in politics and actively participate in political activities. On the other hand, this do</w:t>
      </w:r>
      <w:r w:rsidRPr="00735AB7">
        <w:rPr>
          <w:rFonts w:ascii="Times New Roman" w:hAnsi="Times New Roman" w:cs="Times New Roman"/>
          <w:sz w:val="24"/>
          <w:szCs w:val="24"/>
        </w:rPr>
        <w:t>es not inevitably imply that off-cycle elections have any less weight or sway than regular elections. Even though they receive less attention from the general public and the media, state and municipal elections often have the potential to significantly inf</w:t>
      </w:r>
      <w:r w:rsidRPr="00735AB7">
        <w:rPr>
          <w:rFonts w:ascii="Times New Roman" w:hAnsi="Times New Roman" w:cs="Times New Roman"/>
          <w:sz w:val="24"/>
          <w:szCs w:val="24"/>
        </w:rPr>
        <w:t>luence the lives of the voters who participate in them.</w:t>
      </w:r>
    </w:p>
    <w:p w:rsidR="00FB0921"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4</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The survey has a margin of error of 4.3 percentage points, p</w:t>
      </w:r>
      <w:r w:rsidR="00AE6F15">
        <w:rPr>
          <w:rFonts w:ascii="Times New Roman" w:hAnsi="Times New Roman" w:cs="Times New Roman"/>
          <w:sz w:val="24"/>
          <w:szCs w:val="24"/>
        </w:rPr>
        <w:t>lus or minus. If the survey was</w:t>
      </w:r>
      <w:r w:rsidRPr="00735AB7">
        <w:rPr>
          <w:rFonts w:ascii="Times New Roman" w:hAnsi="Times New Roman" w:cs="Times New Roman"/>
          <w:sz w:val="24"/>
          <w:szCs w:val="24"/>
        </w:rPr>
        <w:t xml:space="preserve"> to be taken again, the findings would have a chance of being within 4.3 percentage points of the original</w:t>
      </w:r>
      <w:r w:rsidRPr="00735AB7">
        <w:rPr>
          <w:rFonts w:ascii="Times New Roman" w:hAnsi="Times New Roman" w:cs="Times New Roman"/>
          <w:sz w:val="24"/>
          <w:szCs w:val="24"/>
        </w:rPr>
        <w:t xml:space="preserve"> results fifty percent of the time. As a result, we can deduce that 45.7% and 54.3% of respondents have indicated that they intend to vote for Kemp.</w:t>
      </w:r>
    </w:p>
    <w:p w:rsidR="00FB0921" w:rsidRPr="00735AB7" w:rsidRDefault="006C646A" w:rsidP="00735AB7">
      <w:pPr>
        <w:spacing w:after="0" w:line="480" w:lineRule="auto"/>
        <w:ind w:firstLine="284"/>
        <w:jc w:val="center"/>
        <w:rPr>
          <w:rFonts w:ascii="Times New Roman" w:hAnsi="Times New Roman" w:cs="Times New Roman"/>
          <w:sz w:val="24"/>
          <w:szCs w:val="24"/>
        </w:rPr>
      </w:pPr>
      <w:r w:rsidRPr="00735AB7">
        <w:rPr>
          <w:rFonts w:ascii="Times New Roman" w:hAnsi="Times New Roman" w:cs="Times New Roman"/>
          <w:b/>
          <w:bCs/>
          <w:sz w:val="24"/>
          <w:szCs w:val="24"/>
        </w:rPr>
        <w:t>Short Essay</w:t>
      </w:r>
    </w:p>
    <w:p w:rsidR="00FB0921"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1</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My research project for this class will focus on a challenger candidate currently in the race</w:t>
      </w:r>
      <w:r w:rsidRPr="00735AB7">
        <w:rPr>
          <w:rFonts w:ascii="Times New Roman" w:hAnsi="Times New Roman" w:cs="Times New Roman"/>
          <w:sz w:val="24"/>
          <w:szCs w:val="24"/>
        </w:rPr>
        <w:t>. It would appear that this fact is affecting their campaign approach since it is driving them to focus more on organizing partisans and their base rather than seeking to persuade independent or swing voters. The following are a few instances of things tha</w:t>
      </w:r>
      <w:r w:rsidRPr="00735AB7">
        <w:rPr>
          <w:rFonts w:ascii="Times New Roman" w:hAnsi="Times New Roman" w:cs="Times New Roman"/>
          <w:sz w:val="24"/>
          <w:szCs w:val="24"/>
        </w:rPr>
        <w:t xml:space="preserve">t the candidate or the campaign team have done </w:t>
      </w:r>
      <w:r w:rsidR="00A2268A" w:rsidRPr="00735AB7">
        <w:rPr>
          <w:rFonts w:ascii="Times New Roman" w:hAnsi="Times New Roman" w:cs="Times New Roman"/>
          <w:sz w:val="24"/>
          <w:szCs w:val="24"/>
        </w:rPr>
        <w:t>or said to support this answer:</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1. The candidate has been very vocal about their support for progressive programs, such as the Green New Deal and Medicare for All, both examples of this support.</w:t>
      </w:r>
    </w:p>
    <w:p w:rsidR="00FB0921"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 xml:space="preserve">2. The </w:t>
      </w:r>
      <w:r w:rsidRPr="00735AB7">
        <w:rPr>
          <w:rFonts w:ascii="Times New Roman" w:hAnsi="Times New Roman" w:cs="Times New Roman"/>
          <w:sz w:val="24"/>
          <w:szCs w:val="24"/>
        </w:rPr>
        <w:t>campaign's focus has been reaching out to people who may be unsatisfied with the present state of affairs and encouraging them to vote for candidates who will bring about</w:t>
      </w:r>
      <w:r w:rsidR="00A2268A" w:rsidRPr="00735AB7">
        <w:rPr>
          <w:rFonts w:ascii="Times New Roman" w:hAnsi="Times New Roman" w:cs="Times New Roman"/>
          <w:sz w:val="24"/>
          <w:szCs w:val="24"/>
        </w:rPr>
        <w:t xml:space="preserve"> change in those circumstances.</w:t>
      </w:r>
    </w:p>
    <w:p w:rsidR="00FB0921"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3</w:t>
      </w:r>
    </w:p>
    <w:p w:rsidR="003C449A" w:rsidRPr="00735AB7" w:rsidRDefault="006C646A" w:rsidP="00735AB7">
      <w:pPr>
        <w:spacing w:after="0" w:line="480" w:lineRule="auto"/>
        <w:ind w:firstLine="284"/>
        <w:jc w:val="both"/>
        <w:rPr>
          <w:rFonts w:ascii="Times New Roman" w:hAnsi="Times New Roman" w:cs="Times New Roman"/>
          <w:sz w:val="24"/>
          <w:szCs w:val="24"/>
        </w:rPr>
      </w:pPr>
      <w:r w:rsidRPr="00735AB7">
        <w:rPr>
          <w:rFonts w:ascii="Times New Roman" w:hAnsi="Times New Roman" w:cs="Times New Roman"/>
          <w:sz w:val="24"/>
          <w:szCs w:val="24"/>
        </w:rPr>
        <w:t>The practice of politicians drawing district lines i</w:t>
      </w:r>
      <w:r w:rsidRPr="00735AB7">
        <w:rPr>
          <w:rFonts w:ascii="Times New Roman" w:hAnsi="Times New Roman" w:cs="Times New Roman"/>
          <w:sz w:val="24"/>
          <w:szCs w:val="24"/>
        </w:rPr>
        <w:t>n such a way as to give themselves an advantage is known as gerrymandering. The census results establish the number of congressional districts allocated to each state. The number of congressional districts in each state is recalculated after each census th</w:t>
      </w:r>
      <w:r w:rsidRPr="00735AB7">
        <w:rPr>
          <w:rFonts w:ascii="Times New Roman" w:hAnsi="Times New Roman" w:cs="Times New Roman"/>
          <w:sz w:val="24"/>
          <w:szCs w:val="24"/>
        </w:rPr>
        <w:t>rough a procedure known as reapportionment. It allows for more districts to be assigned to states with larger populations. The process of drafting new district borders is referred to as redistricting. Partisan gerrymandering and racial gerrymandering are t</w:t>
      </w:r>
      <w:r w:rsidRPr="00735AB7">
        <w:rPr>
          <w:rFonts w:ascii="Times New Roman" w:hAnsi="Times New Roman" w:cs="Times New Roman"/>
          <w:sz w:val="24"/>
          <w:szCs w:val="24"/>
        </w:rPr>
        <w:t xml:space="preserve">oday's two primary categories </w:t>
      </w:r>
      <w:r w:rsidR="00651AA5" w:rsidRPr="00735AB7">
        <w:rPr>
          <w:rFonts w:ascii="Times New Roman" w:hAnsi="Times New Roman" w:cs="Times New Roman"/>
          <w:sz w:val="24"/>
          <w:szCs w:val="24"/>
        </w:rPr>
        <w:t>(</w:t>
      </w:r>
      <w:r w:rsidR="00651AA5" w:rsidRPr="00735AB7">
        <w:rPr>
          <w:rFonts w:ascii="Times New Roman" w:hAnsi="Times New Roman" w:cs="Times New Roman"/>
          <w:color w:val="222222"/>
          <w:sz w:val="24"/>
          <w:szCs w:val="24"/>
          <w:shd w:val="clear" w:color="auto" w:fill="FFFFFF"/>
        </w:rPr>
        <w:t>Stewart et al.,2019)</w:t>
      </w:r>
      <w:r w:rsidRPr="00735AB7">
        <w:rPr>
          <w:rFonts w:ascii="Times New Roman" w:hAnsi="Times New Roman" w:cs="Times New Roman"/>
          <w:sz w:val="24"/>
          <w:szCs w:val="24"/>
        </w:rPr>
        <w:t>. When districts favor one political party over another, this practice is known as partisan gerrymandering. When districts are created to favor one racial group over another, this practice is known as raci</w:t>
      </w:r>
      <w:r w:rsidRPr="00735AB7">
        <w:rPr>
          <w:rFonts w:ascii="Times New Roman" w:hAnsi="Times New Roman" w:cs="Times New Roman"/>
          <w:sz w:val="24"/>
          <w:szCs w:val="24"/>
        </w:rPr>
        <w:t>al gerrymandering. The Supreme Court has outlawed gerrymandering based on race, but it has not outlawed gerrymandering based on political affiliation.</w:t>
      </w:r>
    </w:p>
    <w:p w:rsidR="00B16512" w:rsidRPr="00735AB7" w:rsidRDefault="00B16512" w:rsidP="00735AB7">
      <w:pPr>
        <w:spacing w:after="0" w:line="480" w:lineRule="auto"/>
        <w:ind w:firstLine="284"/>
        <w:jc w:val="both"/>
        <w:rPr>
          <w:rFonts w:ascii="Times New Roman" w:hAnsi="Times New Roman" w:cs="Times New Roman"/>
          <w:sz w:val="24"/>
          <w:szCs w:val="24"/>
        </w:rPr>
      </w:pPr>
    </w:p>
    <w:p w:rsidR="00B16512" w:rsidRPr="00735AB7" w:rsidRDefault="00B16512" w:rsidP="00735AB7">
      <w:pPr>
        <w:spacing w:after="0" w:line="480" w:lineRule="auto"/>
        <w:ind w:firstLine="284"/>
        <w:jc w:val="both"/>
        <w:rPr>
          <w:rFonts w:ascii="Times New Roman" w:hAnsi="Times New Roman" w:cs="Times New Roman"/>
          <w:sz w:val="24"/>
          <w:szCs w:val="24"/>
        </w:rPr>
      </w:pPr>
    </w:p>
    <w:p w:rsidR="00B16512" w:rsidRDefault="00B16512"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Default="00041AD0" w:rsidP="00735AB7">
      <w:pPr>
        <w:spacing w:after="0" w:line="480" w:lineRule="auto"/>
        <w:ind w:firstLine="284"/>
        <w:jc w:val="both"/>
        <w:rPr>
          <w:rFonts w:ascii="Times New Roman" w:hAnsi="Times New Roman" w:cs="Times New Roman"/>
          <w:sz w:val="24"/>
          <w:szCs w:val="24"/>
        </w:rPr>
      </w:pPr>
    </w:p>
    <w:p w:rsidR="00041AD0" w:rsidRPr="00735AB7" w:rsidRDefault="00041AD0" w:rsidP="00735AB7">
      <w:pPr>
        <w:spacing w:after="0" w:line="480" w:lineRule="auto"/>
        <w:ind w:firstLine="284"/>
        <w:jc w:val="both"/>
        <w:rPr>
          <w:rFonts w:ascii="Times New Roman" w:hAnsi="Times New Roman" w:cs="Times New Roman"/>
          <w:sz w:val="24"/>
          <w:szCs w:val="24"/>
        </w:rPr>
      </w:pPr>
    </w:p>
    <w:p w:rsidR="00B16512" w:rsidRPr="00735AB7" w:rsidRDefault="00B16512" w:rsidP="00735AB7">
      <w:pPr>
        <w:spacing w:after="0" w:line="480" w:lineRule="auto"/>
        <w:ind w:firstLine="284"/>
        <w:jc w:val="both"/>
        <w:rPr>
          <w:rFonts w:ascii="Times New Roman" w:hAnsi="Times New Roman" w:cs="Times New Roman"/>
          <w:sz w:val="24"/>
          <w:szCs w:val="24"/>
        </w:rPr>
      </w:pPr>
    </w:p>
    <w:p w:rsidR="00B16512" w:rsidRPr="00735AB7" w:rsidRDefault="006C646A" w:rsidP="00735AB7">
      <w:pPr>
        <w:spacing w:after="0" w:line="480" w:lineRule="auto"/>
        <w:ind w:firstLine="284"/>
        <w:jc w:val="center"/>
        <w:rPr>
          <w:rFonts w:ascii="Times New Roman" w:hAnsi="Times New Roman" w:cs="Times New Roman"/>
          <w:b/>
          <w:sz w:val="24"/>
          <w:szCs w:val="24"/>
        </w:rPr>
      </w:pPr>
      <w:r w:rsidRPr="00735AB7">
        <w:rPr>
          <w:rFonts w:ascii="Times New Roman" w:hAnsi="Times New Roman" w:cs="Times New Roman"/>
          <w:b/>
          <w:sz w:val="24"/>
          <w:szCs w:val="24"/>
        </w:rPr>
        <w:t>References</w:t>
      </w:r>
    </w:p>
    <w:p w:rsidR="00041AD0" w:rsidRPr="00735AB7" w:rsidRDefault="006C646A" w:rsidP="00041AD0">
      <w:pPr>
        <w:spacing w:after="0" w:line="480" w:lineRule="auto"/>
        <w:ind w:left="284" w:hanging="284"/>
        <w:jc w:val="both"/>
        <w:rPr>
          <w:rFonts w:ascii="Times New Roman" w:hAnsi="Times New Roman" w:cs="Times New Roman"/>
          <w:sz w:val="24"/>
          <w:szCs w:val="24"/>
        </w:rPr>
      </w:pPr>
      <w:r w:rsidRPr="00735AB7">
        <w:rPr>
          <w:rFonts w:ascii="Times New Roman" w:hAnsi="Times New Roman" w:cs="Times New Roman"/>
          <w:color w:val="222222"/>
          <w:sz w:val="24"/>
          <w:szCs w:val="24"/>
          <w:shd w:val="clear" w:color="auto" w:fill="FFFFFF"/>
        </w:rPr>
        <w:t>Connelly, M. T. (2018). </w:t>
      </w:r>
      <w:r w:rsidRPr="00735AB7">
        <w:rPr>
          <w:rFonts w:ascii="Times New Roman" w:hAnsi="Times New Roman" w:cs="Times New Roman"/>
          <w:i/>
          <w:iCs/>
          <w:color w:val="222222"/>
          <w:sz w:val="24"/>
          <w:szCs w:val="24"/>
          <w:shd w:val="clear" w:color="auto" w:fill="FFFFFF"/>
        </w:rPr>
        <w:t>The response to prostitution in the progressive era</w:t>
      </w:r>
      <w:r w:rsidRPr="00735AB7">
        <w:rPr>
          <w:rFonts w:ascii="Times New Roman" w:hAnsi="Times New Roman" w:cs="Times New Roman"/>
          <w:color w:val="222222"/>
          <w:sz w:val="24"/>
          <w:szCs w:val="24"/>
          <w:shd w:val="clear" w:color="auto" w:fill="FFFFFF"/>
        </w:rPr>
        <w:t>. UNC</w:t>
      </w:r>
      <w:r w:rsidRPr="00735AB7">
        <w:rPr>
          <w:rFonts w:ascii="Times New Roman" w:hAnsi="Times New Roman" w:cs="Times New Roman"/>
          <w:color w:val="222222"/>
          <w:sz w:val="24"/>
          <w:szCs w:val="24"/>
          <w:shd w:val="clear" w:color="auto" w:fill="FFFFFF"/>
        </w:rPr>
        <w:t xml:space="preserve"> Press Books.</w:t>
      </w:r>
    </w:p>
    <w:p w:rsidR="00041AD0" w:rsidRPr="00735AB7" w:rsidRDefault="006C646A" w:rsidP="00041AD0">
      <w:pPr>
        <w:spacing w:after="0" w:line="480" w:lineRule="auto"/>
        <w:ind w:left="284" w:hanging="284"/>
        <w:jc w:val="both"/>
        <w:rPr>
          <w:rFonts w:ascii="Times New Roman" w:hAnsi="Times New Roman" w:cs="Times New Roman"/>
          <w:color w:val="222222"/>
          <w:sz w:val="24"/>
          <w:szCs w:val="24"/>
          <w:shd w:val="clear" w:color="auto" w:fill="FFFFFF"/>
        </w:rPr>
      </w:pPr>
      <w:r w:rsidRPr="00735AB7">
        <w:rPr>
          <w:rFonts w:ascii="Times New Roman" w:hAnsi="Times New Roman" w:cs="Times New Roman"/>
          <w:color w:val="222222"/>
          <w:sz w:val="24"/>
          <w:szCs w:val="24"/>
          <w:shd w:val="clear" w:color="auto" w:fill="FFFFFF"/>
        </w:rPr>
        <w:t>Graham, M. H., &amp; Svolik, M. W. (2020). Democracy in America? Partisanship, polarization, and the robustness of support for democracy in the United States. </w:t>
      </w:r>
      <w:r w:rsidRPr="00735AB7">
        <w:rPr>
          <w:rFonts w:ascii="Times New Roman" w:hAnsi="Times New Roman" w:cs="Times New Roman"/>
          <w:i/>
          <w:iCs/>
          <w:color w:val="222222"/>
          <w:sz w:val="24"/>
          <w:szCs w:val="24"/>
          <w:shd w:val="clear" w:color="auto" w:fill="FFFFFF"/>
        </w:rPr>
        <w:t>American Political Science Review</w:t>
      </w:r>
      <w:r w:rsidRPr="00735AB7">
        <w:rPr>
          <w:rFonts w:ascii="Times New Roman" w:hAnsi="Times New Roman" w:cs="Times New Roman"/>
          <w:color w:val="222222"/>
          <w:sz w:val="24"/>
          <w:szCs w:val="24"/>
          <w:shd w:val="clear" w:color="auto" w:fill="FFFFFF"/>
        </w:rPr>
        <w:t>, </w:t>
      </w:r>
      <w:r w:rsidRPr="00735AB7">
        <w:rPr>
          <w:rFonts w:ascii="Times New Roman" w:hAnsi="Times New Roman" w:cs="Times New Roman"/>
          <w:i/>
          <w:iCs/>
          <w:color w:val="222222"/>
          <w:sz w:val="24"/>
          <w:szCs w:val="24"/>
          <w:shd w:val="clear" w:color="auto" w:fill="FFFFFF"/>
        </w:rPr>
        <w:t>114</w:t>
      </w:r>
      <w:r w:rsidRPr="00735AB7">
        <w:rPr>
          <w:rFonts w:ascii="Times New Roman" w:hAnsi="Times New Roman" w:cs="Times New Roman"/>
          <w:color w:val="222222"/>
          <w:sz w:val="24"/>
          <w:szCs w:val="24"/>
          <w:shd w:val="clear" w:color="auto" w:fill="FFFFFF"/>
        </w:rPr>
        <w:t>(2), 392-409.</w:t>
      </w:r>
    </w:p>
    <w:p w:rsidR="00041AD0" w:rsidRPr="00735AB7" w:rsidRDefault="006C646A" w:rsidP="00041AD0">
      <w:pPr>
        <w:spacing w:after="0" w:line="480" w:lineRule="auto"/>
        <w:ind w:left="284" w:hanging="284"/>
        <w:jc w:val="both"/>
        <w:rPr>
          <w:rFonts w:ascii="Times New Roman" w:hAnsi="Times New Roman" w:cs="Times New Roman"/>
          <w:color w:val="222222"/>
          <w:sz w:val="24"/>
          <w:szCs w:val="24"/>
          <w:shd w:val="clear" w:color="auto" w:fill="FFFFFF"/>
        </w:rPr>
      </w:pPr>
      <w:r w:rsidRPr="00735AB7">
        <w:rPr>
          <w:rFonts w:ascii="Times New Roman" w:hAnsi="Times New Roman" w:cs="Times New Roman"/>
          <w:color w:val="222222"/>
          <w:sz w:val="24"/>
          <w:szCs w:val="24"/>
          <w:shd w:val="clear" w:color="auto" w:fill="FFFFFF"/>
        </w:rPr>
        <w:t>Stewart, A. J., Mosleh, M., Diakono</w:t>
      </w:r>
      <w:r w:rsidRPr="00735AB7">
        <w:rPr>
          <w:rFonts w:ascii="Times New Roman" w:hAnsi="Times New Roman" w:cs="Times New Roman"/>
          <w:color w:val="222222"/>
          <w:sz w:val="24"/>
          <w:szCs w:val="24"/>
          <w:shd w:val="clear" w:color="auto" w:fill="FFFFFF"/>
        </w:rPr>
        <w:t>va, M., Arechar, A. A., Rand, D. G., &amp; Plotkin, J. B. (2019). Information gerrymandering and undemocratic decisions. </w:t>
      </w:r>
      <w:r w:rsidRPr="00735AB7">
        <w:rPr>
          <w:rFonts w:ascii="Times New Roman" w:hAnsi="Times New Roman" w:cs="Times New Roman"/>
          <w:i/>
          <w:iCs/>
          <w:color w:val="222222"/>
          <w:sz w:val="24"/>
          <w:szCs w:val="24"/>
          <w:shd w:val="clear" w:color="auto" w:fill="FFFFFF"/>
        </w:rPr>
        <w:t>Nature</w:t>
      </w:r>
      <w:r w:rsidRPr="00735AB7">
        <w:rPr>
          <w:rFonts w:ascii="Times New Roman" w:hAnsi="Times New Roman" w:cs="Times New Roman"/>
          <w:color w:val="222222"/>
          <w:sz w:val="24"/>
          <w:szCs w:val="24"/>
          <w:shd w:val="clear" w:color="auto" w:fill="FFFFFF"/>
        </w:rPr>
        <w:t>, </w:t>
      </w:r>
      <w:r w:rsidRPr="00735AB7">
        <w:rPr>
          <w:rFonts w:ascii="Times New Roman" w:hAnsi="Times New Roman" w:cs="Times New Roman"/>
          <w:i/>
          <w:iCs/>
          <w:color w:val="222222"/>
          <w:sz w:val="24"/>
          <w:szCs w:val="24"/>
          <w:shd w:val="clear" w:color="auto" w:fill="FFFFFF"/>
        </w:rPr>
        <w:t>573</w:t>
      </w:r>
      <w:r w:rsidRPr="00735AB7">
        <w:rPr>
          <w:rFonts w:ascii="Times New Roman" w:hAnsi="Times New Roman" w:cs="Times New Roman"/>
          <w:color w:val="222222"/>
          <w:sz w:val="24"/>
          <w:szCs w:val="24"/>
          <w:shd w:val="clear" w:color="auto" w:fill="FFFFFF"/>
        </w:rPr>
        <w:t>(7772), 117-121.</w:t>
      </w:r>
    </w:p>
    <w:sectPr w:rsidR="00041AD0" w:rsidRPr="00735AB7">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646A" w:rsidRDefault="006C646A">
      <w:pPr>
        <w:spacing w:after="0" w:line="240" w:lineRule="auto"/>
      </w:pPr>
      <w:r>
        <w:separator/>
      </w:r>
    </w:p>
  </w:endnote>
  <w:endnote w:type="continuationSeparator" w:id="0">
    <w:p w:rsidR="006C646A" w:rsidRDefault="006C6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646A" w:rsidRDefault="006C646A">
      <w:pPr>
        <w:spacing w:after="0" w:line="240" w:lineRule="auto"/>
      </w:pPr>
      <w:r>
        <w:separator/>
      </w:r>
    </w:p>
  </w:footnote>
  <w:footnote w:type="continuationSeparator" w:id="0">
    <w:p w:rsidR="006C646A" w:rsidRDefault="006C64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4424804"/>
      <w:docPartObj>
        <w:docPartGallery w:val="Page Numbers (Top of Page)"/>
        <w:docPartUnique/>
      </w:docPartObj>
    </w:sdtPr>
    <w:sdtEndPr>
      <w:rPr>
        <w:noProof/>
      </w:rPr>
    </w:sdtEndPr>
    <w:sdtContent>
      <w:p w:rsidR="00B16512" w:rsidRDefault="006C646A">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B16512" w:rsidRDefault="00B165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921"/>
    <w:rsid w:val="000404A9"/>
    <w:rsid w:val="00041AD0"/>
    <w:rsid w:val="001F31CC"/>
    <w:rsid w:val="003C449A"/>
    <w:rsid w:val="00503D11"/>
    <w:rsid w:val="00651AA5"/>
    <w:rsid w:val="006C646A"/>
    <w:rsid w:val="00735AB7"/>
    <w:rsid w:val="008C7402"/>
    <w:rsid w:val="009F0957"/>
    <w:rsid w:val="00A2268A"/>
    <w:rsid w:val="00A5439F"/>
    <w:rsid w:val="00A71C82"/>
    <w:rsid w:val="00AE6F15"/>
    <w:rsid w:val="00B16512"/>
    <w:rsid w:val="00B50B16"/>
    <w:rsid w:val="00C210CC"/>
    <w:rsid w:val="00D80CE3"/>
    <w:rsid w:val="00FA5804"/>
    <w:rsid w:val="00FB0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2C16F"/>
  <w15:chartTrackingRefBased/>
  <w15:docId w15:val="{3CE038B5-2887-468A-82DE-6460C4B1E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6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65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512"/>
  </w:style>
  <w:style w:type="paragraph" w:styleId="Footer">
    <w:name w:val="footer"/>
    <w:basedOn w:val="Normal"/>
    <w:link w:val="FooterChar"/>
    <w:uiPriority w:val="99"/>
    <w:unhideWhenUsed/>
    <w:rsid w:val="00B165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5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815</Words>
  <Characters>3885</Characters>
  <Application>Microsoft Office Word</Application>
  <DocSecurity>0</DocSecurity>
  <Lines>82</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2022-10-18T02:40:00Z</dcterms:created>
  <dcterms:modified xsi:type="dcterms:W3CDTF">2022-10-18T03:15:00Z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c527d91a-7ba7-489c-86de-4176eb1ea243</vt:lpwstr>
  </property>
</Properties>
</file>