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43C" w:rsidRDefault="00BF343C" w:rsidP="00560C8A">
      <w:pPr>
        <w:jc w:val="center"/>
        <w:rPr>
          <w:rFonts w:ascii="Times New Roman" w:hAnsi="Times New Roman" w:cs="Times New Roman"/>
          <w:sz w:val="24"/>
          <w:szCs w:val="24"/>
        </w:rPr>
      </w:pPr>
    </w:p>
    <w:p w:rsidR="00560C8A" w:rsidRDefault="00560C8A" w:rsidP="00560C8A">
      <w:pPr>
        <w:jc w:val="center"/>
        <w:rPr>
          <w:rFonts w:ascii="Times New Roman" w:hAnsi="Times New Roman" w:cs="Times New Roman"/>
          <w:sz w:val="24"/>
          <w:szCs w:val="24"/>
        </w:rPr>
      </w:pPr>
    </w:p>
    <w:p w:rsidR="00560C8A" w:rsidRDefault="00560C8A" w:rsidP="00560C8A">
      <w:pPr>
        <w:jc w:val="center"/>
        <w:rPr>
          <w:rFonts w:ascii="Times New Roman" w:hAnsi="Times New Roman" w:cs="Times New Roman"/>
          <w:sz w:val="24"/>
          <w:szCs w:val="24"/>
        </w:rPr>
      </w:pPr>
    </w:p>
    <w:p w:rsidR="00560C8A" w:rsidRDefault="00560C8A" w:rsidP="00560C8A">
      <w:pPr>
        <w:jc w:val="center"/>
        <w:rPr>
          <w:rFonts w:ascii="Times New Roman" w:hAnsi="Times New Roman" w:cs="Times New Roman"/>
          <w:sz w:val="24"/>
          <w:szCs w:val="24"/>
        </w:rPr>
      </w:pPr>
    </w:p>
    <w:p w:rsidR="00560C8A" w:rsidRDefault="00560C8A" w:rsidP="00560C8A">
      <w:pPr>
        <w:jc w:val="center"/>
        <w:rPr>
          <w:rFonts w:ascii="Times New Roman" w:hAnsi="Times New Roman" w:cs="Times New Roman"/>
          <w:sz w:val="24"/>
          <w:szCs w:val="24"/>
        </w:rPr>
      </w:pPr>
    </w:p>
    <w:p w:rsidR="00560C8A" w:rsidRDefault="00560C8A" w:rsidP="00697325">
      <w:pPr>
        <w:rPr>
          <w:rFonts w:ascii="Times New Roman" w:hAnsi="Times New Roman" w:cs="Times New Roman"/>
          <w:sz w:val="24"/>
          <w:szCs w:val="24"/>
        </w:rPr>
      </w:pPr>
    </w:p>
    <w:p w:rsidR="00560C8A" w:rsidRDefault="00560C8A" w:rsidP="00560C8A">
      <w:pPr>
        <w:jc w:val="center"/>
        <w:rPr>
          <w:rFonts w:ascii="Times New Roman" w:hAnsi="Times New Roman" w:cs="Times New Roman"/>
          <w:sz w:val="24"/>
          <w:szCs w:val="24"/>
        </w:rPr>
      </w:pPr>
    </w:p>
    <w:p w:rsidR="00560C8A" w:rsidRDefault="00560C8A" w:rsidP="00560C8A">
      <w:pPr>
        <w:spacing w:after="0" w:line="480" w:lineRule="auto"/>
        <w:jc w:val="center"/>
        <w:rPr>
          <w:rFonts w:ascii="Times New Roman" w:hAnsi="Times New Roman" w:cs="Times New Roman"/>
          <w:sz w:val="24"/>
          <w:szCs w:val="24"/>
        </w:rPr>
      </w:pPr>
    </w:p>
    <w:p w:rsidR="00F16B1C" w:rsidRDefault="00F16B1C" w:rsidP="00560C8A">
      <w:pPr>
        <w:spacing w:after="0" w:line="480" w:lineRule="auto"/>
        <w:jc w:val="center"/>
        <w:rPr>
          <w:rFonts w:ascii="Times New Roman" w:hAnsi="Times New Roman" w:cs="Times New Roman"/>
          <w:sz w:val="24"/>
          <w:szCs w:val="24"/>
        </w:rPr>
      </w:pPr>
    </w:p>
    <w:p w:rsidR="00560C8A" w:rsidRDefault="00560C8A" w:rsidP="00560C8A">
      <w:pPr>
        <w:spacing w:after="0" w:line="480" w:lineRule="auto"/>
        <w:jc w:val="center"/>
        <w:rPr>
          <w:rFonts w:ascii="Times New Roman" w:hAnsi="Times New Roman" w:cs="Times New Roman"/>
          <w:sz w:val="24"/>
          <w:szCs w:val="24"/>
        </w:rPr>
      </w:pPr>
      <w:r w:rsidRPr="00560C8A">
        <w:rPr>
          <w:rFonts w:ascii="Times New Roman" w:hAnsi="Times New Roman" w:cs="Times New Roman"/>
          <w:sz w:val="24"/>
          <w:szCs w:val="24"/>
        </w:rPr>
        <w:t>THE ENGLISH LEGAL SYSTEM AND THE IMPORTANCE OF THE DOCTRINE OF JUDICIAL</w:t>
      </w:r>
      <w:r>
        <w:rPr>
          <w:rFonts w:ascii="Times New Roman" w:hAnsi="Times New Roman" w:cs="Times New Roman"/>
          <w:sz w:val="24"/>
          <w:szCs w:val="24"/>
        </w:rPr>
        <w:t xml:space="preserve"> </w:t>
      </w:r>
      <w:r w:rsidRPr="00560C8A">
        <w:rPr>
          <w:rFonts w:ascii="Times New Roman" w:hAnsi="Times New Roman" w:cs="Times New Roman"/>
          <w:sz w:val="24"/>
          <w:szCs w:val="24"/>
        </w:rPr>
        <w:t>PRECEDENT.</w:t>
      </w:r>
    </w:p>
    <w:p w:rsidR="00560C8A" w:rsidRDefault="00560C8A" w:rsidP="00560C8A">
      <w:pPr>
        <w:spacing w:after="0" w:line="480" w:lineRule="auto"/>
        <w:jc w:val="center"/>
        <w:rPr>
          <w:rFonts w:ascii="Times New Roman" w:hAnsi="Times New Roman" w:cs="Times New Roman"/>
          <w:sz w:val="24"/>
          <w:szCs w:val="24"/>
        </w:rPr>
      </w:pPr>
    </w:p>
    <w:p w:rsidR="00560C8A" w:rsidRPr="00560C8A" w:rsidRDefault="00560C8A" w:rsidP="00560C8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4A020C">
        <w:rPr>
          <w:rFonts w:ascii="Times New Roman" w:hAnsi="Times New Roman" w:cs="Times New Roman"/>
          <w:sz w:val="24"/>
          <w:szCs w:val="24"/>
        </w:rPr>
        <w:t>'</w:t>
      </w:r>
      <w:r>
        <w:rPr>
          <w:rFonts w:ascii="Times New Roman" w:hAnsi="Times New Roman" w:cs="Times New Roman"/>
          <w:sz w:val="24"/>
          <w:szCs w:val="24"/>
        </w:rPr>
        <w:t>s Name</w:t>
      </w:r>
    </w:p>
    <w:p w:rsidR="00560C8A" w:rsidRPr="00560C8A" w:rsidRDefault="00560C8A" w:rsidP="00560C8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Class/Course/Code</w:t>
      </w:r>
    </w:p>
    <w:p w:rsidR="00560C8A" w:rsidRPr="00560C8A" w:rsidRDefault="00560C8A" w:rsidP="00560C8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4A020C">
        <w:rPr>
          <w:rFonts w:ascii="Times New Roman" w:hAnsi="Times New Roman" w:cs="Times New Roman"/>
          <w:sz w:val="24"/>
          <w:szCs w:val="24"/>
        </w:rPr>
        <w:t>'</w:t>
      </w:r>
      <w:r>
        <w:rPr>
          <w:rFonts w:ascii="Times New Roman" w:hAnsi="Times New Roman" w:cs="Times New Roman"/>
          <w:sz w:val="24"/>
          <w:szCs w:val="24"/>
        </w:rPr>
        <w:t>s Name</w:t>
      </w:r>
    </w:p>
    <w:p w:rsidR="00560C8A" w:rsidRPr="00560C8A" w:rsidRDefault="00560C8A" w:rsidP="00560C8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University/School</w:t>
      </w:r>
    </w:p>
    <w:p w:rsidR="00560C8A" w:rsidRPr="00560C8A" w:rsidRDefault="00560C8A" w:rsidP="00560C8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City, State</w:t>
      </w:r>
    </w:p>
    <w:p w:rsidR="00560C8A" w:rsidRDefault="00560C8A" w:rsidP="00560C8A">
      <w:pPr>
        <w:spacing w:after="0" w:line="480" w:lineRule="auto"/>
        <w:jc w:val="center"/>
        <w:rPr>
          <w:rFonts w:ascii="Times New Roman" w:hAnsi="Times New Roman" w:cs="Times New Roman"/>
          <w:sz w:val="24"/>
          <w:szCs w:val="24"/>
        </w:rPr>
      </w:pPr>
      <w:r w:rsidRPr="00560C8A">
        <w:rPr>
          <w:rFonts w:ascii="Times New Roman" w:hAnsi="Times New Roman" w:cs="Times New Roman"/>
          <w:sz w:val="24"/>
          <w:szCs w:val="24"/>
        </w:rPr>
        <w:t>Date</w:t>
      </w:r>
    </w:p>
    <w:p w:rsidR="00A9309F" w:rsidRDefault="00A9309F" w:rsidP="00560C8A">
      <w:pPr>
        <w:spacing w:after="0" w:line="480" w:lineRule="auto"/>
        <w:jc w:val="center"/>
        <w:rPr>
          <w:rFonts w:ascii="Times New Roman" w:hAnsi="Times New Roman" w:cs="Times New Roman"/>
          <w:sz w:val="24"/>
          <w:szCs w:val="24"/>
        </w:rPr>
      </w:pPr>
    </w:p>
    <w:p w:rsidR="00A9309F" w:rsidRDefault="00A9309F" w:rsidP="00560C8A">
      <w:pPr>
        <w:spacing w:after="0" w:line="480" w:lineRule="auto"/>
        <w:jc w:val="center"/>
        <w:rPr>
          <w:rFonts w:ascii="Times New Roman" w:hAnsi="Times New Roman" w:cs="Times New Roman"/>
          <w:sz w:val="24"/>
          <w:szCs w:val="24"/>
        </w:rPr>
      </w:pPr>
    </w:p>
    <w:p w:rsidR="00A9309F" w:rsidRDefault="00A9309F" w:rsidP="00560C8A">
      <w:pPr>
        <w:spacing w:after="0" w:line="480" w:lineRule="auto"/>
        <w:jc w:val="center"/>
        <w:rPr>
          <w:rFonts w:ascii="Times New Roman" w:hAnsi="Times New Roman" w:cs="Times New Roman"/>
          <w:sz w:val="24"/>
          <w:szCs w:val="24"/>
        </w:rPr>
      </w:pPr>
    </w:p>
    <w:p w:rsidR="00A9309F" w:rsidRDefault="00A9309F" w:rsidP="00560C8A">
      <w:pPr>
        <w:spacing w:after="0" w:line="480" w:lineRule="auto"/>
        <w:jc w:val="center"/>
        <w:rPr>
          <w:rFonts w:ascii="Times New Roman" w:hAnsi="Times New Roman" w:cs="Times New Roman"/>
          <w:sz w:val="24"/>
          <w:szCs w:val="24"/>
        </w:rPr>
      </w:pPr>
    </w:p>
    <w:p w:rsidR="00A9309F" w:rsidRDefault="00A9309F" w:rsidP="00560C8A">
      <w:pPr>
        <w:spacing w:after="0" w:line="480" w:lineRule="auto"/>
        <w:jc w:val="center"/>
        <w:rPr>
          <w:rFonts w:ascii="Times New Roman" w:hAnsi="Times New Roman" w:cs="Times New Roman"/>
          <w:sz w:val="24"/>
          <w:szCs w:val="24"/>
        </w:rPr>
      </w:pPr>
    </w:p>
    <w:p w:rsidR="00A9309F" w:rsidRDefault="00A9309F" w:rsidP="00560C8A">
      <w:pPr>
        <w:spacing w:after="0" w:line="480" w:lineRule="auto"/>
        <w:jc w:val="center"/>
        <w:rPr>
          <w:rFonts w:ascii="Times New Roman" w:hAnsi="Times New Roman" w:cs="Times New Roman"/>
          <w:sz w:val="24"/>
          <w:szCs w:val="24"/>
        </w:rPr>
      </w:pPr>
    </w:p>
    <w:p w:rsidR="00A9309F" w:rsidRDefault="00A9309F" w:rsidP="00560C8A">
      <w:pPr>
        <w:spacing w:after="0" w:line="480" w:lineRule="auto"/>
        <w:jc w:val="center"/>
        <w:rPr>
          <w:rFonts w:ascii="Times New Roman" w:hAnsi="Times New Roman" w:cs="Times New Roman"/>
          <w:sz w:val="24"/>
          <w:szCs w:val="24"/>
        </w:rPr>
      </w:pPr>
    </w:p>
    <w:sdt>
      <w:sdtPr>
        <w:rPr>
          <w:rFonts w:ascii="Times New Roman" w:eastAsiaTheme="minorHAnsi" w:hAnsi="Times New Roman" w:cs="Times New Roman"/>
          <w:color w:val="auto"/>
          <w:sz w:val="24"/>
          <w:szCs w:val="24"/>
        </w:rPr>
        <w:id w:val="907966136"/>
        <w:docPartObj>
          <w:docPartGallery w:val="Table of Contents"/>
          <w:docPartUnique/>
        </w:docPartObj>
      </w:sdtPr>
      <w:sdtEndPr>
        <w:rPr>
          <w:b/>
          <w:bCs/>
          <w:noProof/>
        </w:rPr>
      </w:sdtEndPr>
      <w:sdtContent>
        <w:p w:rsidR="001E72A0" w:rsidRPr="001E72A0" w:rsidRDefault="001E72A0" w:rsidP="001E72A0">
          <w:pPr>
            <w:pStyle w:val="TOCHeading"/>
            <w:spacing w:before="0" w:line="480" w:lineRule="auto"/>
            <w:jc w:val="center"/>
            <w:rPr>
              <w:rFonts w:ascii="Times New Roman" w:hAnsi="Times New Roman" w:cs="Times New Roman"/>
              <w:b/>
              <w:color w:val="auto"/>
            </w:rPr>
          </w:pPr>
          <w:r w:rsidRPr="001E72A0">
            <w:rPr>
              <w:rFonts w:ascii="Times New Roman" w:hAnsi="Times New Roman" w:cs="Times New Roman"/>
              <w:b/>
              <w:color w:val="auto"/>
            </w:rPr>
            <w:t>Table of Contents</w:t>
          </w:r>
        </w:p>
        <w:p w:rsidR="001E72A0" w:rsidRPr="001E72A0" w:rsidRDefault="001E72A0" w:rsidP="001E72A0">
          <w:pPr>
            <w:pStyle w:val="TOC1"/>
            <w:tabs>
              <w:tab w:val="right" w:leader="dot" w:pos="9350"/>
            </w:tabs>
            <w:spacing w:line="480" w:lineRule="auto"/>
            <w:rPr>
              <w:rFonts w:ascii="Times New Roman" w:hAnsi="Times New Roman" w:cs="Times New Roman"/>
              <w:noProof/>
              <w:sz w:val="24"/>
              <w:szCs w:val="24"/>
            </w:rPr>
          </w:pPr>
          <w:r w:rsidRPr="001E72A0">
            <w:rPr>
              <w:rFonts w:ascii="Times New Roman" w:hAnsi="Times New Roman" w:cs="Times New Roman"/>
              <w:sz w:val="24"/>
              <w:szCs w:val="24"/>
            </w:rPr>
            <w:fldChar w:fldCharType="begin"/>
          </w:r>
          <w:r w:rsidRPr="001E72A0">
            <w:rPr>
              <w:rFonts w:ascii="Times New Roman" w:hAnsi="Times New Roman" w:cs="Times New Roman"/>
              <w:sz w:val="24"/>
              <w:szCs w:val="24"/>
            </w:rPr>
            <w:instrText xml:space="preserve"> TOC \o "1-3" \h \z \u </w:instrText>
          </w:r>
          <w:r w:rsidRPr="001E72A0">
            <w:rPr>
              <w:rFonts w:ascii="Times New Roman" w:hAnsi="Times New Roman" w:cs="Times New Roman"/>
              <w:sz w:val="24"/>
              <w:szCs w:val="24"/>
            </w:rPr>
            <w:fldChar w:fldCharType="separate"/>
          </w:r>
          <w:hyperlink w:anchor="_Toc106780672" w:history="1">
            <w:r w:rsidRPr="001E72A0">
              <w:rPr>
                <w:rStyle w:val="Hyperlink"/>
                <w:rFonts w:ascii="Times New Roman" w:hAnsi="Times New Roman" w:cs="Times New Roman"/>
                <w:noProof/>
                <w:sz w:val="24"/>
                <w:szCs w:val="24"/>
              </w:rPr>
              <w:t>Introduction</w:t>
            </w:r>
            <w:r w:rsidRPr="001E72A0">
              <w:rPr>
                <w:rFonts w:ascii="Times New Roman" w:hAnsi="Times New Roman" w:cs="Times New Roman"/>
                <w:noProof/>
                <w:webHidden/>
                <w:sz w:val="24"/>
                <w:szCs w:val="24"/>
              </w:rPr>
              <w:tab/>
            </w:r>
            <w:r w:rsidRPr="001E72A0">
              <w:rPr>
                <w:rFonts w:ascii="Times New Roman" w:hAnsi="Times New Roman" w:cs="Times New Roman"/>
                <w:noProof/>
                <w:webHidden/>
                <w:sz w:val="24"/>
                <w:szCs w:val="24"/>
              </w:rPr>
              <w:fldChar w:fldCharType="begin"/>
            </w:r>
            <w:r w:rsidRPr="001E72A0">
              <w:rPr>
                <w:rFonts w:ascii="Times New Roman" w:hAnsi="Times New Roman" w:cs="Times New Roman"/>
                <w:noProof/>
                <w:webHidden/>
                <w:sz w:val="24"/>
                <w:szCs w:val="24"/>
              </w:rPr>
              <w:instrText xml:space="preserve"> PAGEREF _Toc106780672 \h </w:instrText>
            </w:r>
            <w:r w:rsidRPr="001E72A0">
              <w:rPr>
                <w:rFonts w:ascii="Times New Roman" w:hAnsi="Times New Roman" w:cs="Times New Roman"/>
                <w:noProof/>
                <w:webHidden/>
                <w:sz w:val="24"/>
                <w:szCs w:val="24"/>
              </w:rPr>
            </w:r>
            <w:r w:rsidRPr="001E72A0">
              <w:rPr>
                <w:rFonts w:ascii="Times New Roman" w:hAnsi="Times New Roman" w:cs="Times New Roman"/>
                <w:noProof/>
                <w:webHidden/>
                <w:sz w:val="24"/>
                <w:szCs w:val="24"/>
              </w:rPr>
              <w:fldChar w:fldCharType="separate"/>
            </w:r>
            <w:r w:rsidRPr="001E72A0">
              <w:rPr>
                <w:rFonts w:ascii="Times New Roman" w:hAnsi="Times New Roman" w:cs="Times New Roman"/>
                <w:noProof/>
                <w:webHidden/>
                <w:sz w:val="24"/>
                <w:szCs w:val="24"/>
              </w:rPr>
              <w:t>3</w:t>
            </w:r>
            <w:r w:rsidRPr="001E72A0">
              <w:rPr>
                <w:rFonts w:ascii="Times New Roman" w:hAnsi="Times New Roman" w:cs="Times New Roman"/>
                <w:noProof/>
                <w:webHidden/>
                <w:sz w:val="24"/>
                <w:szCs w:val="24"/>
              </w:rPr>
              <w:fldChar w:fldCharType="end"/>
            </w:r>
          </w:hyperlink>
        </w:p>
        <w:p w:rsidR="001E72A0" w:rsidRPr="001E72A0" w:rsidRDefault="004E4A12" w:rsidP="001E72A0">
          <w:pPr>
            <w:pStyle w:val="TOC1"/>
            <w:tabs>
              <w:tab w:val="right" w:leader="dot" w:pos="9350"/>
            </w:tabs>
            <w:spacing w:line="480" w:lineRule="auto"/>
            <w:rPr>
              <w:rFonts w:ascii="Times New Roman" w:hAnsi="Times New Roman" w:cs="Times New Roman"/>
              <w:noProof/>
              <w:sz w:val="24"/>
              <w:szCs w:val="24"/>
            </w:rPr>
          </w:pPr>
          <w:hyperlink w:anchor="_Toc106780673" w:history="1">
            <w:r w:rsidR="001E72A0" w:rsidRPr="001E72A0">
              <w:rPr>
                <w:rStyle w:val="Hyperlink"/>
                <w:rFonts w:ascii="Times New Roman" w:hAnsi="Times New Roman" w:cs="Times New Roman"/>
                <w:b/>
                <w:noProof/>
                <w:sz w:val="24"/>
                <w:szCs w:val="24"/>
              </w:rPr>
              <w:t>English Legal system</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_Toc106780673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3</w:t>
            </w:r>
            <w:r w:rsidR="001E72A0" w:rsidRPr="001E72A0">
              <w:rPr>
                <w:rFonts w:ascii="Times New Roman" w:hAnsi="Times New Roman" w:cs="Times New Roman"/>
                <w:noProof/>
                <w:webHidden/>
                <w:sz w:val="24"/>
                <w:szCs w:val="24"/>
              </w:rPr>
              <w:fldChar w:fldCharType="end"/>
            </w:r>
          </w:hyperlink>
        </w:p>
        <w:p w:rsidR="001E72A0" w:rsidRPr="001E72A0" w:rsidRDefault="004E4A12" w:rsidP="001E72A0">
          <w:pPr>
            <w:pStyle w:val="TOC1"/>
            <w:tabs>
              <w:tab w:val="right" w:leader="dot" w:pos="9350"/>
            </w:tabs>
            <w:spacing w:line="480" w:lineRule="auto"/>
            <w:rPr>
              <w:rFonts w:ascii="Times New Roman" w:hAnsi="Times New Roman" w:cs="Times New Roman"/>
              <w:noProof/>
              <w:sz w:val="24"/>
              <w:szCs w:val="24"/>
            </w:rPr>
          </w:pPr>
          <w:hyperlink w:anchor="_Toc106780674" w:history="1">
            <w:r w:rsidR="001E72A0" w:rsidRPr="001E72A0">
              <w:rPr>
                <w:rStyle w:val="Hyperlink"/>
                <w:rFonts w:ascii="Times New Roman" w:hAnsi="Times New Roman" w:cs="Times New Roman"/>
                <w:b/>
                <w:noProof/>
                <w:sz w:val="24"/>
                <w:szCs w:val="24"/>
              </w:rPr>
              <w:t>The doctrine of Judicial Precedent</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_Toc106780674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5</w:t>
            </w:r>
            <w:r w:rsidR="001E72A0" w:rsidRPr="001E72A0">
              <w:rPr>
                <w:rFonts w:ascii="Times New Roman" w:hAnsi="Times New Roman" w:cs="Times New Roman"/>
                <w:noProof/>
                <w:webHidden/>
                <w:sz w:val="24"/>
                <w:szCs w:val="24"/>
              </w:rPr>
              <w:fldChar w:fldCharType="end"/>
            </w:r>
          </w:hyperlink>
        </w:p>
        <w:p w:rsidR="001E72A0" w:rsidRPr="001E72A0" w:rsidRDefault="004E4A12" w:rsidP="001E72A0">
          <w:pPr>
            <w:pStyle w:val="TOC2"/>
            <w:tabs>
              <w:tab w:val="right" w:leader="dot" w:pos="9350"/>
            </w:tabs>
            <w:spacing w:line="480" w:lineRule="auto"/>
            <w:rPr>
              <w:rFonts w:ascii="Times New Roman" w:hAnsi="Times New Roman" w:cs="Times New Roman"/>
              <w:noProof/>
              <w:sz w:val="24"/>
              <w:szCs w:val="24"/>
            </w:rPr>
          </w:pPr>
          <w:hyperlink w:anchor="_Toc106780675" w:history="1">
            <w:r w:rsidR="001E72A0" w:rsidRPr="001E72A0">
              <w:rPr>
                <w:rStyle w:val="Hyperlink"/>
                <w:rFonts w:ascii="Times New Roman" w:hAnsi="Times New Roman" w:cs="Times New Roman"/>
                <w:b/>
                <w:noProof/>
                <w:sz w:val="24"/>
                <w:szCs w:val="24"/>
              </w:rPr>
              <w:t>Principle of Judicial Precedent</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_Toc106780675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6</w:t>
            </w:r>
            <w:r w:rsidR="001E72A0" w:rsidRPr="001E72A0">
              <w:rPr>
                <w:rFonts w:ascii="Times New Roman" w:hAnsi="Times New Roman" w:cs="Times New Roman"/>
                <w:noProof/>
                <w:webHidden/>
                <w:sz w:val="24"/>
                <w:szCs w:val="24"/>
              </w:rPr>
              <w:fldChar w:fldCharType="end"/>
            </w:r>
          </w:hyperlink>
        </w:p>
        <w:p w:rsidR="001E72A0" w:rsidRPr="001E72A0" w:rsidRDefault="004E4A12" w:rsidP="001E72A0">
          <w:pPr>
            <w:pStyle w:val="TOC2"/>
            <w:tabs>
              <w:tab w:val="right" w:leader="dot" w:pos="9350"/>
            </w:tabs>
            <w:spacing w:line="480" w:lineRule="auto"/>
            <w:rPr>
              <w:rFonts w:ascii="Times New Roman" w:hAnsi="Times New Roman" w:cs="Times New Roman"/>
              <w:noProof/>
              <w:sz w:val="24"/>
              <w:szCs w:val="24"/>
            </w:rPr>
          </w:pPr>
          <w:hyperlink w:anchor="_Toc106780676" w:history="1">
            <w:r w:rsidR="001E72A0" w:rsidRPr="001E72A0">
              <w:rPr>
                <w:rStyle w:val="Hyperlink"/>
                <w:rFonts w:ascii="Times New Roman" w:hAnsi="Times New Roman" w:cs="Times New Roman"/>
                <w:b/>
                <w:noProof/>
                <w:sz w:val="24"/>
                <w:szCs w:val="24"/>
              </w:rPr>
              <w:t>The Basic Rules of Judicial Precedent</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_Toc106780676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7</w:t>
            </w:r>
            <w:r w:rsidR="001E72A0" w:rsidRPr="001E72A0">
              <w:rPr>
                <w:rFonts w:ascii="Times New Roman" w:hAnsi="Times New Roman" w:cs="Times New Roman"/>
                <w:noProof/>
                <w:webHidden/>
                <w:sz w:val="24"/>
                <w:szCs w:val="24"/>
              </w:rPr>
              <w:fldChar w:fldCharType="end"/>
            </w:r>
          </w:hyperlink>
        </w:p>
        <w:p w:rsidR="001E72A0" w:rsidRPr="001E72A0" w:rsidRDefault="004E4A12" w:rsidP="001E72A0">
          <w:pPr>
            <w:pStyle w:val="TOC1"/>
            <w:tabs>
              <w:tab w:val="right" w:leader="dot" w:pos="9350"/>
            </w:tabs>
            <w:spacing w:line="480" w:lineRule="auto"/>
            <w:rPr>
              <w:rFonts w:ascii="Times New Roman" w:hAnsi="Times New Roman" w:cs="Times New Roman"/>
              <w:noProof/>
              <w:sz w:val="24"/>
              <w:szCs w:val="24"/>
            </w:rPr>
          </w:pPr>
          <w:hyperlink w:anchor="_Toc106780677" w:history="1">
            <w:r w:rsidR="001E72A0" w:rsidRPr="001E72A0">
              <w:rPr>
                <w:rStyle w:val="Hyperlink"/>
                <w:rFonts w:ascii="Times New Roman" w:hAnsi="Times New Roman" w:cs="Times New Roman"/>
                <w:b/>
                <w:noProof/>
                <w:sz w:val="24"/>
                <w:szCs w:val="24"/>
              </w:rPr>
              <w:t>Importance of the Doctrine of Judicial Precedent</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_Toc106780677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8</w:t>
            </w:r>
            <w:r w:rsidR="001E72A0" w:rsidRPr="001E72A0">
              <w:rPr>
                <w:rFonts w:ascii="Times New Roman" w:hAnsi="Times New Roman" w:cs="Times New Roman"/>
                <w:noProof/>
                <w:webHidden/>
                <w:sz w:val="24"/>
                <w:szCs w:val="24"/>
              </w:rPr>
              <w:fldChar w:fldCharType="end"/>
            </w:r>
          </w:hyperlink>
        </w:p>
        <w:p w:rsidR="001E72A0" w:rsidRPr="001E72A0" w:rsidRDefault="004E4A12" w:rsidP="001E72A0">
          <w:pPr>
            <w:pStyle w:val="TOC1"/>
            <w:tabs>
              <w:tab w:val="right" w:leader="dot" w:pos="9350"/>
            </w:tabs>
            <w:spacing w:line="480" w:lineRule="auto"/>
            <w:rPr>
              <w:rFonts w:ascii="Times New Roman" w:hAnsi="Times New Roman" w:cs="Times New Roman"/>
              <w:noProof/>
              <w:sz w:val="24"/>
              <w:szCs w:val="24"/>
            </w:rPr>
          </w:pPr>
          <w:hyperlink w:anchor="_Toc106780678" w:history="1">
            <w:r w:rsidR="001E72A0" w:rsidRPr="001E72A0">
              <w:rPr>
                <w:rStyle w:val="Hyperlink"/>
                <w:rFonts w:ascii="Times New Roman" w:hAnsi="Times New Roman" w:cs="Times New Roman"/>
                <w:b/>
                <w:noProof/>
                <w:sz w:val="24"/>
                <w:szCs w:val="24"/>
              </w:rPr>
              <w:t>Conclusion</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_Toc106780678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9</w:t>
            </w:r>
            <w:r w:rsidR="001E72A0" w:rsidRPr="001E72A0">
              <w:rPr>
                <w:rFonts w:ascii="Times New Roman" w:hAnsi="Times New Roman" w:cs="Times New Roman"/>
                <w:noProof/>
                <w:webHidden/>
                <w:sz w:val="24"/>
                <w:szCs w:val="24"/>
              </w:rPr>
              <w:fldChar w:fldCharType="end"/>
            </w:r>
          </w:hyperlink>
        </w:p>
        <w:p w:rsidR="001E72A0" w:rsidRPr="001E72A0" w:rsidRDefault="004E4A12" w:rsidP="001E72A0">
          <w:pPr>
            <w:pStyle w:val="TOC1"/>
            <w:tabs>
              <w:tab w:val="right" w:leader="dot" w:pos="9350"/>
            </w:tabs>
            <w:spacing w:line="480" w:lineRule="auto"/>
            <w:rPr>
              <w:rFonts w:ascii="Times New Roman" w:hAnsi="Times New Roman" w:cs="Times New Roman"/>
              <w:noProof/>
              <w:sz w:val="24"/>
              <w:szCs w:val="24"/>
            </w:rPr>
          </w:pPr>
          <w:hyperlink w:anchor="_Toc106780679" w:history="1">
            <w:r w:rsidR="001E72A0" w:rsidRPr="001E72A0">
              <w:rPr>
                <w:rStyle w:val="Hyperlink"/>
                <w:rFonts w:ascii="Times New Roman" w:hAnsi="Times New Roman" w:cs="Times New Roman"/>
                <w:b/>
                <w:noProof/>
                <w:sz w:val="24"/>
                <w:szCs w:val="24"/>
              </w:rPr>
              <w:t>Reference List</w:t>
            </w:r>
            <w:r w:rsidR="001E72A0" w:rsidRPr="001E72A0">
              <w:rPr>
                <w:rFonts w:ascii="Times New Roman" w:hAnsi="Times New Roman" w:cs="Times New Roman"/>
                <w:noProof/>
                <w:webHidden/>
                <w:sz w:val="24"/>
                <w:szCs w:val="24"/>
              </w:rPr>
              <w:tab/>
            </w:r>
            <w:r w:rsidR="001E72A0" w:rsidRPr="001E72A0">
              <w:rPr>
                <w:rFonts w:ascii="Times New Roman" w:hAnsi="Times New Roman" w:cs="Times New Roman"/>
                <w:noProof/>
                <w:webHidden/>
                <w:sz w:val="24"/>
                <w:szCs w:val="24"/>
              </w:rPr>
              <w:fldChar w:fldCharType="begin"/>
            </w:r>
            <w:r w:rsidR="001E72A0" w:rsidRPr="001E72A0">
              <w:rPr>
                <w:rFonts w:ascii="Times New Roman" w:hAnsi="Times New Roman" w:cs="Times New Roman"/>
                <w:noProof/>
                <w:webHidden/>
                <w:sz w:val="24"/>
                <w:szCs w:val="24"/>
              </w:rPr>
              <w:instrText xml:space="preserve"> PAGEREF _Toc106780679 \h </w:instrText>
            </w:r>
            <w:r w:rsidR="001E72A0" w:rsidRPr="001E72A0">
              <w:rPr>
                <w:rFonts w:ascii="Times New Roman" w:hAnsi="Times New Roman" w:cs="Times New Roman"/>
                <w:noProof/>
                <w:webHidden/>
                <w:sz w:val="24"/>
                <w:szCs w:val="24"/>
              </w:rPr>
            </w:r>
            <w:r w:rsidR="001E72A0" w:rsidRPr="001E72A0">
              <w:rPr>
                <w:rFonts w:ascii="Times New Roman" w:hAnsi="Times New Roman" w:cs="Times New Roman"/>
                <w:noProof/>
                <w:webHidden/>
                <w:sz w:val="24"/>
                <w:szCs w:val="24"/>
              </w:rPr>
              <w:fldChar w:fldCharType="separate"/>
            </w:r>
            <w:r w:rsidR="001E72A0" w:rsidRPr="001E72A0">
              <w:rPr>
                <w:rFonts w:ascii="Times New Roman" w:hAnsi="Times New Roman" w:cs="Times New Roman"/>
                <w:noProof/>
                <w:webHidden/>
                <w:sz w:val="24"/>
                <w:szCs w:val="24"/>
              </w:rPr>
              <w:t>10</w:t>
            </w:r>
            <w:r w:rsidR="001E72A0" w:rsidRPr="001E72A0">
              <w:rPr>
                <w:rFonts w:ascii="Times New Roman" w:hAnsi="Times New Roman" w:cs="Times New Roman"/>
                <w:noProof/>
                <w:webHidden/>
                <w:sz w:val="24"/>
                <w:szCs w:val="24"/>
              </w:rPr>
              <w:fldChar w:fldCharType="end"/>
            </w:r>
          </w:hyperlink>
        </w:p>
        <w:p w:rsidR="001E72A0" w:rsidRDefault="001E72A0" w:rsidP="001E72A0">
          <w:pPr>
            <w:spacing w:line="480" w:lineRule="auto"/>
          </w:pPr>
          <w:r w:rsidRPr="001E72A0">
            <w:rPr>
              <w:rFonts w:ascii="Times New Roman" w:hAnsi="Times New Roman" w:cs="Times New Roman"/>
              <w:b/>
              <w:bCs/>
              <w:noProof/>
              <w:sz w:val="24"/>
              <w:szCs w:val="24"/>
            </w:rPr>
            <w:fldChar w:fldCharType="end"/>
          </w:r>
        </w:p>
      </w:sdtContent>
    </w:sdt>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1A4D2A" w:rsidRDefault="001A4D2A" w:rsidP="00367942">
      <w:pPr>
        <w:spacing w:after="0" w:line="480" w:lineRule="auto"/>
        <w:jc w:val="center"/>
        <w:rPr>
          <w:rFonts w:ascii="Times New Roman" w:hAnsi="Times New Roman" w:cs="Times New Roman"/>
          <w:sz w:val="24"/>
          <w:szCs w:val="24"/>
        </w:rPr>
      </w:pPr>
    </w:p>
    <w:p w:rsidR="00367942" w:rsidRPr="001A4D2A" w:rsidRDefault="00367942" w:rsidP="003C7606">
      <w:pPr>
        <w:pStyle w:val="Heading1"/>
        <w:spacing w:before="0" w:line="480" w:lineRule="auto"/>
        <w:jc w:val="center"/>
        <w:rPr>
          <w:rFonts w:ascii="Times New Roman" w:hAnsi="Times New Roman" w:cs="Times New Roman"/>
          <w:color w:val="auto"/>
          <w:sz w:val="24"/>
          <w:szCs w:val="24"/>
        </w:rPr>
      </w:pPr>
      <w:bookmarkStart w:id="0" w:name="_Toc106780672"/>
      <w:r w:rsidRPr="001A4D2A">
        <w:rPr>
          <w:rFonts w:ascii="Times New Roman" w:hAnsi="Times New Roman" w:cs="Times New Roman"/>
          <w:color w:val="auto"/>
          <w:sz w:val="24"/>
          <w:szCs w:val="24"/>
        </w:rPr>
        <w:lastRenderedPageBreak/>
        <w:t>Introduction</w:t>
      </w:r>
      <w:bookmarkEnd w:id="0"/>
    </w:p>
    <w:p w:rsidR="00A9309F" w:rsidRPr="008B437D" w:rsidRDefault="00F04FCC" w:rsidP="003C7606">
      <w:pPr>
        <w:spacing w:after="0" w:line="480" w:lineRule="auto"/>
        <w:ind w:firstLine="720"/>
        <w:jc w:val="both"/>
        <w:rPr>
          <w:rFonts w:ascii="Times New Roman" w:hAnsi="Times New Roman" w:cs="Times New Roman"/>
          <w:color w:val="FF0000"/>
          <w:sz w:val="24"/>
          <w:szCs w:val="24"/>
        </w:rPr>
      </w:pPr>
      <w:r>
        <w:rPr>
          <w:rFonts w:ascii="Times New Roman" w:hAnsi="Times New Roman" w:cs="Times New Roman"/>
          <w:sz w:val="24"/>
          <w:szCs w:val="24"/>
        </w:rPr>
        <w:t>T</w:t>
      </w:r>
      <w:r w:rsidRPr="00F04FCC">
        <w:rPr>
          <w:rFonts w:ascii="Times New Roman" w:hAnsi="Times New Roman" w:cs="Times New Roman"/>
          <w:sz w:val="24"/>
          <w:szCs w:val="24"/>
        </w:rPr>
        <w:t>he English legal system is a collection of intertwined laws that add up to one of the most innovative legal frameworks in the world.</w:t>
      </w:r>
      <w:r w:rsidR="00AD1B5C">
        <w:rPr>
          <w:rFonts w:ascii="Times New Roman" w:hAnsi="Times New Roman" w:cs="Times New Roman"/>
          <w:sz w:val="24"/>
          <w:szCs w:val="24"/>
        </w:rPr>
        <w:t xml:space="preserve"> </w:t>
      </w:r>
      <w:r w:rsidR="00334A0B" w:rsidRPr="00334A0B">
        <w:rPr>
          <w:rFonts w:ascii="Times New Roman" w:hAnsi="Times New Roman" w:cs="Times New Roman"/>
          <w:sz w:val="24"/>
          <w:szCs w:val="24"/>
        </w:rPr>
        <w:t xml:space="preserve">It is critical to comprehend </w:t>
      </w:r>
      <w:r w:rsidR="004A020C">
        <w:rPr>
          <w:rFonts w:ascii="Times New Roman" w:hAnsi="Times New Roman" w:cs="Times New Roman"/>
          <w:sz w:val="24"/>
          <w:szCs w:val="24"/>
        </w:rPr>
        <w:t>the categorization of di</w:t>
      </w:r>
      <w:r w:rsidR="00A35FA9">
        <w:rPr>
          <w:rFonts w:ascii="Times New Roman" w:hAnsi="Times New Roman" w:cs="Times New Roman"/>
          <w:sz w:val="24"/>
          <w:szCs w:val="24"/>
        </w:rPr>
        <w:t>fferen</w:t>
      </w:r>
      <w:r w:rsidR="004A020C">
        <w:rPr>
          <w:rFonts w:ascii="Times New Roman" w:hAnsi="Times New Roman" w:cs="Times New Roman"/>
          <w:sz w:val="24"/>
          <w:szCs w:val="24"/>
        </w:rPr>
        <w:t>t case laws accepted</w:t>
      </w:r>
      <w:r w:rsidR="00BD5FAB">
        <w:rPr>
          <w:rFonts w:ascii="Times New Roman" w:hAnsi="Times New Roman" w:cs="Times New Roman"/>
          <w:sz w:val="24"/>
          <w:szCs w:val="24"/>
        </w:rPr>
        <w:t xml:space="preserve"> in the English legal system</w:t>
      </w:r>
      <w:r w:rsidR="00334A0B" w:rsidRPr="00334A0B">
        <w:rPr>
          <w:rFonts w:ascii="Times New Roman" w:hAnsi="Times New Roman" w:cs="Times New Roman"/>
          <w:sz w:val="24"/>
          <w:szCs w:val="24"/>
        </w:rPr>
        <w:t xml:space="preserve">. </w:t>
      </w:r>
      <w:r w:rsidR="000A4AC9" w:rsidRPr="000A4AC9">
        <w:rPr>
          <w:rFonts w:ascii="Times New Roman" w:hAnsi="Times New Roman" w:cs="Times New Roman"/>
          <w:sz w:val="24"/>
          <w:szCs w:val="24"/>
        </w:rPr>
        <w:t xml:space="preserve">The establishment of precedents in the legal system is accomplished by case law, which is combined with </w:t>
      </w:r>
      <w:r w:rsidR="004D3236">
        <w:rPr>
          <w:rFonts w:ascii="Times New Roman" w:hAnsi="Times New Roman" w:cs="Times New Roman"/>
          <w:sz w:val="24"/>
          <w:szCs w:val="24"/>
        </w:rPr>
        <w:t>passing</w:t>
      </w:r>
      <w:r w:rsidR="000A4AC9" w:rsidRPr="000A4AC9">
        <w:rPr>
          <w:rFonts w:ascii="Times New Roman" w:hAnsi="Times New Roman" w:cs="Times New Roman"/>
          <w:sz w:val="24"/>
          <w:szCs w:val="24"/>
        </w:rPr>
        <w:t xml:space="preserve"> laws</w:t>
      </w:r>
      <w:r w:rsidR="00334A0B" w:rsidRPr="00334A0B">
        <w:rPr>
          <w:rFonts w:ascii="Times New Roman" w:hAnsi="Times New Roman" w:cs="Times New Roman"/>
          <w:sz w:val="24"/>
          <w:szCs w:val="24"/>
        </w:rPr>
        <w:t xml:space="preserve">. </w:t>
      </w:r>
      <w:r w:rsidR="00BD5FAB">
        <w:rPr>
          <w:rFonts w:ascii="Times New Roman" w:hAnsi="Times New Roman" w:cs="Times New Roman"/>
          <w:sz w:val="24"/>
          <w:szCs w:val="24"/>
        </w:rPr>
        <w:t xml:space="preserve">The capacity to make legislation is delegated to the </w:t>
      </w:r>
      <w:r w:rsidR="00927E53">
        <w:rPr>
          <w:rFonts w:ascii="Times New Roman" w:hAnsi="Times New Roman" w:cs="Times New Roman"/>
          <w:sz w:val="24"/>
          <w:szCs w:val="24"/>
        </w:rPr>
        <w:t>P</w:t>
      </w:r>
      <w:r w:rsidR="00BD5FAB">
        <w:rPr>
          <w:rFonts w:ascii="Times New Roman" w:hAnsi="Times New Roman" w:cs="Times New Roman"/>
          <w:sz w:val="24"/>
          <w:szCs w:val="24"/>
        </w:rPr>
        <w:t>arliament</w:t>
      </w:r>
      <w:r w:rsidR="00927E53">
        <w:rPr>
          <w:rFonts w:ascii="Times New Roman" w:hAnsi="Times New Roman" w:cs="Times New Roman"/>
          <w:sz w:val="24"/>
          <w:szCs w:val="24"/>
        </w:rPr>
        <w:t>,</w:t>
      </w:r>
      <w:r w:rsidR="00BD5FAB">
        <w:rPr>
          <w:rFonts w:ascii="Times New Roman" w:hAnsi="Times New Roman" w:cs="Times New Roman"/>
          <w:sz w:val="24"/>
          <w:szCs w:val="24"/>
        </w:rPr>
        <w:t xml:space="preserve"> which comprises </w:t>
      </w:r>
      <w:r w:rsidR="00927E53">
        <w:rPr>
          <w:rFonts w:ascii="Times New Roman" w:hAnsi="Times New Roman" w:cs="Times New Roman"/>
          <w:sz w:val="24"/>
          <w:szCs w:val="24"/>
        </w:rPr>
        <w:t xml:space="preserve">the </w:t>
      </w:r>
      <w:r w:rsidR="00BD5FAB">
        <w:rPr>
          <w:rFonts w:ascii="Times New Roman" w:hAnsi="Times New Roman" w:cs="Times New Roman"/>
          <w:sz w:val="24"/>
          <w:szCs w:val="24"/>
        </w:rPr>
        <w:t xml:space="preserve">House of Commons and </w:t>
      </w:r>
      <w:r w:rsidR="00927E53">
        <w:rPr>
          <w:rFonts w:ascii="Times New Roman" w:hAnsi="Times New Roman" w:cs="Times New Roman"/>
          <w:sz w:val="24"/>
          <w:szCs w:val="24"/>
        </w:rPr>
        <w:t xml:space="preserve">the </w:t>
      </w:r>
      <w:r w:rsidR="00BD5FAB">
        <w:rPr>
          <w:rFonts w:ascii="Times New Roman" w:hAnsi="Times New Roman" w:cs="Times New Roman"/>
          <w:sz w:val="24"/>
          <w:szCs w:val="24"/>
        </w:rPr>
        <w:t>House of Lords</w:t>
      </w:r>
      <w:r w:rsidR="003232E4">
        <w:rPr>
          <w:rFonts w:ascii="Times New Roman" w:hAnsi="Times New Roman" w:cs="Times New Roman"/>
          <w:sz w:val="24"/>
          <w:szCs w:val="24"/>
        </w:rPr>
        <w:t xml:space="preserve"> and Monarchy</w:t>
      </w:r>
      <w:r w:rsidR="00BD5FAB">
        <w:rPr>
          <w:rFonts w:ascii="Times New Roman" w:hAnsi="Times New Roman" w:cs="Times New Roman"/>
          <w:sz w:val="24"/>
          <w:szCs w:val="24"/>
        </w:rPr>
        <w:t xml:space="preserve">. </w:t>
      </w:r>
      <w:r w:rsidR="00035597">
        <w:rPr>
          <w:rFonts w:ascii="Times New Roman" w:hAnsi="Times New Roman" w:cs="Times New Roman"/>
          <w:sz w:val="24"/>
          <w:szCs w:val="24"/>
        </w:rPr>
        <w:t>T</w:t>
      </w:r>
      <w:r w:rsidR="00CA1886" w:rsidRPr="00CA1886">
        <w:rPr>
          <w:rFonts w:ascii="Times New Roman" w:hAnsi="Times New Roman" w:cs="Times New Roman"/>
          <w:sz w:val="24"/>
          <w:szCs w:val="24"/>
        </w:rPr>
        <w:t>he House of Lords is responsible for enacting legislation and setting legal precedent. In most cases, the person who holds the position of Prime Minister is</w:t>
      </w:r>
      <w:r w:rsidR="009B7ABB">
        <w:rPr>
          <w:rFonts w:ascii="Times New Roman" w:hAnsi="Times New Roman" w:cs="Times New Roman"/>
          <w:sz w:val="24"/>
          <w:szCs w:val="24"/>
        </w:rPr>
        <w:t xml:space="preserve"> elected </w:t>
      </w:r>
      <w:r w:rsidR="00CA1886" w:rsidRPr="00CA1886">
        <w:rPr>
          <w:rFonts w:ascii="Times New Roman" w:hAnsi="Times New Roman" w:cs="Times New Roman"/>
          <w:sz w:val="24"/>
          <w:szCs w:val="24"/>
        </w:rPr>
        <w:t xml:space="preserve">to serve in the House of Commons. The judicial branch, which operates independently from Parliament, is in charge of </w:t>
      </w:r>
      <w:r w:rsidR="009C35FB">
        <w:rPr>
          <w:rFonts w:ascii="Times New Roman" w:hAnsi="Times New Roman" w:cs="Times New Roman"/>
          <w:sz w:val="24"/>
          <w:szCs w:val="24"/>
        </w:rPr>
        <w:t>administrating</w:t>
      </w:r>
      <w:r w:rsidR="00CA1886" w:rsidRPr="00CA1886">
        <w:rPr>
          <w:rFonts w:ascii="Times New Roman" w:hAnsi="Times New Roman" w:cs="Times New Roman"/>
          <w:sz w:val="24"/>
          <w:szCs w:val="24"/>
        </w:rPr>
        <w:t xml:space="preserve"> the court system a</w:t>
      </w:r>
      <w:r w:rsidR="00A35FA9">
        <w:rPr>
          <w:rFonts w:ascii="Times New Roman" w:hAnsi="Times New Roman" w:cs="Times New Roman"/>
          <w:sz w:val="24"/>
          <w:szCs w:val="24"/>
        </w:rPr>
        <w:t>nd</w:t>
      </w:r>
      <w:r w:rsidR="00CA1886" w:rsidRPr="00CA1886">
        <w:rPr>
          <w:rFonts w:ascii="Times New Roman" w:hAnsi="Times New Roman" w:cs="Times New Roman"/>
          <w:sz w:val="24"/>
          <w:szCs w:val="24"/>
        </w:rPr>
        <w:t xml:space="preserve"> case law. The work done by the unelected members of the House of Lords is complementary to the work done by the elected members of the House of Commons. The House of Lords is </w:t>
      </w:r>
      <w:r w:rsidR="00A35FA9">
        <w:rPr>
          <w:rFonts w:ascii="Times New Roman" w:hAnsi="Times New Roman" w:cs="Times New Roman"/>
          <w:sz w:val="24"/>
          <w:szCs w:val="24"/>
        </w:rPr>
        <w:t>responsible for drafting and reshaping laws</w:t>
      </w:r>
      <w:r w:rsidR="009C35FB">
        <w:rPr>
          <w:rFonts w:ascii="Times New Roman" w:hAnsi="Times New Roman" w:cs="Times New Roman"/>
          <w:sz w:val="24"/>
          <w:szCs w:val="24"/>
        </w:rPr>
        <w:t xml:space="preserve"> and</w:t>
      </w:r>
      <w:r w:rsidR="00A35FA9">
        <w:rPr>
          <w:rFonts w:ascii="Times New Roman" w:hAnsi="Times New Roman" w:cs="Times New Roman"/>
          <w:sz w:val="24"/>
          <w:szCs w:val="24"/>
        </w:rPr>
        <w:t xml:space="preserve"> monitoring and critiquing the administration's work</w:t>
      </w:r>
      <w:r w:rsidR="00CA1886" w:rsidRPr="00CA1886">
        <w:rPr>
          <w:rFonts w:ascii="Times New Roman" w:hAnsi="Times New Roman" w:cs="Times New Roman"/>
          <w:sz w:val="24"/>
          <w:szCs w:val="24"/>
        </w:rPr>
        <w:t>.</w:t>
      </w:r>
      <w:r w:rsidR="00CA1886">
        <w:rPr>
          <w:rFonts w:ascii="Times New Roman" w:hAnsi="Times New Roman" w:cs="Times New Roman"/>
          <w:sz w:val="24"/>
          <w:szCs w:val="24"/>
        </w:rPr>
        <w:t xml:space="preserve"> </w:t>
      </w:r>
      <w:r w:rsidR="00035597" w:rsidRPr="00035597">
        <w:rPr>
          <w:rFonts w:ascii="Times New Roman" w:hAnsi="Times New Roman" w:cs="Times New Roman"/>
          <w:sz w:val="24"/>
          <w:szCs w:val="24"/>
        </w:rPr>
        <w:t>Parliamentary legislation receives royal approval from the monarchy, establishing it as law.</w:t>
      </w:r>
      <w:r w:rsidR="00927E53">
        <w:rPr>
          <w:rFonts w:ascii="Times New Roman" w:hAnsi="Times New Roman" w:cs="Times New Roman"/>
          <w:sz w:val="24"/>
          <w:szCs w:val="24"/>
        </w:rPr>
        <w:t xml:space="preserve"> </w:t>
      </w:r>
      <w:r w:rsidR="00CA1886">
        <w:rPr>
          <w:rFonts w:ascii="Times New Roman" w:hAnsi="Times New Roman" w:cs="Times New Roman"/>
          <w:sz w:val="24"/>
          <w:szCs w:val="24"/>
        </w:rPr>
        <w:t xml:space="preserve">This paper aims to discuss </w:t>
      </w:r>
      <w:r w:rsidR="00A35FA9">
        <w:rPr>
          <w:rFonts w:ascii="Times New Roman" w:hAnsi="Times New Roman" w:cs="Times New Roman"/>
          <w:sz w:val="24"/>
          <w:szCs w:val="24"/>
        </w:rPr>
        <w:t xml:space="preserve">the </w:t>
      </w:r>
      <w:r w:rsidR="00CA1886">
        <w:rPr>
          <w:rFonts w:ascii="Times New Roman" w:hAnsi="Times New Roman" w:cs="Times New Roman"/>
          <w:sz w:val="24"/>
          <w:szCs w:val="24"/>
        </w:rPr>
        <w:t>English Legal S</w:t>
      </w:r>
      <w:r w:rsidR="00CA1886" w:rsidRPr="00CA1886">
        <w:rPr>
          <w:rFonts w:ascii="Times New Roman" w:hAnsi="Times New Roman" w:cs="Times New Roman"/>
          <w:sz w:val="24"/>
          <w:szCs w:val="24"/>
        </w:rPr>
        <w:t>ystem and the importance of the doctrine of judicial precedent</w:t>
      </w:r>
    </w:p>
    <w:p w:rsidR="00DF3FE5" w:rsidRPr="001A4D2A" w:rsidRDefault="00DF3FE5" w:rsidP="00614F3F">
      <w:pPr>
        <w:pStyle w:val="Heading1"/>
        <w:spacing w:before="0" w:line="480" w:lineRule="auto"/>
        <w:rPr>
          <w:rFonts w:ascii="Times New Roman" w:hAnsi="Times New Roman" w:cs="Times New Roman"/>
          <w:b/>
          <w:color w:val="auto"/>
          <w:sz w:val="24"/>
          <w:szCs w:val="24"/>
        </w:rPr>
      </w:pPr>
      <w:bookmarkStart w:id="1" w:name="_Toc106780673"/>
      <w:r w:rsidRPr="001A4D2A">
        <w:rPr>
          <w:rFonts w:ascii="Times New Roman" w:hAnsi="Times New Roman" w:cs="Times New Roman"/>
          <w:b/>
          <w:color w:val="auto"/>
          <w:sz w:val="24"/>
          <w:szCs w:val="24"/>
        </w:rPr>
        <w:t>English Legal system</w:t>
      </w:r>
      <w:bookmarkEnd w:id="1"/>
    </w:p>
    <w:p w:rsidR="00334A0B" w:rsidRDefault="0039614D" w:rsidP="00614F3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Pr="0039614D">
        <w:rPr>
          <w:rFonts w:ascii="Times New Roman" w:hAnsi="Times New Roman" w:cs="Times New Roman"/>
          <w:sz w:val="24"/>
          <w:szCs w:val="24"/>
        </w:rPr>
        <w:t>he</w:t>
      </w:r>
      <w:r w:rsidR="00B930CC">
        <w:rPr>
          <w:rFonts w:ascii="Times New Roman" w:hAnsi="Times New Roman" w:cs="Times New Roman"/>
          <w:sz w:val="24"/>
          <w:szCs w:val="24"/>
        </w:rPr>
        <w:t xml:space="preserve"> common law is the foundation of the </w:t>
      </w:r>
      <w:r w:rsidRPr="0039614D">
        <w:rPr>
          <w:rFonts w:ascii="Times New Roman" w:hAnsi="Times New Roman" w:cs="Times New Roman"/>
          <w:sz w:val="24"/>
          <w:szCs w:val="24"/>
        </w:rPr>
        <w:t>English Legal System</w:t>
      </w:r>
      <w:r w:rsidR="00A35FA9">
        <w:rPr>
          <w:rFonts w:ascii="Times New Roman" w:hAnsi="Times New Roman" w:cs="Times New Roman"/>
          <w:sz w:val="24"/>
          <w:szCs w:val="24"/>
        </w:rPr>
        <w:t>, which serves as an essential legislation source because of the</w:t>
      </w:r>
      <w:r w:rsidRPr="0039614D">
        <w:rPr>
          <w:rFonts w:ascii="Times New Roman" w:hAnsi="Times New Roman" w:cs="Times New Roman"/>
          <w:sz w:val="24"/>
          <w:szCs w:val="24"/>
        </w:rPr>
        <w:t xml:space="preserve"> stare decisis, commonly r</w:t>
      </w:r>
      <w:r w:rsidR="00B930CC">
        <w:rPr>
          <w:rFonts w:ascii="Times New Roman" w:hAnsi="Times New Roman" w:cs="Times New Roman"/>
          <w:sz w:val="24"/>
          <w:szCs w:val="24"/>
        </w:rPr>
        <w:t>eferred to as binding precedent.</w:t>
      </w:r>
      <w:r w:rsidRPr="0039614D">
        <w:rPr>
          <w:rFonts w:ascii="Times New Roman" w:hAnsi="Times New Roman" w:cs="Times New Roman"/>
          <w:sz w:val="24"/>
          <w:szCs w:val="24"/>
        </w:rPr>
        <w:t xml:space="preserve"> This precedent necessitates that cases that are similar to one another be treated in the same manner. Furthermore, once a decision has been made regarding how legal frameworks are to be implemented to a particular set of facts and future cases comparable to the one that was decided upon must also be given the same treatment</w:t>
      </w:r>
      <w:r w:rsidR="0031595F" w:rsidRPr="0031595F">
        <w:rPr>
          <w:rFonts w:ascii="Times New Roman" w:hAnsi="Times New Roman" w:cs="Times New Roman"/>
          <w:color w:val="222222"/>
          <w:sz w:val="24"/>
          <w:szCs w:val="24"/>
          <w:shd w:val="clear" w:color="auto" w:fill="FFFFFF"/>
        </w:rPr>
        <w:t xml:space="preserve"> </w:t>
      </w:r>
      <w:r w:rsidR="0031595F">
        <w:rPr>
          <w:rFonts w:ascii="Times New Roman" w:hAnsi="Times New Roman" w:cs="Times New Roman"/>
          <w:color w:val="222222"/>
          <w:sz w:val="24"/>
          <w:szCs w:val="24"/>
          <w:shd w:val="clear" w:color="auto" w:fill="FFFFFF"/>
        </w:rPr>
        <w:t>(</w:t>
      </w:r>
      <w:r w:rsidR="0031595F" w:rsidRPr="0031595F">
        <w:rPr>
          <w:rFonts w:ascii="Times New Roman" w:hAnsi="Times New Roman" w:cs="Times New Roman"/>
          <w:sz w:val="24"/>
          <w:szCs w:val="24"/>
        </w:rPr>
        <w:t>Fr</w:t>
      </w:r>
      <w:r w:rsidR="0031595F">
        <w:rPr>
          <w:rFonts w:ascii="Times New Roman" w:hAnsi="Times New Roman" w:cs="Times New Roman"/>
          <w:sz w:val="24"/>
          <w:szCs w:val="24"/>
        </w:rPr>
        <w:t xml:space="preserve">ost, </w:t>
      </w:r>
      <w:r w:rsidR="0031595F" w:rsidRPr="0031595F">
        <w:rPr>
          <w:rFonts w:ascii="Times New Roman" w:hAnsi="Times New Roman" w:cs="Times New Roman"/>
          <w:sz w:val="24"/>
          <w:szCs w:val="24"/>
        </w:rPr>
        <w:t>Huxl</w:t>
      </w:r>
      <w:r w:rsidR="0031595F">
        <w:rPr>
          <w:rFonts w:ascii="Times New Roman" w:hAnsi="Times New Roman" w:cs="Times New Roman"/>
          <w:sz w:val="24"/>
          <w:szCs w:val="24"/>
        </w:rPr>
        <w:t xml:space="preserve">ey-Binns and Martin, </w:t>
      </w:r>
      <w:r w:rsidR="0031595F" w:rsidRPr="0031595F">
        <w:rPr>
          <w:rFonts w:ascii="Times New Roman" w:hAnsi="Times New Roman" w:cs="Times New Roman"/>
          <w:sz w:val="24"/>
          <w:szCs w:val="24"/>
        </w:rPr>
        <w:t>2020)</w:t>
      </w:r>
      <w:r w:rsidRPr="0039614D">
        <w:rPr>
          <w:rFonts w:ascii="Times New Roman" w:hAnsi="Times New Roman" w:cs="Times New Roman"/>
          <w:sz w:val="24"/>
          <w:szCs w:val="24"/>
        </w:rPr>
        <w:t xml:space="preserve">. The </w:t>
      </w:r>
      <w:r w:rsidR="00A35FA9">
        <w:rPr>
          <w:rFonts w:ascii="Times New Roman" w:hAnsi="Times New Roman" w:cs="Times New Roman"/>
          <w:sz w:val="24"/>
          <w:szCs w:val="24"/>
        </w:rPr>
        <w:t xml:space="preserve">concept's merits include </w:t>
      </w:r>
      <w:r w:rsidR="00DA1F5B">
        <w:rPr>
          <w:rFonts w:ascii="Times New Roman" w:hAnsi="Times New Roman" w:cs="Times New Roman"/>
          <w:sz w:val="24"/>
          <w:szCs w:val="24"/>
        </w:rPr>
        <w:t xml:space="preserve">saving time for all parties involved, providing certainty, allowing for flexibility, </w:t>
      </w:r>
      <w:r w:rsidR="00DA1F5B">
        <w:rPr>
          <w:rFonts w:ascii="Times New Roman" w:hAnsi="Times New Roman" w:cs="Times New Roman"/>
          <w:sz w:val="24"/>
          <w:szCs w:val="24"/>
        </w:rPr>
        <w:lastRenderedPageBreak/>
        <w:t>and satisfying</w:t>
      </w:r>
      <w:r w:rsidRPr="0039614D">
        <w:rPr>
          <w:rFonts w:ascii="Times New Roman" w:hAnsi="Times New Roman" w:cs="Times New Roman"/>
          <w:sz w:val="24"/>
          <w:szCs w:val="24"/>
        </w:rPr>
        <w:t xml:space="preserve"> the prerequisites of formal justice.</w:t>
      </w:r>
      <w:r w:rsidR="00A35FA9" w:rsidRPr="00A35FA9">
        <w:t xml:space="preserve"> </w:t>
      </w:r>
      <w:r w:rsidR="00A35FA9" w:rsidRPr="00A35FA9">
        <w:rPr>
          <w:rFonts w:ascii="Times New Roman" w:hAnsi="Times New Roman" w:cs="Times New Roman"/>
          <w:sz w:val="24"/>
          <w:szCs w:val="24"/>
        </w:rPr>
        <w:t>However, in recent times, additional sources of English law ha</w:t>
      </w:r>
      <w:r w:rsidR="00A35FA9">
        <w:rPr>
          <w:rFonts w:ascii="Times New Roman" w:hAnsi="Times New Roman" w:cs="Times New Roman"/>
          <w:sz w:val="24"/>
          <w:szCs w:val="24"/>
        </w:rPr>
        <w:t>ve</w:t>
      </w:r>
      <w:r w:rsidR="00A35FA9" w:rsidRPr="00A35FA9">
        <w:rPr>
          <w:rFonts w:ascii="Times New Roman" w:hAnsi="Times New Roman" w:cs="Times New Roman"/>
          <w:sz w:val="24"/>
          <w:szCs w:val="24"/>
        </w:rPr>
        <w:t xml:space="preserve"> also emerged to relevance, and it is unquestionably worthwhile to pay at least some degree of attention to them. Delegated legislations are one example of a </w:t>
      </w:r>
      <w:r w:rsidR="00A35FA9">
        <w:rPr>
          <w:rFonts w:ascii="Times New Roman" w:hAnsi="Times New Roman" w:cs="Times New Roman"/>
          <w:sz w:val="24"/>
          <w:szCs w:val="24"/>
        </w:rPr>
        <w:t>law source</w:t>
      </w:r>
      <w:r w:rsidR="00A35FA9" w:rsidRPr="00A35FA9">
        <w:rPr>
          <w:rFonts w:ascii="Times New Roman" w:hAnsi="Times New Roman" w:cs="Times New Roman"/>
          <w:sz w:val="24"/>
          <w:szCs w:val="24"/>
        </w:rPr>
        <w:t xml:space="preserve"> gaining significance as time goes on. Laws that have been </w:t>
      </w:r>
      <w:r w:rsidR="00A35FA9">
        <w:rPr>
          <w:rFonts w:ascii="Times New Roman" w:hAnsi="Times New Roman" w:cs="Times New Roman"/>
          <w:sz w:val="24"/>
          <w:szCs w:val="24"/>
        </w:rPr>
        <w:t>commission</w:t>
      </w:r>
      <w:r w:rsidR="00A35FA9" w:rsidRPr="00A35FA9">
        <w:rPr>
          <w:rFonts w:ascii="Times New Roman" w:hAnsi="Times New Roman" w:cs="Times New Roman"/>
          <w:sz w:val="24"/>
          <w:szCs w:val="24"/>
        </w:rPr>
        <w:t>ed are those that have been drafted by a specific person or body to which Parliament has given the authority to draft general laws</w:t>
      </w:r>
      <w:r w:rsidR="00A35D40">
        <w:rPr>
          <w:rFonts w:ascii="Times New Roman" w:hAnsi="Times New Roman" w:cs="Times New Roman"/>
          <w:sz w:val="24"/>
          <w:szCs w:val="24"/>
        </w:rPr>
        <w:t xml:space="preserve"> </w:t>
      </w:r>
      <w:r w:rsidR="00A35D40" w:rsidRPr="00A35D40">
        <w:rPr>
          <w:rFonts w:ascii="Times New Roman" w:hAnsi="Times New Roman" w:cs="Times New Roman"/>
          <w:sz w:val="24"/>
          <w:szCs w:val="24"/>
        </w:rPr>
        <w:t>(Frost, Huxley-Binns</w:t>
      </w:r>
      <w:r w:rsidR="00DC17C5">
        <w:rPr>
          <w:rFonts w:ascii="Times New Roman" w:hAnsi="Times New Roman" w:cs="Times New Roman"/>
          <w:sz w:val="24"/>
          <w:szCs w:val="24"/>
        </w:rPr>
        <w:t>,</w:t>
      </w:r>
      <w:r w:rsidR="00A35D40" w:rsidRPr="00A35D40">
        <w:rPr>
          <w:rFonts w:ascii="Times New Roman" w:hAnsi="Times New Roman" w:cs="Times New Roman"/>
          <w:sz w:val="24"/>
          <w:szCs w:val="24"/>
        </w:rPr>
        <w:t xml:space="preserve"> and Martin, 2020)</w:t>
      </w:r>
      <w:r w:rsidR="00A35FA9" w:rsidRPr="00A35FA9">
        <w:rPr>
          <w:rFonts w:ascii="Times New Roman" w:hAnsi="Times New Roman" w:cs="Times New Roman"/>
          <w:sz w:val="24"/>
          <w:szCs w:val="24"/>
        </w:rPr>
        <w:t xml:space="preserve">. When delegated legislation is properly enacted, it carries the same weight of </w:t>
      </w:r>
      <w:r w:rsidR="00A35FA9">
        <w:rPr>
          <w:rFonts w:ascii="Times New Roman" w:hAnsi="Times New Roman" w:cs="Times New Roman"/>
          <w:sz w:val="24"/>
          <w:szCs w:val="24"/>
        </w:rPr>
        <w:t>power</w:t>
      </w:r>
      <w:r w:rsidR="00A35FA9" w:rsidRPr="00A35FA9">
        <w:rPr>
          <w:rFonts w:ascii="Times New Roman" w:hAnsi="Times New Roman" w:cs="Times New Roman"/>
          <w:sz w:val="24"/>
          <w:szCs w:val="24"/>
        </w:rPr>
        <w:t xml:space="preserve"> as the Act of Parliament </w:t>
      </w:r>
      <w:r w:rsidR="00A35FA9">
        <w:rPr>
          <w:rFonts w:ascii="Times New Roman" w:hAnsi="Times New Roman" w:cs="Times New Roman"/>
          <w:sz w:val="24"/>
          <w:szCs w:val="24"/>
        </w:rPr>
        <w:t>under which it was given the authority to implement. I</w:t>
      </w:r>
      <w:r w:rsidR="00A35FA9" w:rsidRPr="00A35FA9">
        <w:rPr>
          <w:rFonts w:ascii="Times New Roman" w:hAnsi="Times New Roman" w:cs="Times New Roman"/>
          <w:sz w:val="24"/>
          <w:szCs w:val="24"/>
        </w:rPr>
        <w:t xml:space="preserve">t is essential to </w:t>
      </w:r>
      <w:r w:rsidR="00A35FA9">
        <w:rPr>
          <w:rFonts w:ascii="Times New Roman" w:hAnsi="Times New Roman" w:cs="Times New Roman"/>
          <w:sz w:val="24"/>
          <w:szCs w:val="24"/>
        </w:rPr>
        <w:t>remember</w:t>
      </w:r>
      <w:r w:rsidR="00A35FA9" w:rsidRPr="00A35FA9">
        <w:rPr>
          <w:rFonts w:ascii="Times New Roman" w:hAnsi="Times New Roman" w:cs="Times New Roman"/>
          <w:sz w:val="24"/>
          <w:szCs w:val="24"/>
        </w:rPr>
        <w:t xml:space="preserve"> that it is only operative to the degree its enabling Act permits it to be. Bylaws, Orders in Council, and Statutory Instruments are the three typical manifestations </w:t>
      </w:r>
      <w:r w:rsidR="00A35FA9">
        <w:rPr>
          <w:rFonts w:ascii="Times New Roman" w:hAnsi="Times New Roman" w:cs="Times New Roman"/>
          <w:sz w:val="24"/>
          <w:szCs w:val="24"/>
        </w:rPr>
        <w:t>of delegated legislation</w:t>
      </w:r>
      <w:r w:rsidR="00A35FA9" w:rsidRPr="00A35FA9">
        <w:rPr>
          <w:rFonts w:ascii="Times New Roman" w:hAnsi="Times New Roman" w:cs="Times New Roman"/>
          <w:sz w:val="24"/>
          <w:szCs w:val="24"/>
        </w:rPr>
        <w:t>. In addition, it might also appear in the form of Court Rule Committees or Professional regulations.</w:t>
      </w:r>
    </w:p>
    <w:p w:rsidR="0073629F" w:rsidRDefault="00106F53" w:rsidP="00B53205">
      <w:pPr>
        <w:spacing w:after="0" w:line="480" w:lineRule="auto"/>
        <w:ind w:firstLine="720"/>
        <w:jc w:val="both"/>
        <w:rPr>
          <w:rFonts w:ascii="Times New Roman" w:hAnsi="Times New Roman" w:cs="Times New Roman"/>
          <w:sz w:val="24"/>
          <w:szCs w:val="24"/>
        </w:rPr>
      </w:pPr>
      <w:r w:rsidRPr="00106F53">
        <w:rPr>
          <w:rFonts w:ascii="Times New Roman" w:hAnsi="Times New Roman" w:cs="Times New Roman"/>
          <w:sz w:val="24"/>
          <w:szCs w:val="24"/>
        </w:rPr>
        <w:t>The productivity of delegated legislation in any given year surpasses the output of Acts of Parliament, which is one of the factors that has contributed to the rise in prominence of delegated legislation. For instance, during the parliamentary year 2013, t</w:t>
      </w:r>
      <w:r w:rsidR="00704E4B">
        <w:rPr>
          <w:rFonts w:ascii="Times New Roman" w:hAnsi="Times New Roman" w:cs="Times New Roman"/>
          <w:sz w:val="24"/>
          <w:szCs w:val="24"/>
        </w:rPr>
        <w:t>he United Kingdom only passed thirty</w:t>
      </w:r>
      <w:r w:rsidR="00AB19B9">
        <w:rPr>
          <w:rFonts w:ascii="Times New Roman" w:hAnsi="Times New Roman" w:cs="Times New Roman"/>
          <w:sz w:val="24"/>
          <w:szCs w:val="24"/>
        </w:rPr>
        <w:t>-three public Acts, although three thousand three hundred and eighteen statutory instruments were</w:t>
      </w:r>
      <w:r w:rsidRPr="00106F53">
        <w:rPr>
          <w:rFonts w:ascii="Times New Roman" w:hAnsi="Times New Roman" w:cs="Times New Roman"/>
          <w:sz w:val="24"/>
          <w:szCs w:val="24"/>
        </w:rPr>
        <w:t xml:space="preserve"> enacted. </w:t>
      </w:r>
      <w:r w:rsidR="003843DE" w:rsidRPr="003843DE">
        <w:rPr>
          <w:rFonts w:ascii="Times New Roman" w:hAnsi="Times New Roman" w:cs="Times New Roman"/>
          <w:sz w:val="24"/>
          <w:szCs w:val="24"/>
        </w:rPr>
        <w:t>Therefore, when examined via statistical data, it is at least feasible that delegating law is more influential t</w:t>
      </w:r>
      <w:r w:rsidR="003843DE">
        <w:rPr>
          <w:rFonts w:ascii="Times New Roman" w:hAnsi="Times New Roman" w:cs="Times New Roman"/>
          <w:sz w:val="24"/>
          <w:szCs w:val="24"/>
        </w:rPr>
        <w:t xml:space="preserve">han </w:t>
      </w:r>
      <w:r w:rsidR="00AB19B9">
        <w:rPr>
          <w:rFonts w:ascii="Times New Roman" w:hAnsi="Times New Roman" w:cs="Times New Roman"/>
          <w:sz w:val="24"/>
          <w:szCs w:val="24"/>
        </w:rPr>
        <w:t xml:space="preserve">the </w:t>
      </w:r>
      <w:r w:rsidR="003843DE">
        <w:rPr>
          <w:rFonts w:ascii="Times New Roman" w:hAnsi="Times New Roman" w:cs="Times New Roman"/>
          <w:sz w:val="24"/>
          <w:szCs w:val="24"/>
        </w:rPr>
        <w:t>original Acts of Parliament</w:t>
      </w:r>
      <w:r w:rsidRPr="00106F53">
        <w:rPr>
          <w:rFonts w:ascii="Times New Roman" w:hAnsi="Times New Roman" w:cs="Times New Roman"/>
          <w:sz w:val="24"/>
          <w:szCs w:val="24"/>
        </w:rPr>
        <w:t xml:space="preserve">. One of the most significant benefits of delegated legislation is the </w:t>
      </w:r>
      <w:r w:rsidR="00DC17C5">
        <w:rPr>
          <w:rFonts w:ascii="Times New Roman" w:hAnsi="Times New Roman" w:cs="Times New Roman"/>
          <w:sz w:val="24"/>
          <w:szCs w:val="24"/>
        </w:rPr>
        <w:t>considerable</w:t>
      </w:r>
      <w:r w:rsidRPr="00106F53">
        <w:rPr>
          <w:rFonts w:ascii="Times New Roman" w:hAnsi="Times New Roman" w:cs="Times New Roman"/>
          <w:sz w:val="24"/>
          <w:szCs w:val="24"/>
        </w:rPr>
        <w:t xml:space="preserve"> time savings. Rapid introduction of delegated legislation is possible, and it can make it possible for laws to be altered in response to specific emergencies</w:t>
      </w:r>
      <w:r w:rsidR="0071416B">
        <w:rPr>
          <w:rFonts w:ascii="Times New Roman" w:hAnsi="Times New Roman" w:cs="Times New Roman"/>
          <w:sz w:val="24"/>
          <w:szCs w:val="24"/>
        </w:rPr>
        <w:t xml:space="preserve"> </w:t>
      </w:r>
      <w:r w:rsidR="0071416B" w:rsidRPr="0071416B">
        <w:rPr>
          <w:rFonts w:ascii="Times New Roman" w:hAnsi="Times New Roman" w:cs="Times New Roman"/>
          <w:sz w:val="24"/>
          <w:szCs w:val="24"/>
        </w:rPr>
        <w:t>(Frost, Huxley-Binns, and Martin, 2020)</w:t>
      </w:r>
      <w:r w:rsidRPr="00106F53">
        <w:rPr>
          <w:rFonts w:ascii="Times New Roman" w:hAnsi="Times New Roman" w:cs="Times New Roman"/>
          <w:sz w:val="24"/>
          <w:szCs w:val="24"/>
        </w:rPr>
        <w:t xml:space="preserve">. As a general rule, the adoption of delegated legislation also helps save time in </w:t>
      </w:r>
      <w:r w:rsidR="00DC17C5">
        <w:rPr>
          <w:rFonts w:ascii="Times New Roman" w:hAnsi="Times New Roman" w:cs="Times New Roman"/>
          <w:sz w:val="24"/>
          <w:szCs w:val="24"/>
        </w:rPr>
        <w:t>P</w:t>
      </w:r>
      <w:r w:rsidRPr="00106F53">
        <w:rPr>
          <w:rFonts w:ascii="Times New Roman" w:hAnsi="Times New Roman" w:cs="Times New Roman"/>
          <w:sz w:val="24"/>
          <w:szCs w:val="24"/>
        </w:rPr>
        <w:t>arliament, which would otherwise be unable to review each item of legislation adopted in the form of delegated legislation since it would take too much time.</w:t>
      </w:r>
      <w:r w:rsidR="0073629F">
        <w:rPr>
          <w:rFonts w:ascii="Times New Roman" w:hAnsi="Times New Roman" w:cs="Times New Roman"/>
          <w:sz w:val="24"/>
          <w:szCs w:val="24"/>
        </w:rPr>
        <w:t xml:space="preserve"> </w:t>
      </w:r>
      <w:r w:rsidR="006B1588" w:rsidRPr="006B1588">
        <w:rPr>
          <w:rFonts w:ascii="Times New Roman" w:hAnsi="Times New Roman" w:cs="Times New Roman"/>
          <w:sz w:val="24"/>
          <w:szCs w:val="24"/>
        </w:rPr>
        <w:t xml:space="preserve">On the </w:t>
      </w:r>
      <w:r w:rsidR="009F5283">
        <w:rPr>
          <w:rFonts w:ascii="Times New Roman" w:hAnsi="Times New Roman" w:cs="Times New Roman"/>
          <w:sz w:val="24"/>
          <w:szCs w:val="24"/>
        </w:rPr>
        <w:t xml:space="preserve">other hand, </w:t>
      </w:r>
      <w:r w:rsidR="006B1588" w:rsidRPr="006B1588">
        <w:rPr>
          <w:rFonts w:ascii="Times New Roman" w:hAnsi="Times New Roman" w:cs="Times New Roman"/>
          <w:sz w:val="24"/>
          <w:szCs w:val="24"/>
        </w:rPr>
        <w:t xml:space="preserve">not all of the foundations upon which English law is built are gaining ground </w:t>
      </w:r>
      <w:r w:rsidR="006B1588" w:rsidRPr="006B1588">
        <w:rPr>
          <w:rFonts w:ascii="Times New Roman" w:hAnsi="Times New Roman" w:cs="Times New Roman"/>
          <w:sz w:val="24"/>
          <w:szCs w:val="24"/>
        </w:rPr>
        <w:lastRenderedPageBreak/>
        <w:t xml:space="preserve">in terms of significance. Customs are one source of English law, although they are not likely to become more significant in the future. </w:t>
      </w:r>
    </w:p>
    <w:p w:rsidR="006B1588" w:rsidRDefault="006B1588" w:rsidP="001C0544">
      <w:pPr>
        <w:spacing w:after="0" w:line="480" w:lineRule="auto"/>
        <w:ind w:firstLine="720"/>
        <w:jc w:val="both"/>
        <w:rPr>
          <w:rFonts w:ascii="Times New Roman" w:hAnsi="Times New Roman" w:cs="Times New Roman"/>
          <w:sz w:val="24"/>
          <w:szCs w:val="24"/>
        </w:rPr>
      </w:pPr>
      <w:r w:rsidRPr="006B1588">
        <w:rPr>
          <w:rFonts w:ascii="Times New Roman" w:hAnsi="Times New Roman" w:cs="Times New Roman"/>
          <w:sz w:val="24"/>
          <w:szCs w:val="24"/>
        </w:rPr>
        <w:t>The precise link between custom and law has been the subject of a contentious and ongoing discussion. Some people believe that law is nothing more than the extension of custom and that</w:t>
      </w:r>
      <w:r>
        <w:rPr>
          <w:rFonts w:ascii="Times New Roman" w:hAnsi="Times New Roman" w:cs="Times New Roman"/>
          <w:sz w:val="24"/>
          <w:szCs w:val="24"/>
        </w:rPr>
        <w:t>,</w:t>
      </w:r>
      <w:r w:rsidRPr="006B1588">
        <w:rPr>
          <w:rFonts w:ascii="Times New Roman" w:hAnsi="Times New Roman" w:cs="Times New Roman"/>
          <w:sz w:val="24"/>
          <w:szCs w:val="24"/>
        </w:rPr>
        <w:t xml:space="preserve"> over time, customs evolve into laws. </w:t>
      </w:r>
      <w:r w:rsidR="00D573B4">
        <w:rPr>
          <w:rFonts w:ascii="Times New Roman" w:hAnsi="Times New Roman" w:cs="Times New Roman"/>
          <w:sz w:val="24"/>
          <w:szCs w:val="24"/>
        </w:rPr>
        <w:t>English law assert</w:t>
      </w:r>
      <w:r w:rsidR="00666A76">
        <w:rPr>
          <w:rFonts w:ascii="Times New Roman" w:hAnsi="Times New Roman" w:cs="Times New Roman"/>
          <w:sz w:val="24"/>
          <w:szCs w:val="24"/>
        </w:rPr>
        <w:t>s</w:t>
      </w:r>
      <w:r w:rsidR="00D573B4">
        <w:rPr>
          <w:rFonts w:ascii="Times New Roman" w:hAnsi="Times New Roman" w:cs="Times New Roman"/>
          <w:sz w:val="24"/>
          <w:szCs w:val="24"/>
        </w:rPr>
        <w:t xml:space="preserve"> that law and custom are sometime</w:t>
      </w:r>
      <w:r w:rsidR="00666A76">
        <w:rPr>
          <w:rFonts w:ascii="Times New Roman" w:hAnsi="Times New Roman" w:cs="Times New Roman"/>
          <w:sz w:val="24"/>
          <w:szCs w:val="24"/>
        </w:rPr>
        <w:t>s compatible, supplanting customary</w:t>
      </w:r>
      <w:r w:rsidRPr="006B1588">
        <w:rPr>
          <w:rFonts w:ascii="Times New Roman" w:hAnsi="Times New Roman" w:cs="Times New Roman"/>
          <w:sz w:val="24"/>
          <w:szCs w:val="24"/>
        </w:rPr>
        <w:t xml:space="preserve"> behavio</w:t>
      </w:r>
      <w:r w:rsidR="00B179D0">
        <w:rPr>
          <w:rFonts w:ascii="Times New Roman" w:hAnsi="Times New Roman" w:cs="Times New Roman"/>
          <w:sz w:val="24"/>
          <w:szCs w:val="24"/>
        </w:rPr>
        <w:t>u</w:t>
      </w:r>
      <w:r w:rsidRPr="006B1588">
        <w:rPr>
          <w:rFonts w:ascii="Times New Roman" w:hAnsi="Times New Roman" w:cs="Times New Roman"/>
          <w:sz w:val="24"/>
          <w:szCs w:val="24"/>
        </w:rPr>
        <w:t xml:space="preserve">r. Instead of being considered </w:t>
      </w:r>
      <w:r>
        <w:rPr>
          <w:rFonts w:ascii="Times New Roman" w:hAnsi="Times New Roman" w:cs="Times New Roman"/>
          <w:sz w:val="24"/>
          <w:szCs w:val="24"/>
        </w:rPr>
        <w:t>something that originates from society as a whole, this viewpoint considers legislation</w:t>
      </w:r>
      <w:r w:rsidRPr="006B1588">
        <w:rPr>
          <w:rFonts w:ascii="Times New Roman" w:hAnsi="Times New Roman" w:cs="Times New Roman"/>
          <w:sz w:val="24"/>
          <w:szCs w:val="24"/>
        </w:rPr>
        <w:t xml:space="preserve"> a novel kind of regulation that </w:t>
      </w:r>
      <w:r>
        <w:rPr>
          <w:rFonts w:ascii="Times New Roman" w:hAnsi="Times New Roman" w:cs="Times New Roman"/>
          <w:sz w:val="24"/>
          <w:szCs w:val="24"/>
        </w:rPr>
        <w:t>the government imposes</w:t>
      </w:r>
      <w:r w:rsidRPr="006B1588">
        <w:rPr>
          <w:rFonts w:ascii="Times New Roman" w:hAnsi="Times New Roman" w:cs="Times New Roman"/>
          <w:sz w:val="24"/>
          <w:szCs w:val="24"/>
        </w:rPr>
        <w:t xml:space="preserve">. It is important to </w:t>
      </w:r>
      <w:r>
        <w:rPr>
          <w:rFonts w:ascii="Times New Roman" w:hAnsi="Times New Roman" w:cs="Times New Roman"/>
          <w:sz w:val="24"/>
          <w:szCs w:val="24"/>
        </w:rPr>
        <w:t>remember that particular regional practices might</w:t>
      </w:r>
      <w:r w:rsidRPr="006B1588">
        <w:rPr>
          <w:rFonts w:ascii="Times New Roman" w:hAnsi="Times New Roman" w:cs="Times New Roman"/>
          <w:sz w:val="24"/>
          <w:szCs w:val="24"/>
        </w:rPr>
        <w:t xml:space="preserve"> </w:t>
      </w:r>
      <w:r w:rsidR="009C35FB">
        <w:rPr>
          <w:rFonts w:ascii="Times New Roman" w:hAnsi="Times New Roman" w:cs="Times New Roman"/>
          <w:sz w:val="24"/>
          <w:szCs w:val="24"/>
        </w:rPr>
        <w:t>be</w:t>
      </w:r>
      <w:r w:rsidRPr="006B1588">
        <w:rPr>
          <w:rFonts w:ascii="Times New Roman" w:hAnsi="Times New Roman" w:cs="Times New Roman"/>
          <w:sz w:val="24"/>
          <w:szCs w:val="24"/>
        </w:rPr>
        <w:t xml:space="preserve"> a valid basis for legal norms. When arguing their case, parties in </w:t>
      </w:r>
      <w:r>
        <w:rPr>
          <w:rFonts w:ascii="Times New Roman" w:hAnsi="Times New Roman" w:cs="Times New Roman"/>
          <w:sz w:val="24"/>
          <w:szCs w:val="24"/>
        </w:rPr>
        <w:t>specific</w:t>
      </w:r>
      <w:r w:rsidRPr="006B1588">
        <w:rPr>
          <w:rFonts w:ascii="Times New Roman" w:hAnsi="Times New Roman" w:cs="Times New Roman"/>
          <w:sz w:val="24"/>
          <w:szCs w:val="24"/>
        </w:rPr>
        <w:t xml:space="preserve"> scenarios </w:t>
      </w:r>
      <w:r>
        <w:rPr>
          <w:rFonts w:ascii="Times New Roman" w:hAnsi="Times New Roman" w:cs="Times New Roman"/>
          <w:sz w:val="24"/>
          <w:szCs w:val="24"/>
        </w:rPr>
        <w:t>can point</w:t>
      </w:r>
      <w:r w:rsidRPr="006B1588">
        <w:rPr>
          <w:rFonts w:ascii="Times New Roman" w:hAnsi="Times New Roman" w:cs="Times New Roman"/>
          <w:sz w:val="24"/>
          <w:szCs w:val="24"/>
        </w:rPr>
        <w:t xml:space="preserve"> to the prevalence of customary practices as a point of support. An instance of such a case is Wyld v. Silver</w:t>
      </w:r>
      <w:r>
        <w:rPr>
          <w:rStyle w:val="FootnoteReference"/>
          <w:rFonts w:ascii="Times New Roman" w:hAnsi="Times New Roman" w:cs="Times New Roman"/>
          <w:sz w:val="24"/>
          <w:szCs w:val="24"/>
        </w:rPr>
        <w:footnoteReference w:id="1"/>
      </w:r>
      <w:r w:rsidRPr="006B1588">
        <w:rPr>
          <w:rFonts w:ascii="Times New Roman" w:hAnsi="Times New Roman" w:cs="Times New Roman"/>
          <w:sz w:val="24"/>
          <w:szCs w:val="24"/>
        </w:rPr>
        <w:t xml:space="preserve">, which took place in 1962 and involved the Court of Appeal of England upholding a customary privilege held by residents of the village of </w:t>
      </w:r>
      <w:r w:rsidR="009F5283" w:rsidRPr="006B1588">
        <w:rPr>
          <w:rFonts w:ascii="Times New Roman" w:hAnsi="Times New Roman" w:cs="Times New Roman"/>
          <w:sz w:val="24"/>
          <w:szCs w:val="24"/>
        </w:rPr>
        <w:t>Wray bury</w:t>
      </w:r>
      <w:r w:rsidRPr="006B1588">
        <w:rPr>
          <w:rFonts w:ascii="Times New Roman" w:hAnsi="Times New Roman" w:cs="Times New Roman"/>
          <w:sz w:val="24"/>
          <w:szCs w:val="24"/>
        </w:rPr>
        <w:t xml:space="preserve">. On the Friday of Whitsun week every year, they were </w:t>
      </w:r>
      <w:r>
        <w:rPr>
          <w:rFonts w:ascii="Times New Roman" w:hAnsi="Times New Roman" w:cs="Times New Roman"/>
          <w:sz w:val="24"/>
          <w:szCs w:val="24"/>
        </w:rPr>
        <w:t>permitted</w:t>
      </w:r>
      <w:r w:rsidRPr="006B1588">
        <w:rPr>
          <w:rFonts w:ascii="Times New Roman" w:hAnsi="Times New Roman" w:cs="Times New Roman"/>
          <w:sz w:val="24"/>
          <w:szCs w:val="24"/>
        </w:rPr>
        <w:t xml:space="preserve"> to h</w:t>
      </w:r>
      <w:r>
        <w:rPr>
          <w:rFonts w:ascii="Times New Roman" w:hAnsi="Times New Roman" w:cs="Times New Roman"/>
          <w:sz w:val="24"/>
          <w:szCs w:val="24"/>
        </w:rPr>
        <w:t>ave</w:t>
      </w:r>
      <w:r w:rsidRPr="006B1588">
        <w:rPr>
          <w:rFonts w:ascii="Times New Roman" w:hAnsi="Times New Roman" w:cs="Times New Roman"/>
          <w:sz w:val="24"/>
          <w:szCs w:val="24"/>
        </w:rPr>
        <w:t> festivals or wakes on the wastelands that belonged to the parish. Th</w:t>
      </w:r>
      <w:r>
        <w:rPr>
          <w:rFonts w:ascii="Times New Roman" w:hAnsi="Times New Roman" w:cs="Times New Roman"/>
          <w:sz w:val="24"/>
          <w:szCs w:val="24"/>
        </w:rPr>
        <w:t>e Court of Appeal maintained this customary right</w:t>
      </w:r>
      <w:r w:rsidRPr="006B1588">
        <w:rPr>
          <w:rFonts w:ascii="Times New Roman" w:hAnsi="Times New Roman" w:cs="Times New Roman"/>
          <w:sz w:val="24"/>
          <w:szCs w:val="24"/>
        </w:rPr>
        <w:t xml:space="preserve">, and as a result, an order was given to restrict a man who had acquired the land from building residences on it. </w:t>
      </w:r>
    </w:p>
    <w:p w:rsidR="00D96E6F" w:rsidRDefault="009C35FB" w:rsidP="001C0544">
      <w:pPr>
        <w:pStyle w:val="Heading1"/>
        <w:spacing w:line="480" w:lineRule="auto"/>
        <w:rPr>
          <w:rFonts w:ascii="Times New Roman" w:hAnsi="Times New Roman" w:cs="Times New Roman"/>
          <w:b/>
          <w:color w:val="auto"/>
          <w:sz w:val="24"/>
          <w:szCs w:val="24"/>
        </w:rPr>
      </w:pPr>
      <w:bookmarkStart w:id="2" w:name="_Toc106780674"/>
      <w:r>
        <w:rPr>
          <w:rFonts w:ascii="Times New Roman" w:hAnsi="Times New Roman" w:cs="Times New Roman"/>
          <w:b/>
          <w:color w:val="auto"/>
          <w:sz w:val="24"/>
          <w:szCs w:val="24"/>
        </w:rPr>
        <w:t>The d</w:t>
      </w:r>
      <w:r w:rsidR="00D96E6F" w:rsidRPr="00D96E6F">
        <w:rPr>
          <w:rFonts w:ascii="Times New Roman" w:hAnsi="Times New Roman" w:cs="Times New Roman"/>
          <w:b/>
          <w:color w:val="auto"/>
          <w:sz w:val="24"/>
          <w:szCs w:val="24"/>
        </w:rPr>
        <w:t>octrine of Judicial Precedent</w:t>
      </w:r>
      <w:bookmarkEnd w:id="2"/>
    </w:p>
    <w:p w:rsidR="009C35FB" w:rsidRDefault="00EC5D8A" w:rsidP="009C35FB">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Pr="00EC5D8A">
        <w:rPr>
          <w:rFonts w:ascii="Times New Roman" w:hAnsi="Times New Roman" w:cs="Times New Roman"/>
          <w:sz w:val="24"/>
          <w:szCs w:val="24"/>
        </w:rPr>
        <w:t xml:space="preserve">he doctrine </w:t>
      </w:r>
      <w:r w:rsidR="00DA1F5B">
        <w:rPr>
          <w:rFonts w:ascii="Times New Roman" w:hAnsi="Times New Roman" w:cs="Times New Roman"/>
          <w:sz w:val="24"/>
          <w:szCs w:val="24"/>
        </w:rPr>
        <w:t xml:space="preserve">of </w:t>
      </w:r>
      <w:r w:rsidRPr="00EC5D8A">
        <w:rPr>
          <w:rFonts w:ascii="Times New Roman" w:hAnsi="Times New Roman" w:cs="Times New Roman"/>
          <w:sz w:val="24"/>
          <w:szCs w:val="24"/>
        </w:rPr>
        <w:t>judici</w:t>
      </w:r>
      <w:r>
        <w:rPr>
          <w:rFonts w:ascii="Times New Roman" w:hAnsi="Times New Roman" w:cs="Times New Roman"/>
          <w:sz w:val="24"/>
          <w:szCs w:val="24"/>
        </w:rPr>
        <w:t xml:space="preserve">al precedent pertains </w:t>
      </w:r>
      <w:r w:rsidR="00DA1F5B">
        <w:rPr>
          <w:rFonts w:ascii="Times New Roman" w:hAnsi="Times New Roman" w:cs="Times New Roman"/>
          <w:sz w:val="24"/>
          <w:szCs w:val="24"/>
        </w:rPr>
        <w:t xml:space="preserve">to </w:t>
      </w:r>
      <w:r>
        <w:rPr>
          <w:rFonts w:ascii="Times New Roman" w:hAnsi="Times New Roman" w:cs="Times New Roman"/>
          <w:sz w:val="24"/>
          <w:szCs w:val="24"/>
        </w:rPr>
        <w:t>the</w:t>
      </w:r>
      <w:r w:rsidR="009C35FB" w:rsidRPr="009C35FB">
        <w:rPr>
          <w:rFonts w:ascii="Times New Roman" w:hAnsi="Times New Roman" w:cs="Times New Roman"/>
          <w:sz w:val="24"/>
          <w:szCs w:val="24"/>
        </w:rPr>
        <w:t xml:space="preserve"> overarching norm of cus</w:t>
      </w:r>
      <w:r>
        <w:rPr>
          <w:rFonts w:ascii="Times New Roman" w:hAnsi="Times New Roman" w:cs="Times New Roman"/>
          <w:sz w:val="24"/>
          <w:szCs w:val="24"/>
        </w:rPr>
        <w:t xml:space="preserve">tomary law </w:t>
      </w:r>
      <w:r w:rsidR="009C35FB" w:rsidRPr="009C35FB">
        <w:rPr>
          <w:rFonts w:ascii="Times New Roman" w:hAnsi="Times New Roman" w:cs="Times New Roman"/>
          <w:sz w:val="24"/>
          <w:szCs w:val="24"/>
        </w:rPr>
        <w:t xml:space="preserve">established for a given circumstance to </w:t>
      </w:r>
      <w:r w:rsidR="009C35FB">
        <w:rPr>
          <w:rFonts w:ascii="Times New Roman" w:hAnsi="Times New Roman" w:cs="Times New Roman"/>
          <w:sz w:val="24"/>
          <w:szCs w:val="24"/>
        </w:rPr>
        <w:t>assist the courts</w:t>
      </w:r>
      <w:r w:rsidR="009C35FB" w:rsidRPr="009C35FB">
        <w:rPr>
          <w:rFonts w:ascii="Times New Roman" w:hAnsi="Times New Roman" w:cs="Times New Roman"/>
          <w:sz w:val="24"/>
          <w:szCs w:val="24"/>
        </w:rPr>
        <w:t xml:space="preserve"> in r</w:t>
      </w:r>
      <w:r>
        <w:rPr>
          <w:rFonts w:ascii="Times New Roman" w:hAnsi="Times New Roman" w:cs="Times New Roman"/>
          <w:sz w:val="24"/>
          <w:szCs w:val="24"/>
        </w:rPr>
        <w:t>esolving comparable cases</w:t>
      </w:r>
      <w:r w:rsidR="009C35FB" w:rsidRPr="009C35FB">
        <w:rPr>
          <w:rFonts w:ascii="Times New Roman" w:hAnsi="Times New Roman" w:cs="Times New Roman"/>
          <w:sz w:val="24"/>
          <w:szCs w:val="24"/>
        </w:rPr>
        <w:t xml:space="preserve"> that arise in subsequent case law</w:t>
      </w:r>
      <w:r w:rsidR="00491615" w:rsidRPr="00491615">
        <w:rPr>
          <w:rFonts w:ascii="Times New Roman" w:hAnsi="Times New Roman" w:cs="Times New Roman"/>
          <w:color w:val="222222"/>
          <w:sz w:val="24"/>
          <w:szCs w:val="24"/>
          <w:shd w:val="clear" w:color="auto" w:fill="FFFFFF"/>
        </w:rPr>
        <w:t xml:space="preserve"> </w:t>
      </w:r>
      <w:r w:rsidR="00491615">
        <w:rPr>
          <w:rFonts w:ascii="Times New Roman" w:hAnsi="Times New Roman" w:cs="Times New Roman"/>
          <w:color w:val="222222"/>
          <w:sz w:val="24"/>
          <w:szCs w:val="24"/>
          <w:shd w:val="clear" w:color="auto" w:fill="FFFFFF"/>
        </w:rPr>
        <w:t>(</w:t>
      </w:r>
      <w:r w:rsidR="00491615" w:rsidRPr="00491615">
        <w:rPr>
          <w:rFonts w:ascii="Times New Roman" w:hAnsi="Times New Roman" w:cs="Times New Roman"/>
          <w:sz w:val="24"/>
          <w:szCs w:val="24"/>
        </w:rPr>
        <w:t>Fr</w:t>
      </w:r>
      <w:r w:rsidR="00491615">
        <w:rPr>
          <w:rFonts w:ascii="Times New Roman" w:hAnsi="Times New Roman" w:cs="Times New Roman"/>
          <w:sz w:val="24"/>
          <w:szCs w:val="24"/>
        </w:rPr>
        <w:t xml:space="preserve">ost, </w:t>
      </w:r>
      <w:r w:rsidR="00491615" w:rsidRPr="00491615">
        <w:rPr>
          <w:rFonts w:ascii="Times New Roman" w:hAnsi="Times New Roman" w:cs="Times New Roman"/>
          <w:sz w:val="24"/>
          <w:szCs w:val="24"/>
        </w:rPr>
        <w:t>Huxl</w:t>
      </w:r>
      <w:r w:rsidR="00491615">
        <w:rPr>
          <w:rFonts w:ascii="Times New Roman" w:hAnsi="Times New Roman" w:cs="Times New Roman"/>
          <w:sz w:val="24"/>
          <w:szCs w:val="24"/>
        </w:rPr>
        <w:t xml:space="preserve">ey-Binns, R. and Martin, </w:t>
      </w:r>
      <w:r w:rsidR="00491615" w:rsidRPr="00491615">
        <w:rPr>
          <w:rFonts w:ascii="Times New Roman" w:hAnsi="Times New Roman" w:cs="Times New Roman"/>
          <w:sz w:val="24"/>
          <w:szCs w:val="24"/>
        </w:rPr>
        <w:t>2020)</w:t>
      </w:r>
      <w:r w:rsidR="009C35FB" w:rsidRPr="009C35FB">
        <w:rPr>
          <w:rFonts w:ascii="Times New Roman" w:hAnsi="Times New Roman" w:cs="Times New Roman"/>
          <w:sz w:val="24"/>
          <w:szCs w:val="24"/>
        </w:rPr>
        <w:t xml:space="preserve">. There are two distinct varieties of judicial precedent, which can be categorized as either authoritative or persuasive. Authoritative was broken down into </w:t>
      </w:r>
      <w:r w:rsidR="00DA1F5B">
        <w:rPr>
          <w:rFonts w:ascii="Times New Roman" w:hAnsi="Times New Roman" w:cs="Times New Roman"/>
          <w:sz w:val="24"/>
          <w:szCs w:val="24"/>
        </w:rPr>
        <w:t>two subcategories:</w:t>
      </w:r>
      <w:r w:rsidR="009C35FB" w:rsidRPr="009C35FB">
        <w:rPr>
          <w:rFonts w:ascii="Times New Roman" w:hAnsi="Times New Roman" w:cs="Times New Roman"/>
          <w:sz w:val="24"/>
          <w:szCs w:val="24"/>
        </w:rPr>
        <w:t xml:space="preserve"> absolutely authoritative and conditionally authoritative. In a system known as Absolutely Authoritative Judic</w:t>
      </w:r>
      <w:r w:rsidR="009C35FB">
        <w:rPr>
          <w:rFonts w:ascii="Times New Roman" w:hAnsi="Times New Roman" w:cs="Times New Roman"/>
          <w:sz w:val="24"/>
          <w:szCs w:val="24"/>
        </w:rPr>
        <w:t>i</w:t>
      </w:r>
      <w:r w:rsidR="009C35FB" w:rsidRPr="009C35FB">
        <w:rPr>
          <w:rFonts w:ascii="Times New Roman" w:hAnsi="Times New Roman" w:cs="Times New Roman"/>
          <w:sz w:val="24"/>
          <w:szCs w:val="24"/>
        </w:rPr>
        <w:t xml:space="preserve">al Precedent, the chosen authorities are </w:t>
      </w:r>
      <w:r w:rsidR="009C35FB" w:rsidRPr="009C35FB">
        <w:rPr>
          <w:rFonts w:ascii="Times New Roman" w:hAnsi="Times New Roman" w:cs="Times New Roman"/>
          <w:sz w:val="24"/>
          <w:szCs w:val="24"/>
        </w:rPr>
        <w:lastRenderedPageBreak/>
        <w:t>obligated to faithfully adhere to the legal choice that has been established as the point of reference for a particular circumstance involving the law</w:t>
      </w:r>
      <w:r w:rsidR="00252361">
        <w:rPr>
          <w:rFonts w:ascii="Times New Roman" w:hAnsi="Times New Roman" w:cs="Times New Roman"/>
          <w:sz w:val="24"/>
          <w:szCs w:val="24"/>
        </w:rPr>
        <w:t xml:space="preserve"> </w:t>
      </w:r>
      <w:r w:rsidR="008D1758" w:rsidRPr="008D1758">
        <w:rPr>
          <w:rFonts w:ascii="Times New Roman" w:hAnsi="Times New Roman" w:cs="Times New Roman"/>
          <w:sz w:val="24"/>
          <w:szCs w:val="24"/>
        </w:rPr>
        <w:t>(Frost, Huxley-Binns, R. and Martin, 2020)</w:t>
      </w:r>
      <w:r w:rsidR="009C35FB" w:rsidRPr="009C35FB">
        <w:rPr>
          <w:rFonts w:ascii="Times New Roman" w:hAnsi="Times New Roman" w:cs="Times New Roman"/>
          <w:sz w:val="24"/>
          <w:szCs w:val="24"/>
        </w:rPr>
        <w:t xml:space="preserve">. </w:t>
      </w:r>
      <w:r w:rsidR="009C35FB">
        <w:rPr>
          <w:rFonts w:ascii="Times New Roman" w:hAnsi="Times New Roman" w:cs="Times New Roman"/>
          <w:sz w:val="24"/>
          <w:szCs w:val="24"/>
        </w:rPr>
        <w:t>The constituted authority will undoubtedly</w:t>
      </w:r>
      <w:r w:rsidR="009C35FB" w:rsidRPr="009C35FB">
        <w:rPr>
          <w:rFonts w:ascii="Times New Roman" w:hAnsi="Times New Roman" w:cs="Times New Roman"/>
          <w:sz w:val="24"/>
          <w:szCs w:val="24"/>
        </w:rPr>
        <w:t xml:space="preserve"> make a </w:t>
      </w:r>
      <w:r w:rsidR="009C35FB">
        <w:rPr>
          <w:rFonts w:ascii="Times New Roman" w:hAnsi="Times New Roman" w:cs="Times New Roman"/>
          <w:sz w:val="24"/>
          <w:szCs w:val="24"/>
        </w:rPr>
        <w:t>legally equivalent decision regardless of whether</w:t>
      </w:r>
      <w:r w:rsidR="009C35FB" w:rsidRPr="009C35FB">
        <w:rPr>
          <w:rFonts w:ascii="Times New Roman" w:hAnsi="Times New Roman" w:cs="Times New Roman"/>
          <w:sz w:val="24"/>
          <w:szCs w:val="24"/>
        </w:rPr>
        <w:t xml:space="preserve"> it finds the reference point to be an inaccurate judgment. A precedent considered to be conditionally authoritative is one in which the point of reference is generally considered to be completely legitimate; however, in certain exceptional circumstances, such as a decision made by a higher court, it is possible that the precedent could be overturned. I</w:t>
      </w:r>
      <w:r w:rsidR="009C35FB">
        <w:rPr>
          <w:rFonts w:ascii="Times New Roman" w:hAnsi="Times New Roman" w:cs="Times New Roman"/>
          <w:sz w:val="24"/>
          <w:szCs w:val="24"/>
        </w:rPr>
        <w:t>f</w:t>
      </w:r>
      <w:r w:rsidR="009C35FB" w:rsidRPr="009C35FB">
        <w:rPr>
          <w:rFonts w:ascii="Times New Roman" w:hAnsi="Times New Roman" w:cs="Times New Roman"/>
          <w:sz w:val="24"/>
          <w:szCs w:val="24"/>
        </w:rPr>
        <w:t xml:space="preserve"> the option is illogical or </w:t>
      </w:r>
      <w:r w:rsidR="009C35FB">
        <w:rPr>
          <w:rFonts w:ascii="Times New Roman" w:hAnsi="Times New Roman" w:cs="Times New Roman"/>
          <w:sz w:val="24"/>
          <w:szCs w:val="24"/>
        </w:rPr>
        <w:t>contradicts</w:t>
      </w:r>
      <w:r w:rsidR="009C35FB" w:rsidRPr="009C35FB">
        <w:rPr>
          <w:rFonts w:ascii="Times New Roman" w:hAnsi="Times New Roman" w:cs="Times New Roman"/>
          <w:sz w:val="24"/>
          <w:szCs w:val="24"/>
        </w:rPr>
        <w:t xml:space="preserve"> the law and common sense, the court is free to disregard it</w:t>
      </w:r>
      <w:r w:rsidR="00252361">
        <w:rPr>
          <w:rFonts w:ascii="Times New Roman" w:hAnsi="Times New Roman" w:cs="Times New Roman"/>
          <w:sz w:val="24"/>
          <w:szCs w:val="24"/>
        </w:rPr>
        <w:t xml:space="preserve"> </w:t>
      </w:r>
      <w:r w:rsidR="00252361" w:rsidRPr="00252361">
        <w:rPr>
          <w:rFonts w:ascii="Times New Roman" w:hAnsi="Times New Roman" w:cs="Times New Roman"/>
          <w:sz w:val="24"/>
          <w:szCs w:val="24"/>
        </w:rPr>
        <w:t>(Frost, Huxl</w:t>
      </w:r>
      <w:r w:rsidR="00CE491F">
        <w:rPr>
          <w:rFonts w:ascii="Times New Roman" w:hAnsi="Times New Roman" w:cs="Times New Roman"/>
          <w:sz w:val="24"/>
          <w:szCs w:val="24"/>
        </w:rPr>
        <w:t>ey-Binns, R</w:t>
      </w:r>
      <w:r w:rsidR="00252361" w:rsidRPr="00252361">
        <w:rPr>
          <w:rFonts w:ascii="Times New Roman" w:hAnsi="Times New Roman" w:cs="Times New Roman"/>
          <w:sz w:val="24"/>
          <w:szCs w:val="24"/>
        </w:rPr>
        <w:t xml:space="preserve"> and Martin, 2020)</w:t>
      </w:r>
      <w:r w:rsidR="009C35FB" w:rsidRPr="009C35FB">
        <w:rPr>
          <w:rFonts w:ascii="Times New Roman" w:hAnsi="Times New Roman" w:cs="Times New Roman"/>
          <w:sz w:val="24"/>
          <w:szCs w:val="24"/>
        </w:rPr>
        <w:t xml:space="preserve">. A persuasive precedent is a reference in which the appointed authority is not required to follow the point of </w:t>
      </w:r>
      <w:r w:rsidR="009C35FB">
        <w:rPr>
          <w:rFonts w:ascii="Times New Roman" w:hAnsi="Times New Roman" w:cs="Times New Roman"/>
          <w:sz w:val="24"/>
          <w:szCs w:val="24"/>
        </w:rPr>
        <w:t>contact</w:t>
      </w:r>
      <w:r w:rsidR="009C35FB" w:rsidRPr="009C35FB">
        <w:rPr>
          <w:rFonts w:ascii="Times New Roman" w:hAnsi="Times New Roman" w:cs="Times New Roman"/>
          <w:sz w:val="24"/>
          <w:szCs w:val="24"/>
        </w:rPr>
        <w:t xml:space="preserve"> while dealing with a genu</w:t>
      </w:r>
      <w:r w:rsidR="00265083">
        <w:rPr>
          <w:rFonts w:ascii="Times New Roman" w:hAnsi="Times New Roman" w:cs="Times New Roman"/>
          <w:sz w:val="24"/>
          <w:szCs w:val="24"/>
        </w:rPr>
        <w:t xml:space="preserve">ine issue but will consider </w:t>
      </w:r>
      <w:r w:rsidR="009C35FB" w:rsidRPr="009C35FB">
        <w:rPr>
          <w:rFonts w:ascii="Times New Roman" w:hAnsi="Times New Roman" w:cs="Times New Roman"/>
          <w:sz w:val="24"/>
          <w:szCs w:val="24"/>
        </w:rPr>
        <w:t>the point of reference. Because of this, a compelling precedent is not necessarily a direct source of law, but it is nonetheless considered an authentic source of legal authority.</w:t>
      </w:r>
    </w:p>
    <w:p w:rsidR="00F34138" w:rsidRDefault="00236C20" w:rsidP="00AC0618">
      <w:pPr>
        <w:pStyle w:val="Heading2"/>
        <w:spacing w:before="0" w:line="480" w:lineRule="auto"/>
        <w:rPr>
          <w:rFonts w:ascii="Times New Roman" w:hAnsi="Times New Roman" w:cs="Times New Roman"/>
          <w:b/>
          <w:color w:val="auto"/>
          <w:sz w:val="24"/>
          <w:szCs w:val="24"/>
        </w:rPr>
      </w:pPr>
      <w:bookmarkStart w:id="3" w:name="_Toc106780675"/>
      <w:r w:rsidRPr="00236C20">
        <w:rPr>
          <w:rFonts w:ascii="Times New Roman" w:hAnsi="Times New Roman" w:cs="Times New Roman"/>
          <w:b/>
          <w:color w:val="auto"/>
          <w:sz w:val="24"/>
          <w:szCs w:val="24"/>
        </w:rPr>
        <w:t>Principle of Judicial Precedent</w:t>
      </w:r>
      <w:bookmarkEnd w:id="3"/>
    </w:p>
    <w:p w:rsidR="00236C20" w:rsidRDefault="003C5A71" w:rsidP="007C7B8A">
      <w:pPr>
        <w:spacing w:after="0" w:line="480" w:lineRule="auto"/>
        <w:ind w:firstLine="720"/>
        <w:jc w:val="both"/>
        <w:rPr>
          <w:rFonts w:ascii="Times New Roman" w:hAnsi="Times New Roman" w:cs="Times New Roman"/>
          <w:sz w:val="24"/>
          <w:szCs w:val="24"/>
        </w:rPr>
      </w:pPr>
      <w:r w:rsidRPr="003C5A71">
        <w:rPr>
          <w:rFonts w:ascii="Times New Roman" w:hAnsi="Times New Roman" w:cs="Times New Roman"/>
          <w:sz w:val="24"/>
          <w:szCs w:val="24"/>
        </w:rPr>
        <w:t xml:space="preserve">The principle of judicial precedent is a fundamental principle that derives from the notion of stare decisis. Both </w:t>
      </w:r>
      <w:r w:rsidR="00DA1F5B">
        <w:rPr>
          <w:rFonts w:ascii="Times New Roman" w:hAnsi="Times New Roman" w:cs="Times New Roman"/>
          <w:sz w:val="24"/>
          <w:szCs w:val="24"/>
        </w:rPr>
        <w:t>principles uphold earlier judgments on matters and require courts to use the same approach in similar situations</w:t>
      </w:r>
      <w:r w:rsidRPr="003C5A71">
        <w:rPr>
          <w:rFonts w:ascii="Times New Roman" w:hAnsi="Times New Roman" w:cs="Times New Roman"/>
          <w:sz w:val="24"/>
          <w:szCs w:val="24"/>
        </w:rPr>
        <w:t xml:space="preserve">. There are two distinct classifications of judicial precedent, which can be broken down into either </w:t>
      </w:r>
      <w:r w:rsidR="00DA1F5B">
        <w:rPr>
          <w:rFonts w:ascii="Times New Roman" w:hAnsi="Times New Roman" w:cs="Times New Roman"/>
          <w:sz w:val="24"/>
          <w:szCs w:val="24"/>
        </w:rPr>
        <w:t>persuasive</w:t>
      </w:r>
      <w:r w:rsidRPr="003C5A71">
        <w:rPr>
          <w:rFonts w:ascii="Times New Roman" w:hAnsi="Times New Roman" w:cs="Times New Roman"/>
          <w:sz w:val="24"/>
          <w:szCs w:val="24"/>
        </w:rPr>
        <w:t xml:space="preserve"> or binding precedents. First, </w:t>
      </w:r>
      <w:r w:rsidR="007D385B">
        <w:rPr>
          <w:rFonts w:ascii="Times New Roman" w:hAnsi="Times New Roman" w:cs="Times New Roman"/>
          <w:sz w:val="24"/>
          <w:szCs w:val="24"/>
        </w:rPr>
        <w:t>in</w:t>
      </w:r>
      <w:r w:rsidRPr="003C5A71">
        <w:rPr>
          <w:rFonts w:ascii="Times New Roman" w:hAnsi="Times New Roman" w:cs="Times New Roman"/>
          <w:sz w:val="24"/>
          <w:szCs w:val="24"/>
        </w:rPr>
        <w:t xml:space="preserve"> th</w:t>
      </w:r>
      <w:r w:rsidR="00112866">
        <w:rPr>
          <w:rFonts w:ascii="Times New Roman" w:hAnsi="Times New Roman" w:cs="Times New Roman"/>
          <w:sz w:val="24"/>
          <w:szCs w:val="24"/>
        </w:rPr>
        <w:t>e case of Donoghue v. Stevenson</w:t>
      </w:r>
      <w:r w:rsidR="00033714">
        <w:rPr>
          <w:rStyle w:val="FootnoteReference"/>
          <w:rFonts w:ascii="Times New Roman" w:hAnsi="Times New Roman" w:cs="Times New Roman"/>
          <w:sz w:val="24"/>
          <w:szCs w:val="24"/>
        </w:rPr>
        <w:footnoteReference w:id="2"/>
      </w:r>
      <w:r w:rsidR="00033714">
        <w:rPr>
          <w:rFonts w:ascii="Times New Roman" w:hAnsi="Times New Roman" w:cs="Times New Roman"/>
          <w:sz w:val="24"/>
          <w:szCs w:val="24"/>
        </w:rPr>
        <w:t xml:space="preserve">, Ms. Donoghue </w:t>
      </w:r>
      <w:r w:rsidRPr="003C5A71">
        <w:rPr>
          <w:rFonts w:ascii="Times New Roman" w:hAnsi="Times New Roman" w:cs="Times New Roman"/>
          <w:sz w:val="24"/>
          <w:szCs w:val="24"/>
        </w:rPr>
        <w:t>drank a beer made b</w:t>
      </w:r>
      <w:r w:rsidR="00033714">
        <w:rPr>
          <w:rFonts w:ascii="Times New Roman" w:hAnsi="Times New Roman" w:cs="Times New Roman"/>
          <w:sz w:val="24"/>
          <w:szCs w:val="24"/>
        </w:rPr>
        <w:t>y Stevenson's firm and</w:t>
      </w:r>
      <w:r w:rsidRPr="003C5A71">
        <w:rPr>
          <w:rFonts w:ascii="Times New Roman" w:hAnsi="Times New Roman" w:cs="Times New Roman"/>
          <w:sz w:val="24"/>
          <w:szCs w:val="24"/>
        </w:rPr>
        <w:t xml:space="preserve"> discovered a rotten snail in the beer bottle,</w:t>
      </w:r>
      <w:r w:rsidR="00033714">
        <w:rPr>
          <w:rFonts w:ascii="Times New Roman" w:hAnsi="Times New Roman" w:cs="Times New Roman"/>
          <w:sz w:val="24"/>
          <w:szCs w:val="24"/>
        </w:rPr>
        <w:t xml:space="preserve"> and she became sick</w:t>
      </w:r>
      <w:r w:rsidRPr="003C5A71">
        <w:rPr>
          <w:rFonts w:ascii="Times New Roman" w:hAnsi="Times New Roman" w:cs="Times New Roman"/>
          <w:sz w:val="24"/>
          <w:szCs w:val="24"/>
        </w:rPr>
        <w:t xml:space="preserve">. Ms. Donoghue </w:t>
      </w:r>
      <w:r w:rsidR="00DA1F5B">
        <w:rPr>
          <w:rFonts w:ascii="Times New Roman" w:hAnsi="Times New Roman" w:cs="Times New Roman"/>
          <w:sz w:val="24"/>
          <w:szCs w:val="24"/>
        </w:rPr>
        <w:t>sued Stevenson because she believed</w:t>
      </w:r>
      <w:r w:rsidRPr="003C5A71">
        <w:rPr>
          <w:rFonts w:ascii="Times New Roman" w:hAnsi="Times New Roman" w:cs="Times New Roman"/>
          <w:sz w:val="24"/>
          <w:szCs w:val="24"/>
        </w:rPr>
        <w:t xml:space="preserve"> he was responsible for her illness. In addition, the House of Lords </w:t>
      </w:r>
      <w:r w:rsidR="00112866">
        <w:rPr>
          <w:rFonts w:ascii="Times New Roman" w:hAnsi="Times New Roman" w:cs="Times New Roman"/>
          <w:sz w:val="24"/>
          <w:szCs w:val="24"/>
        </w:rPr>
        <w:t>ascertain</w:t>
      </w:r>
      <w:r w:rsidR="007D385B">
        <w:rPr>
          <w:rFonts w:ascii="Times New Roman" w:hAnsi="Times New Roman" w:cs="Times New Roman"/>
          <w:sz w:val="24"/>
          <w:szCs w:val="24"/>
        </w:rPr>
        <w:t>s</w:t>
      </w:r>
      <w:r w:rsidR="00112866">
        <w:rPr>
          <w:rFonts w:ascii="Times New Roman" w:hAnsi="Times New Roman" w:cs="Times New Roman"/>
          <w:sz w:val="24"/>
          <w:szCs w:val="24"/>
        </w:rPr>
        <w:t xml:space="preserve"> that the manufacturer</w:t>
      </w:r>
      <w:r w:rsidRPr="003C5A71">
        <w:rPr>
          <w:rFonts w:ascii="Times New Roman" w:hAnsi="Times New Roman" w:cs="Times New Roman"/>
          <w:sz w:val="24"/>
          <w:szCs w:val="24"/>
        </w:rPr>
        <w:t xml:space="preserve"> of a product should be held accountable for any </w:t>
      </w:r>
      <w:r w:rsidR="00DA1F5B">
        <w:rPr>
          <w:rFonts w:ascii="Times New Roman" w:hAnsi="Times New Roman" w:cs="Times New Roman"/>
          <w:sz w:val="24"/>
          <w:szCs w:val="24"/>
        </w:rPr>
        <w:t>advers</w:t>
      </w:r>
      <w:r w:rsidRPr="003C5A71">
        <w:rPr>
          <w:rFonts w:ascii="Times New Roman" w:hAnsi="Times New Roman" w:cs="Times New Roman"/>
          <w:sz w:val="24"/>
          <w:szCs w:val="24"/>
        </w:rPr>
        <w:t>e effects it may have on the health of its customers</w:t>
      </w:r>
      <w:r w:rsidR="00112866" w:rsidRPr="00112866">
        <w:rPr>
          <w:rFonts w:ascii="Times New Roman" w:hAnsi="Times New Roman" w:cs="Times New Roman"/>
          <w:color w:val="222222"/>
          <w:sz w:val="24"/>
          <w:szCs w:val="24"/>
          <w:shd w:val="clear" w:color="auto" w:fill="FFFFFF"/>
        </w:rPr>
        <w:t xml:space="preserve"> </w:t>
      </w:r>
      <w:r w:rsidR="00112866">
        <w:rPr>
          <w:rFonts w:ascii="Times New Roman" w:hAnsi="Times New Roman" w:cs="Times New Roman"/>
          <w:color w:val="222222"/>
          <w:sz w:val="24"/>
          <w:szCs w:val="24"/>
          <w:shd w:val="clear" w:color="auto" w:fill="FFFFFF"/>
        </w:rPr>
        <w:t>(</w:t>
      </w:r>
      <w:r w:rsidR="00112866" w:rsidRPr="00112866">
        <w:rPr>
          <w:rFonts w:ascii="Times New Roman" w:hAnsi="Times New Roman" w:cs="Times New Roman"/>
          <w:sz w:val="24"/>
          <w:szCs w:val="24"/>
        </w:rPr>
        <w:t>Frost,</w:t>
      </w:r>
      <w:r w:rsidR="00112866">
        <w:rPr>
          <w:rFonts w:ascii="Times New Roman" w:hAnsi="Times New Roman" w:cs="Times New Roman"/>
          <w:sz w:val="24"/>
          <w:szCs w:val="24"/>
        </w:rPr>
        <w:t xml:space="preserve"> </w:t>
      </w:r>
      <w:r w:rsidR="00112866" w:rsidRPr="00112866">
        <w:rPr>
          <w:rFonts w:ascii="Times New Roman" w:hAnsi="Times New Roman" w:cs="Times New Roman"/>
          <w:sz w:val="24"/>
          <w:szCs w:val="24"/>
        </w:rPr>
        <w:t>Huxl</w:t>
      </w:r>
      <w:r w:rsidR="00112866">
        <w:rPr>
          <w:rFonts w:ascii="Times New Roman" w:hAnsi="Times New Roman" w:cs="Times New Roman"/>
          <w:sz w:val="24"/>
          <w:szCs w:val="24"/>
        </w:rPr>
        <w:t xml:space="preserve">ey-Binns, and Martin, </w:t>
      </w:r>
      <w:r w:rsidR="00112866" w:rsidRPr="00112866">
        <w:rPr>
          <w:rFonts w:ascii="Times New Roman" w:hAnsi="Times New Roman" w:cs="Times New Roman"/>
          <w:sz w:val="24"/>
          <w:szCs w:val="24"/>
        </w:rPr>
        <w:t>2020)</w:t>
      </w:r>
      <w:r w:rsidRPr="003C5A71">
        <w:rPr>
          <w:rFonts w:ascii="Times New Roman" w:hAnsi="Times New Roman" w:cs="Times New Roman"/>
          <w:sz w:val="24"/>
          <w:szCs w:val="24"/>
        </w:rPr>
        <w:t>. The rulings</w:t>
      </w:r>
      <w:r w:rsidR="00DA1F5B">
        <w:rPr>
          <w:rFonts w:ascii="Times New Roman" w:hAnsi="Times New Roman" w:cs="Times New Roman"/>
          <w:sz w:val="24"/>
          <w:szCs w:val="24"/>
        </w:rPr>
        <w:t>, in this case,</w:t>
      </w:r>
      <w:r w:rsidRPr="003C5A71">
        <w:rPr>
          <w:rFonts w:ascii="Times New Roman" w:hAnsi="Times New Roman" w:cs="Times New Roman"/>
          <w:sz w:val="24"/>
          <w:szCs w:val="24"/>
        </w:rPr>
        <w:t xml:space="preserve"> have </w:t>
      </w:r>
      <w:r w:rsidR="00DA1F5B">
        <w:rPr>
          <w:rFonts w:ascii="Times New Roman" w:hAnsi="Times New Roman" w:cs="Times New Roman"/>
          <w:sz w:val="24"/>
          <w:szCs w:val="24"/>
        </w:rPr>
        <w:lastRenderedPageBreak/>
        <w:t xml:space="preserve">significantly influenced subsequent instances </w:t>
      </w:r>
      <w:r w:rsidRPr="003C5A71">
        <w:rPr>
          <w:rFonts w:ascii="Times New Roman" w:hAnsi="Times New Roman" w:cs="Times New Roman"/>
          <w:sz w:val="24"/>
          <w:szCs w:val="24"/>
        </w:rPr>
        <w:t>similar to this one. Therefore, because the case of Grant v. Australian Knitting Mills</w:t>
      </w:r>
      <w:r w:rsidR="001878BB">
        <w:rPr>
          <w:rStyle w:val="FootnoteReference"/>
          <w:rFonts w:ascii="Times New Roman" w:hAnsi="Times New Roman" w:cs="Times New Roman"/>
          <w:sz w:val="24"/>
          <w:szCs w:val="24"/>
        </w:rPr>
        <w:footnoteReference w:id="3"/>
      </w:r>
      <w:r w:rsidRPr="003C5A71">
        <w:rPr>
          <w:rFonts w:ascii="Times New Roman" w:hAnsi="Times New Roman" w:cs="Times New Roman"/>
          <w:sz w:val="24"/>
          <w:szCs w:val="24"/>
        </w:rPr>
        <w:t xml:space="preserve"> w</w:t>
      </w:r>
      <w:r w:rsidR="001878BB">
        <w:rPr>
          <w:rFonts w:ascii="Times New Roman" w:hAnsi="Times New Roman" w:cs="Times New Roman"/>
          <w:sz w:val="24"/>
          <w:szCs w:val="24"/>
        </w:rPr>
        <w:t>as similar to</w:t>
      </w:r>
      <w:r w:rsidRPr="003C5A71">
        <w:rPr>
          <w:rFonts w:ascii="Times New Roman" w:hAnsi="Times New Roman" w:cs="Times New Roman"/>
          <w:sz w:val="24"/>
          <w:szCs w:val="24"/>
        </w:rPr>
        <w:t xml:space="preserve"> Donoghue v. Stevenson, the House of Lords decided to utilize the same verdict for both cases. This demonstrates that the case of Donoghue v. Stevenson serves as a precedent that must be followed for the case of Grant v. Australian Kni</w:t>
      </w:r>
      <w:r w:rsidR="00CD59BD">
        <w:rPr>
          <w:rFonts w:ascii="Times New Roman" w:hAnsi="Times New Roman" w:cs="Times New Roman"/>
          <w:sz w:val="24"/>
          <w:szCs w:val="24"/>
        </w:rPr>
        <w:t>tting Mills. The Judges carefully studied</w:t>
      </w:r>
      <w:r w:rsidRPr="003C5A71">
        <w:rPr>
          <w:rFonts w:ascii="Times New Roman" w:hAnsi="Times New Roman" w:cs="Times New Roman"/>
          <w:sz w:val="24"/>
          <w:szCs w:val="24"/>
        </w:rPr>
        <w:t xml:space="preserve"> relevant precedents and c</w:t>
      </w:r>
      <w:r w:rsidR="00DA1F5B">
        <w:rPr>
          <w:rFonts w:ascii="Times New Roman" w:hAnsi="Times New Roman" w:cs="Times New Roman"/>
          <w:sz w:val="24"/>
          <w:szCs w:val="24"/>
        </w:rPr>
        <w:t>a</w:t>
      </w:r>
      <w:r w:rsidRPr="003C5A71">
        <w:rPr>
          <w:rFonts w:ascii="Times New Roman" w:hAnsi="Times New Roman" w:cs="Times New Roman"/>
          <w:sz w:val="24"/>
          <w:szCs w:val="24"/>
        </w:rPr>
        <w:t>me to a consensus regarding the appropriate legal principles to apply.</w:t>
      </w:r>
      <w:r w:rsidR="00CD59BD" w:rsidRPr="00CD59BD">
        <w:t xml:space="preserve"> </w:t>
      </w:r>
      <w:r w:rsidR="00CD59BD" w:rsidRPr="00CD59BD">
        <w:rPr>
          <w:rFonts w:ascii="Times New Roman" w:hAnsi="Times New Roman" w:cs="Times New Roman"/>
          <w:sz w:val="24"/>
          <w:szCs w:val="24"/>
        </w:rPr>
        <w:t>The judgment</w:t>
      </w:r>
      <w:r w:rsidR="00DA1F5B">
        <w:rPr>
          <w:rFonts w:ascii="Times New Roman" w:hAnsi="Times New Roman" w:cs="Times New Roman"/>
          <w:sz w:val="24"/>
          <w:szCs w:val="24"/>
        </w:rPr>
        <w:t>, in this case,</w:t>
      </w:r>
      <w:r w:rsidR="00CD59BD" w:rsidRPr="00CD59BD">
        <w:rPr>
          <w:rFonts w:ascii="Times New Roman" w:hAnsi="Times New Roman" w:cs="Times New Roman"/>
          <w:sz w:val="24"/>
          <w:szCs w:val="24"/>
        </w:rPr>
        <w:t xml:space="preserve"> founded the civil law tort of negligence and forced enterprises to have a duty of reasonable care regarding their clients.</w:t>
      </w:r>
    </w:p>
    <w:p w:rsidR="00A928F0" w:rsidRPr="00A46DA2" w:rsidRDefault="00A928F0" w:rsidP="007C7B8A">
      <w:pPr>
        <w:pStyle w:val="Heading2"/>
        <w:spacing w:line="480" w:lineRule="auto"/>
        <w:rPr>
          <w:rFonts w:ascii="Times New Roman" w:hAnsi="Times New Roman" w:cs="Times New Roman"/>
          <w:b/>
          <w:color w:val="auto"/>
          <w:sz w:val="24"/>
          <w:szCs w:val="24"/>
        </w:rPr>
      </w:pPr>
      <w:bookmarkStart w:id="4" w:name="_Toc106780676"/>
      <w:r w:rsidRPr="00A46DA2">
        <w:rPr>
          <w:rFonts w:ascii="Times New Roman" w:hAnsi="Times New Roman" w:cs="Times New Roman"/>
          <w:b/>
          <w:color w:val="auto"/>
          <w:sz w:val="24"/>
          <w:szCs w:val="24"/>
        </w:rPr>
        <w:t>The Basic Rules of Judicial Precedent</w:t>
      </w:r>
      <w:bookmarkEnd w:id="4"/>
    </w:p>
    <w:p w:rsidR="00D96E6F" w:rsidRDefault="007D385B" w:rsidP="007C7B8A">
      <w:pPr>
        <w:spacing w:after="0" w:line="480" w:lineRule="auto"/>
        <w:ind w:firstLine="720"/>
        <w:jc w:val="both"/>
        <w:rPr>
          <w:rFonts w:ascii="Times New Roman" w:hAnsi="Times New Roman" w:cs="Times New Roman"/>
          <w:sz w:val="24"/>
          <w:szCs w:val="24"/>
        </w:rPr>
      </w:pPr>
      <w:r w:rsidRPr="007D385B">
        <w:rPr>
          <w:rFonts w:ascii="Times New Roman" w:hAnsi="Times New Roman" w:cs="Times New Roman"/>
          <w:sz w:val="24"/>
          <w:szCs w:val="24"/>
        </w:rPr>
        <w:t>The most fundamental principle of judicial precedent is that each court must adhere to the decisions made by courts that came before it in the chain of precedence</w:t>
      </w:r>
      <w:r w:rsidR="00B528BF">
        <w:rPr>
          <w:rFonts w:ascii="Times New Roman" w:hAnsi="Times New Roman" w:cs="Times New Roman"/>
          <w:sz w:val="24"/>
          <w:szCs w:val="24"/>
        </w:rPr>
        <w:t xml:space="preserve"> </w:t>
      </w:r>
      <w:r w:rsidR="00B528BF" w:rsidRPr="00B528BF">
        <w:rPr>
          <w:rFonts w:ascii="Times New Roman" w:hAnsi="Times New Roman" w:cs="Times New Roman"/>
          <w:sz w:val="24"/>
          <w:szCs w:val="24"/>
        </w:rPr>
        <w:t>(Frost, Huxley-Binns, and Martin, 2020)</w:t>
      </w:r>
      <w:r w:rsidRPr="007D385B">
        <w:rPr>
          <w:rFonts w:ascii="Times New Roman" w:hAnsi="Times New Roman" w:cs="Times New Roman"/>
          <w:sz w:val="24"/>
          <w:szCs w:val="24"/>
        </w:rPr>
        <w:t>. Give precedence to decisions made in courts of the same level previously. The European Court of Justice is the highest, and because of its status as a top court, it is unable to adopt the principle of stare decisis. Instead, the European Court of Justice is free to come to its conclusions without looking to past cases as a guide. In addition, the judgment of the European Court of Justice is final and must be followed by all courts in England and Wales</w:t>
      </w:r>
      <w:r w:rsidR="001F6CD6">
        <w:rPr>
          <w:rFonts w:ascii="Times New Roman" w:hAnsi="Times New Roman" w:cs="Times New Roman"/>
          <w:sz w:val="24"/>
          <w:szCs w:val="24"/>
        </w:rPr>
        <w:t xml:space="preserve"> </w:t>
      </w:r>
      <w:r w:rsidR="001F6CD6" w:rsidRPr="001F6CD6">
        <w:rPr>
          <w:rFonts w:ascii="Times New Roman" w:hAnsi="Times New Roman" w:cs="Times New Roman"/>
          <w:sz w:val="24"/>
          <w:szCs w:val="24"/>
        </w:rPr>
        <w:t>(Frost, Huxley-Binns, and Martin, 2020)</w:t>
      </w:r>
      <w:r w:rsidR="00EB638E">
        <w:rPr>
          <w:rFonts w:ascii="Times New Roman" w:hAnsi="Times New Roman" w:cs="Times New Roman"/>
          <w:sz w:val="24"/>
          <w:szCs w:val="24"/>
        </w:rPr>
        <w:t xml:space="preserve">. </w:t>
      </w:r>
      <w:r w:rsidR="00877C93">
        <w:rPr>
          <w:rFonts w:ascii="Times New Roman" w:hAnsi="Times New Roman" w:cs="Times New Roman"/>
          <w:sz w:val="24"/>
          <w:szCs w:val="24"/>
        </w:rPr>
        <w:t>In t</w:t>
      </w:r>
      <w:r w:rsidR="00EB638E">
        <w:rPr>
          <w:rFonts w:ascii="Times New Roman" w:hAnsi="Times New Roman" w:cs="Times New Roman"/>
          <w:sz w:val="24"/>
          <w:szCs w:val="24"/>
        </w:rPr>
        <w:t>he second level</w:t>
      </w:r>
      <w:r w:rsidR="00877C93">
        <w:rPr>
          <w:rFonts w:ascii="Times New Roman" w:hAnsi="Times New Roman" w:cs="Times New Roman"/>
          <w:sz w:val="24"/>
          <w:szCs w:val="24"/>
        </w:rPr>
        <w:t>,</w:t>
      </w:r>
      <w:r w:rsidR="00EB638E">
        <w:rPr>
          <w:rFonts w:ascii="Times New Roman" w:hAnsi="Times New Roman" w:cs="Times New Roman"/>
          <w:sz w:val="24"/>
          <w:szCs w:val="24"/>
        </w:rPr>
        <w:t xml:space="preserve"> called the</w:t>
      </w:r>
      <w:r w:rsidRPr="007D385B">
        <w:rPr>
          <w:rFonts w:ascii="Times New Roman" w:hAnsi="Times New Roman" w:cs="Times New Roman"/>
          <w:sz w:val="24"/>
          <w:szCs w:val="24"/>
        </w:rPr>
        <w:t xml:space="preserve"> Supreme Court, also referred to as the Ho</w:t>
      </w:r>
      <w:r w:rsidR="00EB638E">
        <w:rPr>
          <w:rFonts w:ascii="Times New Roman" w:hAnsi="Times New Roman" w:cs="Times New Roman"/>
          <w:sz w:val="24"/>
          <w:szCs w:val="24"/>
        </w:rPr>
        <w:t>use of Lords in some countries, to be upheld</w:t>
      </w:r>
      <w:r>
        <w:rPr>
          <w:rFonts w:ascii="Times New Roman" w:hAnsi="Times New Roman" w:cs="Times New Roman"/>
          <w:sz w:val="24"/>
          <w:szCs w:val="24"/>
        </w:rPr>
        <w:t>, a compelling concept of stare decisis that maintains persuasive precedents is require</w:t>
      </w:r>
      <w:r w:rsidRPr="007D385B">
        <w:rPr>
          <w:rFonts w:ascii="Times New Roman" w:hAnsi="Times New Roman" w:cs="Times New Roman"/>
          <w:sz w:val="24"/>
          <w:szCs w:val="24"/>
        </w:rPr>
        <w:t xml:space="preserve">d. In addition, the Court of Appeal and the High Court make up the third and fourth levels of the judicial hierarchy, respectively. They are all required to adhere to the regulations established by the courts that sit above them in the </w:t>
      </w:r>
      <w:r>
        <w:rPr>
          <w:rFonts w:ascii="Times New Roman" w:hAnsi="Times New Roman" w:cs="Times New Roman"/>
          <w:sz w:val="24"/>
          <w:szCs w:val="24"/>
        </w:rPr>
        <w:t>legal system hierarchy</w:t>
      </w:r>
      <w:r w:rsidR="00EB638E">
        <w:rPr>
          <w:rFonts w:ascii="Times New Roman" w:hAnsi="Times New Roman" w:cs="Times New Roman"/>
          <w:sz w:val="24"/>
          <w:szCs w:val="24"/>
        </w:rPr>
        <w:t>. Therefore,</w:t>
      </w:r>
      <w:r w:rsidRPr="007D385B">
        <w:rPr>
          <w:rFonts w:ascii="Times New Roman" w:hAnsi="Times New Roman" w:cs="Times New Roman"/>
          <w:sz w:val="24"/>
          <w:szCs w:val="24"/>
        </w:rPr>
        <w:t xml:space="preserve"> </w:t>
      </w:r>
      <w:r>
        <w:rPr>
          <w:rFonts w:ascii="Times New Roman" w:hAnsi="Times New Roman" w:cs="Times New Roman"/>
          <w:sz w:val="24"/>
          <w:szCs w:val="24"/>
        </w:rPr>
        <w:t>all tiers of the court must comply with the principle of stare decisis</w:t>
      </w:r>
      <w:r w:rsidRPr="007D385B">
        <w:rPr>
          <w:rFonts w:ascii="Times New Roman" w:hAnsi="Times New Roman" w:cs="Times New Roman"/>
          <w:sz w:val="24"/>
          <w:szCs w:val="24"/>
        </w:rPr>
        <w:t>.</w:t>
      </w:r>
    </w:p>
    <w:p w:rsidR="00E04E0D" w:rsidRDefault="00E04E0D" w:rsidP="00456442">
      <w:pPr>
        <w:pStyle w:val="Heading1"/>
        <w:spacing w:before="0" w:line="480" w:lineRule="auto"/>
        <w:jc w:val="both"/>
        <w:rPr>
          <w:rFonts w:ascii="Times New Roman" w:hAnsi="Times New Roman" w:cs="Times New Roman"/>
          <w:b/>
          <w:color w:val="auto"/>
          <w:sz w:val="24"/>
          <w:szCs w:val="24"/>
        </w:rPr>
      </w:pPr>
      <w:bookmarkStart w:id="5" w:name="_Toc106780677"/>
      <w:r w:rsidRPr="00E04E0D">
        <w:rPr>
          <w:rFonts w:ascii="Times New Roman" w:hAnsi="Times New Roman" w:cs="Times New Roman"/>
          <w:b/>
          <w:color w:val="auto"/>
          <w:sz w:val="24"/>
          <w:szCs w:val="24"/>
        </w:rPr>
        <w:lastRenderedPageBreak/>
        <w:t>Importance of the Doctrine of Judicial Precedent</w:t>
      </w:r>
      <w:bookmarkEnd w:id="5"/>
    </w:p>
    <w:p w:rsidR="00E04E0D" w:rsidRDefault="0058411C" w:rsidP="00456442">
      <w:pPr>
        <w:spacing w:after="0" w:line="480" w:lineRule="auto"/>
        <w:ind w:firstLine="720"/>
        <w:jc w:val="both"/>
        <w:rPr>
          <w:rFonts w:ascii="Times New Roman" w:hAnsi="Times New Roman" w:cs="Times New Roman"/>
          <w:sz w:val="24"/>
          <w:szCs w:val="24"/>
        </w:rPr>
      </w:pPr>
      <w:r w:rsidRPr="0058411C">
        <w:rPr>
          <w:rFonts w:ascii="Times New Roman" w:hAnsi="Times New Roman" w:cs="Times New Roman"/>
          <w:sz w:val="24"/>
          <w:szCs w:val="24"/>
        </w:rPr>
        <w:t xml:space="preserve">The stability </w:t>
      </w:r>
      <w:r w:rsidR="00877C93">
        <w:rPr>
          <w:rFonts w:ascii="Times New Roman" w:hAnsi="Times New Roman" w:cs="Times New Roman"/>
          <w:sz w:val="24"/>
          <w:szCs w:val="24"/>
        </w:rPr>
        <w:t>established by judicial precedent is</w:t>
      </w:r>
      <w:r w:rsidRPr="0058411C">
        <w:rPr>
          <w:rFonts w:ascii="Times New Roman" w:hAnsi="Times New Roman" w:cs="Times New Roman"/>
          <w:sz w:val="24"/>
          <w:szCs w:val="24"/>
        </w:rPr>
        <w:t xml:space="preserve"> </w:t>
      </w:r>
      <w:r w:rsidR="00877C93">
        <w:rPr>
          <w:rFonts w:ascii="Times New Roman" w:hAnsi="Times New Roman" w:cs="Times New Roman"/>
          <w:sz w:val="24"/>
          <w:szCs w:val="24"/>
        </w:rPr>
        <w:t>essential in preserving the legal system's coherence and legitimacy</w:t>
      </w:r>
      <w:r w:rsidRPr="0058411C">
        <w:rPr>
          <w:rFonts w:ascii="Times New Roman" w:hAnsi="Times New Roman" w:cs="Times New Roman"/>
          <w:sz w:val="24"/>
          <w:szCs w:val="24"/>
        </w:rPr>
        <w:t xml:space="preserve">. A judge will sometimes construct their law, known as judicial precedent. It is not created </w:t>
      </w:r>
      <w:r w:rsidR="00877C93">
        <w:rPr>
          <w:rFonts w:ascii="Times New Roman" w:hAnsi="Times New Roman" w:cs="Times New Roman"/>
          <w:sz w:val="24"/>
          <w:szCs w:val="24"/>
        </w:rPr>
        <w:t>randomly but instead follows</w:t>
      </w:r>
      <w:r w:rsidRPr="0058411C">
        <w:rPr>
          <w:rFonts w:ascii="Times New Roman" w:hAnsi="Times New Roman" w:cs="Times New Roman"/>
          <w:sz w:val="24"/>
          <w:szCs w:val="24"/>
        </w:rPr>
        <w:t xml:space="preserve"> a series of rules, the most important of which is the stringent doctrine of stare decisis, designed to ensure the certainty of judicial precedent. The precedent established by the </w:t>
      </w:r>
      <w:r w:rsidR="00877C93">
        <w:rPr>
          <w:rFonts w:ascii="Times New Roman" w:hAnsi="Times New Roman" w:cs="Times New Roman"/>
          <w:sz w:val="24"/>
          <w:szCs w:val="24"/>
        </w:rPr>
        <w:t>higher court's judgment serves as the model for the lower court's judgmen</w:t>
      </w:r>
      <w:r w:rsidRPr="0058411C">
        <w:rPr>
          <w:rFonts w:ascii="Times New Roman" w:hAnsi="Times New Roman" w:cs="Times New Roman"/>
          <w:sz w:val="24"/>
          <w:szCs w:val="24"/>
        </w:rPr>
        <w:t>t</w:t>
      </w:r>
      <w:r w:rsidR="00F75A47">
        <w:rPr>
          <w:rFonts w:ascii="Times New Roman" w:hAnsi="Times New Roman" w:cs="Times New Roman"/>
          <w:sz w:val="24"/>
          <w:szCs w:val="24"/>
        </w:rPr>
        <w:t xml:space="preserve"> </w:t>
      </w:r>
      <w:r w:rsidR="00F75A47" w:rsidRPr="00F75A47">
        <w:rPr>
          <w:rFonts w:ascii="Times New Roman" w:hAnsi="Times New Roman" w:cs="Times New Roman"/>
          <w:sz w:val="24"/>
          <w:szCs w:val="24"/>
        </w:rPr>
        <w:t>(Frost, Huxley-Binns, and Martin, 2020)</w:t>
      </w:r>
      <w:r w:rsidRPr="0058411C">
        <w:rPr>
          <w:rFonts w:ascii="Times New Roman" w:hAnsi="Times New Roman" w:cs="Times New Roman"/>
          <w:sz w:val="24"/>
          <w:szCs w:val="24"/>
        </w:rPr>
        <w:t xml:space="preserve">. Strict and cautious compliance with the </w:t>
      </w:r>
      <w:r w:rsidR="00877C93">
        <w:rPr>
          <w:rFonts w:ascii="Times New Roman" w:hAnsi="Times New Roman" w:cs="Times New Roman"/>
          <w:sz w:val="24"/>
          <w:szCs w:val="24"/>
        </w:rPr>
        <w:t>precedent results leads to legal norms</w:t>
      </w:r>
      <w:r w:rsidRPr="0058411C">
        <w:rPr>
          <w:rFonts w:ascii="Times New Roman" w:hAnsi="Times New Roman" w:cs="Times New Roman"/>
          <w:sz w:val="24"/>
          <w:szCs w:val="24"/>
        </w:rPr>
        <w:t xml:space="preserve"> applied in the same manner across all courts. </w:t>
      </w:r>
      <w:r w:rsidR="00FF35B6">
        <w:rPr>
          <w:rStyle w:val="FootnoteReference"/>
          <w:rFonts w:ascii="Times New Roman" w:hAnsi="Times New Roman" w:cs="Times New Roman"/>
          <w:sz w:val="24"/>
          <w:szCs w:val="24"/>
        </w:rPr>
        <w:footnoteReference w:id="4"/>
      </w:r>
      <w:r w:rsidRPr="0058411C">
        <w:rPr>
          <w:rFonts w:ascii="Times New Roman" w:hAnsi="Times New Roman" w:cs="Times New Roman"/>
          <w:sz w:val="24"/>
          <w:szCs w:val="24"/>
        </w:rPr>
        <w:t>Donoghue v. Stevenson and Grant v. Australian Knitting Mills</w:t>
      </w:r>
      <w:r w:rsidR="00FF35B6">
        <w:rPr>
          <w:rStyle w:val="FootnoteReference"/>
          <w:rFonts w:ascii="Times New Roman" w:hAnsi="Times New Roman" w:cs="Times New Roman"/>
          <w:sz w:val="24"/>
          <w:szCs w:val="24"/>
        </w:rPr>
        <w:footnoteReference w:id="5"/>
      </w:r>
      <w:r w:rsidRPr="0058411C">
        <w:rPr>
          <w:rFonts w:ascii="Times New Roman" w:hAnsi="Times New Roman" w:cs="Times New Roman"/>
          <w:sz w:val="24"/>
          <w:szCs w:val="24"/>
        </w:rPr>
        <w:t xml:space="preserve"> are two cases that illustrate this point. The c</w:t>
      </w:r>
      <w:r w:rsidR="00877C93">
        <w:rPr>
          <w:rFonts w:ascii="Times New Roman" w:hAnsi="Times New Roman" w:cs="Times New Roman"/>
          <w:sz w:val="24"/>
          <w:szCs w:val="24"/>
        </w:rPr>
        <w:t>ourt heard the case of Grant v. Australian Knitting Mills</w:t>
      </w:r>
      <w:r w:rsidRPr="0058411C">
        <w:rPr>
          <w:rFonts w:ascii="Times New Roman" w:hAnsi="Times New Roman" w:cs="Times New Roman"/>
          <w:sz w:val="24"/>
          <w:szCs w:val="24"/>
        </w:rPr>
        <w:t xml:space="preserve"> through the Donoghue v. Stevenson case, which had been he</w:t>
      </w:r>
      <w:r w:rsidR="00877C93">
        <w:rPr>
          <w:rFonts w:ascii="Times New Roman" w:hAnsi="Times New Roman" w:cs="Times New Roman"/>
          <w:sz w:val="24"/>
          <w:szCs w:val="24"/>
        </w:rPr>
        <w:t xml:space="preserve">ard and decided upon before. This case </w:t>
      </w:r>
      <w:r w:rsidR="00FF35B6">
        <w:rPr>
          <w:rFonts w:ascii="Times New Roman" w:hAnsi="Times New Roman" w:cs="Times New Roman"/>
          <w:sz w:val="24"/>
          <w:szCs w:val="24"/>
        </w:rPr>
        <w:t>recognize</w:t>
      </w:r>
      <w:r w:rsidR="00877C93">
        <w:rPr>
          <w:rFonts w:ascii="Times New Roman" w:hAnsi="Times New Roman" w:cs="Times New Roman"/>
          <w:sz w:val="24"/>
          <w:szCs w:val="24"/>
        </w:rPr>
        <w:t>s</w:t>
      </w:r>
      <w:r w:rsidR="00FF35B6">
        <w:rPr>
          <w:rFonts w:ascii="Times New Roman" w:hAnsi="Times New Roman" w:cs="Times New Roman"/>
          <w:sz w:val="24"/>
          <w:szCs w:val="24"/>
        </w:rPr>
        <w:t xml:space="preserve"> the importance </w:t>
      </w:r>
      <w:r w:rsidRPr="0058411C">
        <w:rPr>
          <w:rFonts w:ascii="Times New Roman" w:hAnsi="Times New Roman" w:cs="Times New Roman"/>
          <w:sz w:val="24"/>
          <w:szCs w:val="24"/>
        </w:rPr>
        <w:t>that come</w:t>
      </w:r>
      <w:r w:rsidR="00877C93">
        <w:rPr>
          <w:rFonts w:ascii="Times New Roman" w:hAnsi="Times New Roman" w:cs="Times New Roman"/>
          <w:sz w:val="24"/>
          <w:szCs w:val="24"/>
        </w:rPr>
        <w:t>s</w:t>
      </w:r>
      <w:r w:rsidRPr="0058411C">
        <w:rPr>
          <w:rFonts w:ascii="Times New Roman" w:hAnsi="Times New Roman" w:cs="Times New Roman"/>
          <w:sz w:val="24"/>
          <w:szCs w:val="24"/>
        </w:rPr>
        <w:t xml:space="preserve"> with having judicial precedent.</w:t>
      </w:r>
    </w:p>
    <w:p w:rsidR="00F75A47" w:rsidRPr="00F75A47" w:rsidRDefault="00F75A47" w:rsidP="00494A51">
      <w:pPr>
        <w:spacing w:after="0" w:line="480" w:lineRule="auto"/>
        <w:ind w:firstLine="720"/>
        <w:jc w:val="both"/>
        <w:rPr>
          <w:rFonts w:ascii="Times New Roman" w:hAnsi="Times New Roman" w:cs="Times New Roman"/>
          <w:sz w:val="24"/>
          <w:szCs w:val="24"/>
        </w:rPr>
      </w:pPr>
      <w:r w:rsidRPr="00F75A47">
        <w:rPr>
          <w:rFonts w:ascii="Times New Roman" w:hAnsi="Times New Roman" w:cs="Times New Roman"/>
          <w:sz w:val="24"/>
          <w:szCs w:val="24"/>
        </w:rPr>
        <w:t xml:space="preserve">Precedents set by the judiciary </w:t>
      </w:r>
      <w:r w:rsidR="00877C93">
        <w:rPr>
          <w:rFonts w:ascii="Times New Roman" w:hAnsi="Times New Roman" w:cs="Times New Roman"/>
          <w:sz w:val="24"/>
          <w:szCs w:val="24"/>
        </w:rPr>
        <w:t>can</w:t>
      </w:r>
      <w:r w:rsidRPr="00F75A47">
        <w:rPr>
          <w:rFonts w:ascii="Times New Roman" w:hAnsi="Times New Roman" w:cs="Times New Roman"/>
          <w:sz w:val="24"/>
          <w:szCs w:val="24"/>
        </w:rPr>
        <w:t xml:space="preserve"> swiftly embody the many objectives of community relationships for legal adaptation</w:t>
      </w:r>
      <w:r w:rsidR="001118F1">
        <w:rPr>
          <w:rFonts w:ascii="Times New Roman" w:hAnsi="Times New Roman" w:cs="Times New Roman"/>
          <w:sz w:val="24"/>
          <w:szCs w:val="24"/>
        </w:rPr>
        <w:t>. T</w:t>
      </w:r>
      <w:r w:rsidRPr="00F75A47">
        <w:rPr>
          <w:rFonts w:ascii="Times New Roman" w:hAnsi="Times New Roman" w:cs="Times New Roman"/>
          <w:sz w:val="24"/>
          <w:szCs w:val="24"/>
        </w:rPr>
        <w:t xml:space="preserve">hey can also </w:t>
      </w:r>
      <w:r w:rsidR="00877C93">
        <w:rPr>
          <w:rFonts w:ascii="Times New Roman" w:hAnsi="Times New Roman" w:cs="Times New Roman"/>
          <w:sz w:val="24"/>
          <w:szCs w:val="24"/>
        </w:rPr>
        <w:t>promptly define the legal norms necessary to satisfy society's demands</w:t>
      </w:r>
      <w:r w:rsidRPr="00F75A47">
        <w:rPr>
          <w:rFonts w:ascii="Times New Roman" w:hAnsi="Times New Roman" w:cs="Times New Roman"/>
          <w:sz w:val="24"/>
          <w:szCs w:val="24"/>
        </w:rPr>
        <w:t xml:space="preserve">. Thus, as long as the law has not been updated, the case can only be addressed in line with the </w:t>
      </w:r>
      <w:r w:rsidR="00877C93">
        <w:rPr>
          <w:rFonts w:ascii="Times New Roman" w:hAnsi="Times New Roman" w:cs="Times New Roman"/>
          <w:sz w:val="24"/>
          <w:szCs w:val="24"/>
        </w:rPr>
        <w:t>law's specifications</w:t>
      </w:r>
      <w:r w:rsidRPr="00F75A47">
        <w:rPr>
          <w:rFonts w:ascii="Times New Roman" w:hAnsi="Times New Roman" w:cs="Times New Roman"/>
          <w:sz w:val="24"/>
          <w:szCs w:val="24"/>
        </w:rPr>
        <w:t>, regardless of how the actual worth standard disagrees with the value standard of the law</w:t>
      </w:r>
      <w:r w:rsidR="00521947">
        <w:rPr>
          <w:rFonts w:ascii="Times New Roman" w:hAnsi="Times New Roman" w:cs="Times New Roman"/>
          <w:sz w:val="24"/>
          <w:szCs w:val="24"/>
        </w:rPr>
        <w:t xml:space="preserve"> </w:t>
      </w:r>
      <w:r w:rsidR="00521947" w:rsidRPr="00521947">
        <w:rPr>
          <w:rFonts w:ascii="Times New Roman" w:hAnsi="Times New Roman" w:cs="Times New Roman"/>
          <w:sz w:val="24"/>
          <w:szCs w:val="24"/>
        </w:rPr>
        <w:t>(Frost, Huxley-Binns, and Martin, 2020)</w:t>
      </w:r>
      <w:r w:rsidRPr="00F75A47">
        <w:rPr>
          <w:rFonts w:ascii="Times New Roman" w:hAnsi="Times New Roman" w:cs="Times New Roman"/>
          <w:sz w:val="24"/>
          <w:szCs w:val="24"/>
        </w:rPr>
        <w:t>. This is true even if the actual worth standard i</w:t>
      </w:r>
      <w:r w:rsidR="00C61979">
        <w:rPr>
          <w:rFonts w:ascii="Times New Roman" w:hAnsi="Times New Roman" w:cs="Times New Roman"/>
          <w:sz w:val="24"/>
          <w:szCs w:val="24"/>
        </w:rPr>
        <w:t>s higher and</w:t>
      </w:r>
      <w:r w:rsidRPr="00F75A47">
        <w:rPr>
          <w:rFonts w:ascii="Times New Roman" w:hAnsi="Times New Roman" w:cs="Times New Roman"/>
          <w:sz w:val="24"/>
          <w:szCs w:val="24"/>
        </w:rPr>
        <w:t xml:space="preserve"> the circumstance surrounding court precedent is unique</w:t>
      </w:r>
      <w:r w:rsidR="00877C93">
        <w:rPr>
          <w:rFonts w:ascii="Times New Roman" w:hAnsi="Times New Roman" w:cs="Times New Roman"/>
          <w:sz w:val="24"/>
          <w:szCs w:val="24"/>
        </w:rPr>
        <w:t xml:space="preserve">. In the area of judicial precedents, judges are not only required to follow previous </w:t>
      </w:r>
      <w:r w:rsidR="00877C93">
        <w:rPr>
          <w:rFonts w:ascii="Times New Roman" w:hAnsi="Times New Roman" w:cs="Times New Roman"/>
          <w:sz w:val="24"/>
          <w:szCs w:val="24"/>
        </w:rPr>
        <w:lastRenderedPageBreak/>
        <w:t>precedents but also</w:t>
      </w:r>
      <w:r w:rsidRPr="00F75A47">
        <w:rPr>
          <w:rFonts w:ascii="Times New Roman" w:hAnsi="Times New Roman" w:cs="Times New Roman"/>
          <w:sz w:val="24"/>
          <w:szCs w:val="24"/>
        </w:rPr>
        <w:t xml:space="preserve"> to establish new precedents. These new precedents should preserve the </w:t>
      </w:r>
      <w:r w:rsidR="00877C93">
        <w:rPr>
          <w:rFonts w:ascii="Times New Roman" w:hAnsi="Times New Roman" w:cs="Times New Roman"/>
          <w:sz w:val="24"/>
          <w:szCs w:val="24"/>
        </w:rPr>
        <w:t>law's consistency and reliability while</w:t>
      </w:r>
      <w:r w:rsidRPr="00F75A47">
        <w:rPr>
          <w:rFonts w:ascii="Times New Roman" w:hAnsi="Times New Roman" w:cs="Times New Roman"/>
          <w:sz w:val="24"/>
          <w:szCs w:val="24"/>
        </w:rPr>
        <w:t xml:space="preserve"> allowing it to adapt to changes in the surrounding environment.</w:t>
      </w:r>
    </w:p>
    <w:p w:rsidR="00F75A47" w:rsidRDefault="00877C93" w:rsidP="00E7381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Judicial precedent also enables </w:t>
      </w:r>
      <w:r w:rsidR="00E73812">
        <w:rPr>
          <w:rFonts w:ascii="Times New Roman" w:hAnsi="Times New Roman" w:cs="Times New Roman"/>
          <w:sz w:val="24"/>
          <w:szCs w:val="24"/>
        </w:rPr>
        <w:t xml:space="preserve">a </w:t>
      </w:r>
      <w:r>
        <w:rPr>
          <w:rFonts w:ascii="Times New Roman" w:hAnsi="Times New Roman" w:cs="Times New Roman"/>
          <w:sz w:val="24"/>
          <w:szCs w:val="24"/>
        </w:rPr>
        <w:t>clear understanding of the cases and analyse</w:t>
      </w:r>
      <w:r w:rsidR="00E73812">
        <w:rPr>
          <w:rFonts w:ascii="Times New Roman" w:hAnsi="Times New Roman" w:cs="Times New Roman"/>
          <w:sz w:val="24"/>
          <w:szCs w:val="24"/>
        </w:rPr>
        <w:t>s any difference, no matter how</w:t>
      </w:r>
      <w:r>
        <w:rPr>
          <w:rFonts w:ascii="Times New Roman" w:hAnsi="Times New Roman" w:cs="Times New Roman"/>
          <w:sz w:val="24"/>
          <w:szCs w:val="24"/>
        </w:rPr>
        <w:t xml:space="preserve"> small. For instance, t</w:t>
      </w:r>
      <w:r w:rsidR="00F75A47" w:rsidRPr="00F75A47">
        <w:rPr>
          <w:rFonts w:ascii="Times New Roman" w:hAnsi="Times New Roman" w:cs="Times New Roman"/>
          <w:sz w:val="24"/>
          <w:szCs w:val="24"/>
        </w:rPr>
        <w:t>he court drew a line of demarcation b</w:t>
      </w:r>
      <w:r w:rsidR="00CE0577">
        <w:rPr>
          <w:rFonts w:ascii="Times New Roman" w:hAnsi="Times New Roman" w:cs="Times New Roman"/>
          <w:sz w:val="24"/>
          <w:szCs w:val="24"/>
        </w:rPr>
        <w:t xml:space="preserve">etween the cases of </w:t>
      </w:r>
      <w:r w:rsidR="008B0954">
        <w:rPr>
          <w:rStyle w:val="FootnoteReference"/>
          <w:rFonts w:ascii="Times New Roman" w:hAnsi="Times New Roman" w:cs="Times New Roman"/>
          <w:sz w:val="24"/>
          <w:szCs w:val="24"/>
        </w:rPr>
        <w:footnoteReference w:id="6"/>
      </w:r>
      <w:r w:rsidR="00CE0577">
        <w:rPr>
          <w:rFonts w:ascii="Times New Roman" w:hAnsi="Times New Roman" w:cs="Times New Roman"/>
          <w:sz w:val="24"/>
          <w:szCs w:val="24"/>
        </w:rPr>
        <w:t>R v. Wilson and R v. Brown</w:t>
      </w:r>
      <w:r w:rsidR="008B0954">
        <w:rPr>
          <w:rStyle w:val="FootnoteReference"/>
          <w:rFonts w:ascii="Times New Roman" w:hAnsi="Times New Roman" w:cs="Times New Roman"/>
          <w:sz w:val="24"/>
          <w:szCs w:val="24"/>
        </w:rPr>
        <w:footnoteReference w:id="7"/>
      </w:r>
      <w:r w:rsidR="00F75A47" w:rsidRPr="00F75A47">
        <w:rPr>
          <w:rFonts w:ascii="Times New Roman" w:hAnsi="Times New Roman" w:cs="Times New Roman"/>
          <w:sz w:val="24"/>
          <w:szCs w:val="24"/>
        </w:rPr>
        <w:t xml:space="preserve"> based on the decision in R v. </w:t>
      </w:r>
      <w:r w:rsidR="00CE0577">
        <w:rPr>
          <w:rFonts w:ascii="Times New Roman" w:hAnsi="Times New Roman" w:cs="Times New Roman"/>
          <w:sz w:val="24"/>
          <w:szCs w:val="24"/>
        </w:rPr>
        <w:t>Wilson</w:t>
      </w:r>
      <w:r w:rsidR="00F75A47" w:rsidRPr="00F75A47">
        <w:rPr>
          <w:rFonts w:ascii="Times New Roman" w:hAnsi="Times New Roman" w:cs="Times New Roman"/>
          <w:sz w:val="24"/>
          <w:szCs w:val="24"/>
        </w:rPr>
        <w:t xml:space="preserve">. </w:t>
      </w:r>
      <w:r w:rsidR="00F3360B">
        <w:rPr>
          <w:rFonts w:ascii="Times New Roman" w:hAnsi="Times New Roman" w:cs="Times New Roman"/>
          <w:sz w:val="24"/>
          <w:szCs w:val="24"/>
        </w:rPr>
        <w:t xml:space="preserve">In the case of R v Wilson, </w:t>
      </w:r>
      <w:r w:rsidR="00F75A47" w:rsidRPr="00F75A47">
        <w:rPr>
          <w:rFonts w:ascii="Times New Roman" w:hAnsi="Times New Roman" w:cs="Times New Roman"/>
          <w:sz w:val="24"/>
          <w:szCs w:val="24"/>
        </w:rPr>
        <w:t>Wilson did not have any hostile intentions toward his wife</w:t>
      </w:r>
      <w:r w:rsidR="00E73812">
        <w:rPr>
          <w:rFonts w:ascii="Times New Roman" w:hAnsi="Times New Roman" w:cs="Times New Roman"/>
          <w:sz w:val="24"/>
          <w:szCs w:val="24"/>
        </w:rPr>
        <w:t>, unlike in the case of R v Brown.</w:t>
      </w:r>
      <w:r w:rsidR="00F75A47" w:rsidRPr="00F75A47">
        <w:rPr>
          <w:rFonts w:ascii="Times New Roman" w:hAnsi="Times New Roman" w:cs="Times New Roman"/>
          <w:sz w:val="24"/>
          <w:szCs w:val="24"/>
        </w:rPr>
        <w:t xml:space="preserve"> </w:t>
      </w:r>
      <w:r w:rsidR="00E73812">
        <w:rPr>
          <w:rFonts w:ascii="Times New Roman" w:hAnsi="Times New Roman" w:cs="Times New Roman"/>
          <w:sz w:val="24"/>
          <w:szCs w:val="24"/>
        </w:rPr>
        <w:t>E</w:t>
      </w:r>
      <w:r>
        <w:rPr>
          <w:rFonts w:ascii="Times New Roman" w:hAnsi="Times New Roman" w:cs="Times New Roman"/>
          <w:sz w:val="24"/>
          <w:szCs w:val="24"/>
        </w:rPr>
        <w:t>ven though</w:t>
      </w:r>
      <w:r w:rsidR="00F75A47" w:rsidRPr="00F75A47">
        <w:rPr>
          <w:rFonts w:ascii="Times New Roman" w:hAnsi="Times New Roman" w:cs="Times New Roman"/>
          <w:sz w:val="24"/>
          <w:szCs w:val="24"/>
        </w:rPr>
        <w:t xml:space="preserve"> the two </w:t>
      </w:r>
      <w:r>
        <w:rPr>
          <w:rFonts w:ascii="Times New Roman" w:hAnsi="Times New Roman" w:cs="Times New Roman"/>
          <w:sz w:val="24"/>
          <w:szCs w:val="24"/>
        </w:rPr>
        <w:t>instanc</w:t>
      </w:r>
      <w:r w:rsidR="00F75A47" w:rsidRPr="00F75A47">
        <w:rPr>
          <w:rFonts w:ascii="Times New Roman" w:hAnsi="Times New Roman" w:cs="Times New Roman"/>
          <w:sz w:val="24"/>
          <w:szCs w:val="24"/>
        </w:rPr>
        <w:t xml:space="preserve">es shared some similarities in their background and setting, </w:t>
      </w:r>
      <w:r w:rsidR="00E73812">
        <w:rPr>
          <w:rFonts w:ascii="Times New Roman" w:hAnsi="Times New Roman" w:cs="Times New Roman"/>
          <w:sz w:val="24"/>
          <w:szCs w:val="24"/>
        </w:rPr>
        <w:t>there was no factual resemblance between them</w:t>
      </w:r>
      <w:r w:rsidR="00F75A47" w:rsidRPr="00F75A47">
        <w:rPr>
          <w:rFonts w:ascii="Times New Roman" w:hAnsi="Times New Roman" w:cs="Times New Roman"/>
          <w:sz w:val="24"/>
          <w:szCs w:val="24"/>
        </w:rPr>
        <w:t xml:space="preserve"> the two cases. As a consequence, Wilson's conviction was overturned. </w:t>
      </w:r>
      <w:r w:rsidR="00F3360B">
        <w:rPr>
          <w:rFonts w:ascii="Times New Roman" w:hAnsi="Times New Roman" w:cs="Times New Roman"/>
          <w:sz w:val="24"/>
          <w:szCs w:val="24"/>
        </w:rPr>
        <w:t xml:space="preserve">Although the cases </w:t>
      </w:r>
      <w:r w:rsidR="00F3360B" w:rsidRPr="00F3360B">
        <w:rPr>
          <w:rFonts w:ascii="Times New Roman" w:hAnsi="Times New Roman" w:cs="Times New Roman"/>
          <w:sz w:val="24"/>
          <w:szCs w:val="24"/>
        </w:rPr>
        <w:t xml:space="preserve">served as </w:t>
      </w:r>
      <w:r w:rsidR="00E73812">
        <w:rPr>
          <w:rFonts w:ascii="Times New Roman" w:hAnsi="Times New Roman" w:cs="Times New Roman"/>
          <w:sz w:val="24"/>
          <w:szCs w:val="24"/>
        </w:rPr>
        <w:t xml:space="preserve">a </w:t>
      </w:r>
      <w:r w:rsidR="00F3360B" w:rsidRPr="00F3360B">
        <w:rPr>
          <w:rFonts w:ascii="Times New Roman" w:hAnsi="Times New Roman" w:cs="Times New Roman"/>
          <w:sz w:val="24"/>
          <w:szCs w:val="24"/>
        </w:rPr>
        <w:t xml:space="preserve">precedent for the idea that permission is not a defense </w:t>
      </w:r>
      <w:r w:rsidR="00E73812">
        <w:rPr>
          <w:rFonts w:ascii="Times New Roman" w:hAnsi="Times New Roman" w:cs="Times New Roman"/>
          <w:sz w:val="24"/>
          <w:szCs w:val="24"/>
        </w:rPr>
        <w:t>against</w:t>
      </w:r>
      <w:r w:rsidR="00F3360B" w:rsidRPr="00F3360B">
        <w:rPr>
          <w:rFonts w:ascii="Times New Roman" w:hAnsi="Times New Roman" w:cs="Times New Roman"/>
          <w:sz w:val="24"/>
          <w:szCs w:val="24"/>
        </w:rPr>
        <w:t xml:space="preserve"> an assault that results in bodily damage to a person.</w:t>
      </w:r>
      <w:r w:rsidR="00F3360B">
        <w:rPr>
          <w:rFonts w:ascii="Times New Roman" w:hAnsi="Times New Roman" w:cs="Times New Roman"/>
          <w:sz w:val="24"/>
          <w:szCs w:val="24"/>
        </w:rPr>
        <w:t xml:space="preserve"> </w:t>
      </w:r>
      <w:r w:rsidR="00F75A47" w:rsidRPr="00F75A47">
        <w:rPr>
          <w:rFonts w:ascii="Times New Roman" w:hAnsi="Times New Roman" w:cs="Times New Roman"/>
          <w:sz w:val="24"/>
          <w:szCs w:val="24"/>
        </w:rPr>
        <w:t xml:space="preserve">The establishment of judicial precedents contributes to increased oversight of the judicial system and helps keep judges from treating cases </w:t>
      </w:r>
      <w:r w:rsidR="00E73812">
        <w:rPr>
          <w:rFonts w:ascii="Times New Roman" w:hAnsi="Times New Roman" w:cs="Times New Roman"/>
          <w:sz w:val="24"/>
          <w:szCs w:val="24"/>
        </w:rPr>
        <w:t>arbitrarily</w:t>
      </w:r>
      <w:r w:rsidR="00C61979">
        <w:rPr>
          <w:rFonts w:ascii="Times New Roman" w:hAnsi="Times New Roman" w:cs="Times New Roman"/>
          <w:sz w:val="24"/>
          <w:szCs w:val="24"/>
        </w:rPr>
        <w:t xml:space="preserve"> </w:t>
      </w:r>
      <w:r w:rsidR="00C61979" w:rsidRPr="00C61979">
        <w:rPr>
          <w:rFonts w:ascii="Times New Roman" w:hAnsi="Times New Roman" w:cs="Times New Roman"/>
          <w:sz w:val="24"/>
          <w:szCs w:val="24"/>
        </w:rPr>
        <w:t>(Frost, Huxley-Binns, and Martin, 2020)</w:t>
      </w:r>
      <w:r w:rsidR="00F75A47" w:rsidRPr="00F75A47">
        <w:rPr>
          <w:rFonts w:ascii="Times New Roman" w:hAnsi="Times New Roman" w:cs="Times New Roman"/>
          <w:sz w:val="24"/>
          <w:szCs w:val="24"/>
        </w:rPr>
        <w:t xml:space="preserve">. After the conclusion of the case has been reached, the judges are obligated to expound on their decisions in the form of a judgment, which must be made public because the court precedent mandates that all judgments </w:t>
      </w:r>
      <w:bookmarkStart w:id="6" w:name="_GoBack"/>
      <w:bookmarkEnd w:id="6"/>
      <w:r w:rsidR="00F75A47" w:rsidRPr="00F75A47">
        <w:rPr>
          <w:rFonts w:ascii="Times New Roman" w:hAnsi="Times New Roman" w:cs="Times New Roman"/>
          <w:sz w:val="24"/>
          <w:szCs w:val="24"/>
        </w:rPr>
        <w:t>be disclosed to the pub</w:t>
      </w:r>
      <w:r w:rsidR="00CE0577">
        <w:rPr>
          <w:rFonts w:ascii="Times New Roman" w:hAnsi="Times New Roman" w:cs="Times New Roman"/>
          <w:sz w:val="24"/>
          <w:szCs w:val="24"/>
        </w:rPr>
        <w:t>lic. In light of this, any judicial</w:t>
      </w:r>
      <w:r w:rsidR="00F75A47" w:rsidRPr="00F75A47">
        <w:rPr>
          <w:rFonts w:ascii="Times New Roman" w:hAnsi="Times New Roman" w:cs="Times New Roman"/>
          <w:sz w:val="24"/>
          <w:szCs w:val="24"/>
        </w:rPr>
        <w:t xml:space="preserve"> presiding </w:t>
      </w:r>
      <w:r w:rsidR="00CE0577">
        <w:rPr>
          <w:rFonts w:ascii="Times New Roman" w:hAnsi="Times New Roman" w:cs="Times New Roman"/>
          <w:sz w:val="24"/>
          <w:szCs w:val="24"/>
        </w:rPr>
        <w:t xml:space="preserve">enables </w:t>
      </w:r>
      <w:r w:rsidR="00F75A47" w:rsidRPr="00F75A47">
        <w:rPr>
          <w:rFonts w:ascii="Times New Roman" w:hAnsi="Times New Roman" w:cs="Times New Roman"/>
          <w:sz w:val="24"/>
          <w:szCs w:val="24"/>
        </w:rPr>
        <w:t>case</w:t>
      </w:r>
      <w:r w:rsidR="00CE0577">
        <w:rPr>
          <w:rFonts w:ascii="Times New Roman" w:hAnsi="Times New Roman" w:cs="Times New Roman"/>
          <w:sz w:val="24"/>
          <w:szCs w:val="24"/>
        </w:rPr>
        <w:t xml:space="preserve">s </w:t>
      </w:r>
      <w:r w:rsidR="00F75A47" w:rsidRPr="00F75A47">
        <w:rPr>
          <w:rFonts w:ascii="Times New Roman" w:hAnsi="Times New Roman" w:cs="Times New Roman"/>
          <w:sz w:val="24"/>
          <w:szCs w:val="24"/>
        </w:rPr>
        <w:t>to proceed with extreme caution and render a sober verdict.</w:t>
      </w:r>
    </w:p>
    <w:p w:rsidR="005E0A27" w:rsidRPr="005E0A27" w:rsidRDefault="005E0A27" w:rsidP="005E0A27">
      <w:pPr>
        <w:pStyle w:val="Heading1"/>
        <w:spacing w:before="0" w:line="480" w:lineRule="auto"/>
        <w:jc w:val="center"/>
        <w:rPr>
          <w:rFonts w:ascii="Times New Roman" w:hAnsi="Times New Roman" w:cs="Times New Roman"/>
          <w:b/>
          <w:color w:val="auto"/>
          <w:sz w:val="24"/>
          <w:szCs w:val="24"/>
        </w:rPr>
      </w:pPr>
      <w:bookmarkStart w:id="7" w:name="_Toc106780678"/>
      <w:r w:rsidRPr="005E0A27">
        <w:rPr>
          <w:rFonts w:ascii="Times New Roman" w:hAnsi="Times New Roman" w:cs="Times New Roman"/>
          <w:b/>
          <w:color w:val="auto"/>
          <w:sz w:val="24"/>
          <w:szCs w:val="24"/>
        </w:rPr>
        <w:t>Conclusion</w:t>
      </w:r>
      <w:bookmarkEnd w:id="7"/>
    </w:p>
    <w:p w:rsidR="00B53205" w:rsidRPr="0058411C" w:rsidRDefault="005E0A27" w:rsidP="00AA015E">
      <w:pPr>
        <w:spacing w:after="0" w:line="480" w:lineRule="auto"/>
        <w:ind w:firstLine="720"/>
        <w:jc w:val="both"/>
        <w:rPr>
          <w:rFonts w:ascii="Times New Roman" w:hAnsi="Times New Roman" w:cs="Times New Roman"/>
          <w:sz w:val="24"/>
          <w:szCs w:val="24"/>
        </w:rPr>
      </w:pPr>
      <w:r w:rsidRPr="005E0A27">
        <w:rPr>
          <w:rFonts w:ascii="Times New Roman" w:hAnsi="Times New Roman" w:cs="Times New Roman"/>
          <w:sz w:val="24"/>
          <w:szCs w:val="24"/>
        </w:rPr>
        <w:t>When courts are required to make decisions based on previously determined case law, the doctrine of judicial precedent provides them with guidance. If the court system were to be validated, it would be possible to ensure uniformity and save time, which would speed up the production of the judicial process.</w:t>
      </w:r>
      <w:r w:rsidR="00AA015E">
        <w:rPr>
          <w:rFonts w:ascii="Times New Roman" w:hAnsi="Times New Roman" w:cs="Times New Roman"/>
          <w:sz w:val="24"/>
          <w:szCs w:val="24"/>
        </w:rPr>
        <w:t xml:space="preserve"> </w:t>
      </w:r>
      <w:r w:rsidR="00414F65">
        <w:rPr>
          <w:rFonts w:ascii="Times New Roman" w:hAnsi="Times New Roman" w:cs="Times New Roman"/>
          <w:sz w:val="24"/>
          <w:szCs w:val="24"/>
        </w:rPr>
        <w:t xml:space="preserve">Therefore, </w:t>
      </w:r>
      <w:r w:rsidR="00AB19B9">
        <w:rPr>
          <w:rFonts w:ascii="Times New Roman" w:hAnsi="Times New Roman" w:cs="Times New Roman"/>
          <w:sz w:val="24"/>
          <w:szCs w:val="24"/>
        </w:rPr>
        <w:t xml:space="preserve">applying judicial precedent is essential in making </w:t>
      </w:r>
      <w:r w:rsidR="00AB19B9">
        <w:rPr>
          <w:rFonts w:ascii="Times New Roman" w:hAnsi="Times New Roman" w:cs="Times New Roman"/>
          <w:sz w:val="24"/>
          <w:szCs w:val="24"/>
        </w:rPr>
        <w:lastRenderedPageBreak/>
        <w:t>legal decisions</w:t>
      </w:r>
      <w:r w:rsidRPr="005E0A27">
        <w:rPr>
          <w:rFonts w:ascii="Times New Roman" w:hAnsi="Times New Roman" w:cs="Times New Roman"/>
          <w:sz w:val="24"/>
          <w:szCs w:val="24"/>
        </w:rPr>
        <w:t xml:space="preserve">. The certainty, adaptability, and benefit </w:t>
      </w:r>
      <w:r w:rsidR="00AB19B9">
        <w:rPr>
          <w:rFonts w:ascii="Times New Roman" w:hAnsi="Times New Roman" w:cs="Times New Roman"/>
          <w:sz w:val="24"/>
          <w:szCs w:val="24"/>
        </w:rPr>
        <w:t>of</w:t>
      </w:r>
      <w:r w:rsidRPr="005E0A27">
        <w:rPr>
          <w:rFonts w:ascii="Times New Roman" w:hAnsi="Times New Roman" w:cs="Times New Roman"/>
          <w:sz w:val="24"/>
          <w:szCs w:val="24"/>
        </w:rPr>
        <w:t xml:space="preserve"> the efficient oversight of the judiciary are </w:t>
      </w:r>
      <w:r w:rsidR="000A0FD8">
        <w:rPr>
          <w:rFonts w:ascii="Times New Roman" w:hAnsi="Times New Roman" w:cs="Times New Roman"/>
          <w:sz w:val="24"/>
          <w:szCs w:val="24"/>
        </w:rPr>
        <w:t>crucial</w:t>
      </w:r>
      <w:r w:rsidRPr="005E0A27">
        <w:rPr>
          <w:rFonts w:ascii="Times New Roman" w:hAnsi="Times New Roman" w:cs="Times New Roman"/>
          <w:sz w:val="24"/>
          <w:szCs w:val="24"/>
        </w:rPr>
        <w:t xml:space="preserve"> to the</w:t>
      </w:r>
      <w:r w:rsidR="00414F65">
        <w:rPr>
          <w:rFonts w:ascii="Times New Roman" w:hAnsi="Times New Roman" w:cs="Times New Roman"/>
          <w:sz w:val="24"/>
          <w:szCs w:val="24"/>
        </w:rPr>
        <w:t xml:space="preserve"> legal system</w:t>
      </w:r>
      <w:r w:rsidR="00AB19B9">
        <w:rPr>
          <w:rFonts w:ascii="Times New Roman" w:hAnsi="Times New Roman" w:cs="Times New Roman"/>
          <w:sz w:val="24"/>
          <w:szCs w:val="24"/>
        </w:rPr>
        <w:t>,</w:t>
      </w:r>
      <w:r w:rsidR="00414F65">
        <w:rPr>
          <w:rFonts w:ascii="Times New Roman" w:hAnsi="Times New Roman" w:cs="Times New Roman"/>
          <w:sz w:val="24"/>
          <w:szCs w:val="24"/>
        </w:rPr>
        <w:t xml:space="preserve"> which helps </w:t>
      </w:r>
      <w:r w:rsidR="00AB19B9">
        <w:rPr>
          <w:rFonts w:ascii="Times New Roman" w:hAnsi="Times New Roman" w:cs="Times New Roman"/>
          <w:sz w:val="24"/>
          <w:szCs w:val="24"/>
        </w:rPr>
        <w:t>speed up</w:t>
      </w:r>
      <w:r w:rsidRPr="005E0A27">
        <w:rPr>
          <w:rFonts w:ascii="Times New Roman" w:hAnsi="Times New Roman" w:cs="Times New Roman"/>
          <w:sz w:val="24"/>
          <w:szCs w:val="24"/>
        </w:rPr>
        <w:t xml:space="preserve"> judicial rulings. </w:t>
      </w:r>
    </w:p>
    <w:p w:rsidR="00334A0B" w:rsidRPr="0058411C" w:rsidRDefault="00334A0B" w:rsidP="0058411C">
      <w:pPr>
        <w:spacing w:after="0" w:line="480" w:lineRule="auto"/>
        <w:jc w:val="both"/>
        <w:rPr>
          <w:rFonts w:ascii="Times New Roman" w:hAnsi="Times New Roman" w:cs="Times New Roman"/>
          <w:sz w:val="24"/>
          <w:szCs w:val="24"/>
        </w:rPr>
      </w:pPr>
    </w:p>
    <w:p w:rsidR="00334A0B" w:rsidRPr="0058411C" w:rsidRDefault="00334A0B" w:rsidP="0058411C">
      <w:pPr>
        <w:spacing w:after="0" w:line="480" w:lineRule="auto"/>
        <w:rPr>
          <w:rFonts w:ascii="Times New Roman" w:hAnsi="Times New Roman" w:cs="Times New Roman"/>
          <w:sz w:val="24"/>
          <w:szCs w:val="24"/>
        </w:rPr>
      </w:pPr>
    </w:p>
    <w:p w:rsidR="00334A0B" w:rsidRDefault="00334A0B" w:rsidP="00A9309F">
      <w:pPr>
        <w:spacing w:after="0" w:line="480" w:lineRule="auto"/>
        <w:rPr>
          <w:rFonts w:ascii="Times New Roman" w:hAnsi="Times New Roman" w:cs="Times New Roman"/>
          <w:sz w:val="24"/>
          <w:szCs w:val="24"/>
        </w:rPr>
      </w:pPr>
    </w:p>
    <w:p w:rsidR="00334A0B" w:rsidRDefault="00334A0B"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4B44D4" w:rsidRDefault="004B44D4" w:rsidP="00C73FF9">
      <w:pPr>
        <w:spacing w:after="0" w:line="480" w:lineRule="auto"/>
        <w:rPr>
          <w:rFonts w:ascii="Times New Roman" w:hAnsi="Times New Roman" w:cs="Times New Roman"/>
          <w:sz w:val="24"/>
          <w:szCs w:val="24"/>
        </w:rPr>
      </w:pPr>
    </w:p>
    <w:p w:rsidR="009A5445" w:rsidRDefault="009A5445" w:rsidP="00C73FF9">
      <w:pPr>
        <w:spacing w:after="0" w:line="480" w:lineRule="auto"/>
        <w:rPr>
          <w:rFonts w:ascii="Times New Roman" w:hAnsi="Times New Roman" w:cs="Times New Roman"/>
          <w:sz w:val="24"/>
          <w:szCs w:val="24"/>
        </w:rPr>
      </w:pPr>
    </w:p>
    <w:p w:rsidR="006E4120" w:rsidRDefault="006E4120">
      <w:pPr>
        <w:rPr>
          <w:rFonts w:ascii="Times New Roman" w:eastAsiaTheme="majorEastAsia" w:hAnsi="Times New Roman" w:cs="Times New Roman"/>
          <w:b/>
          <w:sz w:val="24"/>
          <w:szCs w:val="24"/>
        </w:rPr>
      </w:pPr>
      <w:bookmarkStart w:id="8" w:name="_Toc106780679"/>
      <w:r>
        <w:rPr>
          <w:rFonts w:ascii="Times New Roman" w:hAnsi="Times New Roman" w:cs="Times New Roman"/>
          <w:b/>
          <w:sz w:val="24"/>
          <w:szCs w:val="24"/>
        </w:rPr>
        <w:br w:type="page"/>
      </w:r>
    </w:p>
    <w:p w:rsidR="00334A0B" w:rsidRPr="00C73FF9" w:rsidRDefault="00334A0B" w:rsidP="00C73FF9">
      <w:pPr>
        <w:pStyle w:val="Heading1"/>
        <w:spacing w:line="480" w:lineRule="auto"/>
        <w:jc w:val="center"/>
        <w:rPr>
          <w:rFonts w:ascii="Times New Roman" w:hAnsi="Times New Roman" w:cs="Times New Roman"/>
          <w:b/>
          <w:color w:val="auto"/>
          <w:sz w:val="24"/>
          <w:szCs w:val="24"/>
        </w:rPr>
      </w:pPr>
      <w:r w:rsidRPr="00C73FF9">
        <w:rPr>
          <w:rFonts w:ascii="Times New Roman" w:hAnsi="Times New Roman" w:cs="Times New Roman"/>
          <w:b/>
          <w:color w:val="auto"/>
          <w:sz w:val="24"/>
          <w:szCs w:val="24"/>
        </w:rPr>
        <w:lastRenderedPageBreak/>
        <w:t>Reference List</w:t>
      </w:r>
      <w:bookmarkEnd w:id="8"/>
    </w:p>
    <w:p w:rsidR="00CD59BD" w:rsidRDefault="00CD59BD" w:rsidP="00C73FF9">
      <w:pPr>
        <w:spacing w:after="0" w:line="480" w:lineRule="auto"/>
        <w:rPr>
          <w:rFonts w:ascii="Times New Roman" w:hAnsi="Times New Roman" w:cs="Times New Roman"/>
          <w:color w:val="222222"/>
          <w:sz w:val="24"/>
          <w:szCs w:val="24"/>
          <w:shd w:val="clear" w:color="auto" w:fill="FFFFFF"/>
        </w:rPr>
      </w:pPr>
      <w:r w:rsidRPr="00CD59BD">
        <w:rPr>
          <w:rFonts w:ascii="Times New Roman" w:hAnsi="Times New Roman" w:cs="Times New Roman"/>
          <w:i/>
          <w:iCs/>
          <w:color w:val="222222"/>
          <w:sz w:val="24"/>
          <w:szCs w:val="24"/>
          <w:shd w:val="clear" w:color="auto" w:fill="FFFFFF"/>
        </w:rPr>
        <w:t>Donoghue v. Stevenson</w:t>
      </w:r>
      <w:r w:rsidRPr="00CD59BD">
        <w:rPr>
          <w:rFonts w:ascii="Times New Roman" w:hAnsi="Times New Roman" w:cs="Times New Roman"/>
          <w:color w:val="222222"/>
          <w:sz w:val="24"/>
          <w:szCs w:val="24"/>
          <w:shd w:val="clear" w:color="auto" w:fill="FFFFFF"/>
        </w:rPr>
        <w:t>, 108 L.Q.R. 236, 108 Law Quarterly Review 236 (1992).</w:t>
      </w:r>
    </w:p>
    <w:p w:rsidR="001878BB" w:rsidRDefault="001878BB" w:rsidP="00C73FF9">
      <w:pPr>
        <w:spacing w:after="0" w:line="480" w:lineRule="auto"/>
        <w:rPr>
          <w:rFonts w:ascii="Times New Roman" w:hAnsi="Times New Roman" w:cs="Times New Roman"/>
          <w:color w:val="222222"/>
          <w:sz w:val="24"/>
          <w:szCs w:val="24"/>
          <w:shd w:val="clear" w:color="auto" w:fill="FFFFFF"/>
        </w:rPr>
      </w:pPr>
      <w:r w:rsidRPr="001878BB">
        <w:rPr>
          <w:rFonts w:ascii="Times New Roman" w:hAnsi="Times New Roman" w:cs="Times New Roman"/>
          <w:i/>
          <w:iCs/>
          <w:color w:val="222222"/>
          <w:sz w:val="24"/>
          <w:szCs w:val="24"/>
          <w:shd w:val="clear" w:color="auto" w:fill="FFFFFF"/>
        </w:rPr>
        <w:t>Grant v. Australian Knitting Mills Limited</w:t>
      </w:r>
      <w:r w:rsidRPr="001878BB">
        <w:rPr>
          <w:rFonts w:ascii="Times New Roman" w:hAnsi="Times New Roman" w:cs="Times New Roman"/>
          <w:color w:val="222222"/>
          <w:sz w:val="24"/>
          <w:szCs w:val="24"/>
          <w:shd w:val="clear" w:color="auto" w:fill="FFFFFF"/>
        </w:rPr>
        <w:t>, 154 L.T. Rep. 18 (1936).</w:t>
      </w:r>
    </w:p>
    <w:p w:rsidR="007B3362" w:rsidRDefault="00334A0B" w:rsidP="00C73FF9">
      <w:pPr>
        <w:spacing w:after="0" w:line="480" w:lineRule="auto"/>
        <w:rPr>
          <w:rFonts w:ascii="Times New Roman" w:hAnsi="Times New Roman" w:cs="Times New Roman"/>
          <w:color w:val="222222"/>
          <w:sz w:val="24"/>
          <w:szCs w:val="24"/>
          <w:shd w:val="clear" w:color="auto" w:fill="FFFFFF"/>
        </w:rPr>
      </w:pPr>
      <w:r w:rsidRPr="00334A0B">
        <w:rPr>
          <w:rFonts w:ascii="Times New Roman" w:hAnsi="Times New Roman" w:cs="Times New Roman"/>
          <w:color w:val="222222"/>
          <w:sz w:val="24"/>
          <w:szCs w:val="24"/>
          <w:shd w:val="clear" w:color="auto" w:fill="FFFFFF"/>
        </w:rPr>
        <w:t>Frost, T., Huxl</w:t>
      </w:r>
      <w:r w:rsidR="00431DAE">
        <w:rPr>
          <w:rFonts w:ascii="Times New Roman" w:hAnsi="Times New Roman" w:cs="Times New Roman"/>
          <w:color w:val="222222"/>
          <w:sz w:val="24"/>
          <w:szCs w:val="24"/>
          <w:shd w:val="clear" w:color="auto" w:fill="FFFFFF"/>
        </w:rPr>
        <w:t>ey-Binns, R., &amp; Martin, J. (2020</w:t>
      </w:r>
      <w:r w:rsidRPr="00334A0B">
        <w:rPr>
          <w:rFonts w:ascii="Times New Roman" w:hAnsi="Times New Roman" w:cs="Times New Roman"/>
          <w:color w:val="222222"/>
          <w:sz w:val="24"/>
          <w:szCs w:val="24"/>
          <w:shd w:val="clear" w:color="auto" w:fill="FFFFFF"/>
        </w:rPr>
        <w:t>). </w:t>
      </w:r>
      <w:r w:rsidRPr="00334A0B">
        <w:rPr>
          <w:rFonts w:ascii="Times New Roman" w:hAnsi="Times New Roman" w:cs="Times New Roman"/>
          <w:i/>
          <w:iCs/>
          <w:color w:val="222222"/>
          <w:sz w:val="24"/>
          <w:szCs w:val="24"/>
          <w:shd w:val="clear" w:color="auto" w:fill="FFFFFF"/>
        </w:rPr>
        <w:t>Unlocking the English legal system</w:t>
      </w:r>
      <w:r w:rsidR="007B3362">
        <w:rPr>
          <w:rFonts w:ascii="Times New Roman" w:hAnsi="Times New Roman" w:cs="Times New Roman"/>
          <w:color w:val="222222"/>
          <w:sz w:val="24"/>
          <w:szCs w:val="24"/>
          <w:shd w:val="clear" w:color="auto" w:fill="FFFFFF"/>
        </w:rPr>
        <w:t>.</w:t>
      </w:r>
    </w:p>
    <w:p w:rsidR="00334A0B" w:rsidRDefault="00334A0B" w:rsidP="007B3362">
      <w:pPr>
        <w:spacing w:after="0" w:line="480" w:lineRule="auto"/>
        <w:ind w:firstLine="720"/>
        <w:rPr>
          <w:rFonts w:ascii="Times New Roman" w:hAnsi="Times New Roman" w:cs="Times New Roman"/>
          <w:color w:val="222222"/>
          <w:sz w:val="24"/>
          <w:szCs w:val="24"/>
          <w:shd w:val="clear" w:color="auto" w:fill="FFFFFF"/>
        </w:rPr>
      </w:pPr>
      <w:r w:rsidRPr="00334A0B">
        <w:rPr>
          <w:rFonts w:ascii="Times New Roman" w:hAnsi="Times New Roman" w:cs="Times New Roman"/>
          <w:color w:val="222222"/>
          <w:sz w:val="24"/>
          <w:szCs w:val="24"/>
          <w:shd w:val="clear" w:color="auto" w:fill="FFFFFF"/>
        </w:rPr>
        <w:t>Routledge.</w:t>
      </w:r>
      <w:r w:rsidR="007B3362">
        <w:rPr>
          <w:rFonts w:ascii="Times New Roman" w:hAnsi="Times New Roman" w:cs="Times New Roman"/>
          <w:color w:val="222222"/>
          <w:sz w:val="24"/>
          <w:szCs w:val="24"/>
          <w:shd w:val="clear" w:color="auto" w:fill="FFFFFF"/>
        </w:rPr>
        <w:t>6</w:t>
      </w:r>
      <w:r w:rsidR="007B3362" w:rsidRPr="007B3362">
        <w:rPr>
          <w:rFonts w:ascii="Times New Roman" w:hAnsi="Times New Roman" w:cs="Times New Roman"/>
          <w:color w:val="222222"/>
          <w:sz w:val="24"/>
          <w:szCs w:val="24"/>
          <w:shd w:val="clear" w:color="auto" w:fill="FFFFFF"/>
          <w:vertAlign w:val="superscript"/>
        </w:rPr>
        <w:t>th</w:t>
      </w:r>
      <w:r w:rsidR="007B3362">
        <w:rPr>
          <w:rFonts w:ascii="Times New Roman" w:hAnsi="Times New Roman" w:cs="Times New Roman"/>
          <w:color w:val="222222"/>
          <w:sz w:val="24"/>
          <w:szCs w:val="24"/>
          <w:shd w:val="clear" w:color="auto" w:fill="FFFFFF"/>
        </w:rPr>
        <w:t xml:space="preserve"> edition</w:t>
      </w:r>
    </w:p>
    <w:p w:rsidR="008B0954" w:rsidRDefault="008B0954" w:rsidP="008B0954">
      <w:pPr>
        <w:spacing w:after="0" w:line="480" w:lineRule="auto"/>
        <w:rPr>
          <w:rFonts w:ascii="Times New Roman" w:hAnsi="Times New Roman" w:cs="Times New Roman"/>
          <w:color w:val="222222"/>
          <w:sz w:val="24"/>
          <w:szCs w:val="24"/>
          <w:shd w:val="clear" w:color="auto" w:fill="FFFFFF"/>
        </w:rPr>
      </w:pPr>
      <w:r w:rsidRPr="008B0954">
        <w:rPr>
          <w:rFonts w:ascii="Times New Roman" w:hAnsi="Times New Roman" w:cs="Times New Roman"/>
          <w:i/>
          <w:iCs/>
          <w:color w:val="222222"/>
          <w:sz w:val="24"/>
          <w:szCs w:val="24"/>
          <w:shd w:val="clear" w:color="auto" w:fill="FFFFFF"/>
        </w:rPr>
        <w:t>R. v. Brown</w:t>
      </w:r>
      <w:r w:rsidRPr="008B0954">
        <w:rPr>
          <w:rFonts w:ascii="Times New Roman" w:hAnsi="Times New Roman" w:cs="Times New Roman"/>
          <w:color w:val="222222"/>
          <w:sz w:val="24"/>
          <w:szCs w:val="24"/>
          <w:shd w:val="clear" w:color="auto" w:fill="FFFFFF"/>
        </w:rPr>
        <w:t>, 2002 S.C.R.2 185 (2002).</w:t>
      </w:r>
    </w:p>
    <w:p w:rsidR="008B0954" w:rsidRDefault="008B0954" w:rsidP="008B0954">
      <w:pPr>
        <w:spacing w:after="0" w:line="480" w:lineRule="auto"/>
        <w:rPr>
          <w:rFonts w:ascii="Times New Roman" w:hAnsi="Times New Roman" w:cs="Times New Roman"/>
          <w:color w:val="222222"/>
          <w:sz w:val="24"/>
          <w:szCs w:val="24"/>
          <w:shd w:val="clear" w:color="auto" w:fill="FFFFFF"/>
        </w:rPr>
      </w:pPr>
      <w:r w:rsidRPr="008B0954">
        <w:rPr>
          <w:rFonts w:ascii="Times New Roman" w:hAnsi="Times New Roman" w:cs="Times New Roman"/>
          <w:i/>
          <w:iCs/>
          <w:color w:val="222222"/>
          <w:sz w:val="24"/>
          <w:szCs w:val="24"/>
          <w:shd w:val="clear" w:color="auto" w:fill="FFFFFF"/>
        </w:rPr>
        <w:t>R v. Wilson</w:t>
      </w:r>
      <w:r w:rsidRPr="008B0954">
        <w:rPr>
          <w:rFonts w:ascii="Times New Roman" w:hAnsi="Times New Roman" w:cs="Times New Roman"/>
          <w:color w:val="222222"/>
          <w:sz w:val="24"/>
          <w:szCs w:val="24"/>
          <w:shd w:val="clear" w:color="auto" w:fill="FFFFFF"/>
        </w:rPr>
        <w:t>, 1996 W.L.R.3 125 (1996).</w:t>
      </w:r>
    </w:p>
    <w:p w:rsidR="00F941FE" w:rsidRPr="00334A0B" w:rsidRDefault="00F941FE" w:rsidP="00F941FE">
      <w:pPr>
        <w:spacing w:after="0" w:line="480" w:lineRule="auto"/>
        <w:rPr>
          <w:rFonts w:ascii="Times New Roman" w:hAnsi="Times New Roman" w:cs="Times New Roman"/>
          <w:sz w:val="24"/>
          <w:szCs w:val="24"/>
        </w:rPr>
      </w:pPr>
      <w:r w:rsidRPr="00F941FE">
        <w:rPr>
          <w:rFonts w:ascii="Times New Roman" w:hAnsi="Times New Roman" w:cs="Times New Roman"/>
          <w:i/>
          <w:iCs/>
          <w:sz w:val="24"/>
          <w:szCs w:val="24"/>
        </w:rPr>
        <w:t>Wyld v. Silver</w:t>
      </w:r>
      <w:r w:rsidRPr="00F941FE">
        <w:rPr>
          <w:rFonts w:ascii="Times New Roman" w:hAnsi="Times New Roman" w:cs="Times New Roman"/>
          <w:sz w:val="24"/>
          <w:szCs w:val="24"/>
        </w:rPr>
        <w:t>, 1963 Ch 243 (1963).</w:t>
      </w:r>
    </w:p>
    <w:p w:rsidR="00A9309F" w:rsidRPr="00D175BB" w:rsidRDefault="00A9309F" w:rsidP="00560C8A">
      <w:pPr>
        <w:spacing w:after="0" w:line="480" w:lineRule="auto"/>
        <w:jc w:val="center"/>
        <w:rPr>
          <w:rFonts w:ascii="Times New Roman" w:hAnsi="Times New Roman" w:cs="Times New Roman"/>
          <w:sz w:val="24"/>
          <w:szCs w:val="24"/>
        </w:rPr>
      </w:pPr>
    </w:p>
    <w:sectPr w:rsidR="00A9309F" w:rsidRPr="00D175B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4A12" w:rsidRDefault="004E4A12" w:rsidP="009B36F7">
      <w:pPr>
        <w:spacing w:after="0" w:line="240" w:lineRule="auto"/>
      </w:pPr>
      <w:r>
        <w:separator/>
      </w:r>
    </w:p>
  </w:endnote>
  <w:endnote w:type="continuationSeparator" w:id="0">
    <w:p w:rsidR="004E4A12" w:rsidRDefault="004E4A12" w:rsidP="009B3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4A12" w:rsidRDefault="004E4A12" w:rsidP="009B36F7">
      <w:pPr>
        <w:spacing w:after="0" w:line="240" w:lineRule="auto"/>
      </w:pPr>
      <w:r>
        <w:separator/>
      </w:r>
    </w:p>
  </w:footnote>
  <w:footnote w:type="continuationSeparator" w:id="0">
    <w:p w:rsidR="004E4A12" w:rsidRDefault="004E4A12" w:rsidP="009B36F7">
      <w:pPr>
        <w:spacing w:after="0" w:line="240" w:lineRule="auto"/>
      </w:pPr>
      <w:r>
        <w:continuationSeparator/>
      </w:r>
    </w:p>
  </w:footnote>
  <w:footnote w:id="1">
    <w:p w:rsidR="006B1588" w:rsidRPr="00934CF8" w:rsidRDefault="006B1588">
      <w:pPr>
        <w:pStyle w:val="FootnoteText"/>
        <w:rPr>
          <w:rFonts w:ascii="Times New Roman" w:hAnsi="Times New Roman" w:cs="Times New Roman"/>
          <w:sz w:val="24"/>
          <w:szCs w:val="24"/>
        </w:rPr>
      </w:pPr>
      <w:r w:rsidRPr="006B1588">
        <w:rPr>
          <w:rStyle w:val="FootnoteReference"/>
          <w:rFonts w:ascii="Times New Roman" w:hAnsi="Times New Roman" w:cs="Times New Roman"/>
          <w:sz w:val="24"/>
          <w:szCs w:val="24"/>
        </w:rPr>
        <w:footnoteRef/>
      </w:r>
      <w:r w:rsidRPr="006B1588">
        <w:rPr>
          <w:rFonts w:ascii="Times New Roman" w:hAnsi="Times New Roman" w:cs="Times New Roman"/>
          <w:sz w:val="24"/>
          <w:szCs w:val="24"/>
        </w:rPr>
        <w:t xml:space="preserve"> </w:t>
      </w:r>
      <w:r w:rsidRPr="00934CF8">
        <w:rPr>
          <w:rFonts w:ascii="Times New Roman" w:hAnsi="Times New Roman" w:cs="Times New Roman"/>
          <w:iCs/>
          <w:sz w:val="24"/>
          <w:szCs w:val="24"/>
        </w:rPr>
        <w:t>Wyld v. Silver</w:t>
      </w:r>
      <w:r w:rsidRPr="00934CF8">
        <w:rPr>
          <w:rFonts w:ascii="Times New Roman" w:hAnsi="Times New Roman" w:cs="Times New Roman"/>
          <w:sz w:val="24"/>
          <w:szCs w:val="24"/>
        </w:rPr>
        <w:t>, 1963</w:t>
      </w:r>
    </w:p>
  </w:footnote>
  <w:footnote w:id="2">
    <w:p w:rsidR="00033714" w:rsidRPr="00033714" w:rsidRDefault="00033714">
      <w:pPr>
        <w:pStyle w:val="FootnoteText"/>
        <w:rPr>
          <w:rFonts w:ascii="Times New Roman" w:hAnsi="Times New Roman" w:cs="Times New Roman"/>
          <w:sz w:val="24"/>
          <w:szCs w:val="24"/>
        </w:rPr>
      </w:pPr>
      <w:r w:rsidRPr="00033714">
        <w:rPr>
          <w:rStyle w:val="FootnoteReference"/>
          <w:rFonts w:ascii="Times New Roman" w:hAnsi="Times New Roman" w:cs="Times New Roman"/>
          <w:sz w:val="24"/>
          <w:szCs w:val="24"/>
        </w:rPr>
        <w:footnoteRef/>
      </w:r>
      <w:r w:rsidRPr="00033714">
        <w:rPr>
          <w:rFonts w:ascii="Times New Roman" w:hAnsi="Times New Roman" w:cs="Times New Roman"/>
          <w:sz w:val="24"/>
          <w:szCs w:val="24"/>
        </w:rPr>
        <w:t xml:space="preserve"> Donoghue v. Stevenson, 1932</w:t>
      </w:r>
    </w:p>
  </w:footnote>
  <w:footnote w:id="3">
    <w:p w:rsidR="001878BB" w:rsidRPr="00945479" w:rsidRDefault="001878BB">
      <w:pPr>
        <w:pStyle w:val="FootnoteText"/>
        <w:rPr>
          <w:rFonts w:ascii="Times New Roman" w:hAnsi="Times New Roman" w:cs="Times New Roman"/>
          <w:sz w:val="24"/>
          <w:szCs w:val="24"/>
        </w:rPr>
      </w:pPr>
      <w:r w:rsidRPr="00945479">
        <w:rPr>
          <w:rStyle w:val="FootnoteReference"/>
          <w:rFonts w:ascii="Times New Roman" w:hAnsi="Times New Roman" w:cs="Times New Roman"/>
          <w:sz w:val="24"/>
          <w:szCs w:val="24"/>
        </w:rPr>
        <w:footnoteRef/>
      </w:r>
      <w:r w:rsidRPr="00945479">
        <w:rPr>
          <w:rFonts w:ascii="Times New Roman" w:hAnsi="Times New Roman" w:cs="Times New Roman"/>
          <w:sz w:val="24"/>
          <w:szCs w:val="24"/>
        </w:rPr>
        <w:t xml:space="preserve"> </w:t>
      </w:r>
      <w:r w:rsidRPr="00945479">
        <w:rPr>
          <w:rFonts w:ascii="Times New Roman" w:hAnsi="Times New Roman" w:cs="Times New Roman"/>
          <w:iCs/>
          <w:sz w:val="24"/>
          <w:szCs w:val="24"/>
        </w:rPr>
        <w:t>Grant v. Australian Knitting Mills Limited. 1936</w:t>
      </w:r>
    </w:p>
  </w:footnote>
  <w:footnote w:id="4">
    <w:p w:rsidR="00FF35B6" w:rsidRPr="00FF35B6" w:rsidRDefault="00FF35B6" w:rsidP="00FF35B6">
      <w:pPr>
        <w:pStyle w:val="FootnoteText"/>
        <w:rPr>
          <w:rFonts w:ascii="Times New Roman" w:hAnsi="Times New Roman" w:cs="Times New Roman"/>
          <w:sz w:val="24"/>
          <w:szCs w:val="24"/>
        </w:rPr>
      </w:pPr>
      <w:r w:rsidRPr="00FF35B6">
        <w:rPr>
          <w:rStyle w:val="FootnoteReference"/>
          <w:rFonts w:ascii="Times New Roman" w:hAnsi="Times New Roman" w:cs="Times New Roman"/>
          <w:sz w:val="24"/>
          <w:szCs w:val="24"/>
        </w:rPr>
        <w:footnoteRef/>
      </w:r>
      <w:r w:rsidRPr="00FF35B6">
        <w:rPr>
          <w:rFonts w:ascii="Times New Roman" w:hAnsi="Times New Roman" w:cs="Times New Roman"/>
          <w:sz w:val="24"/>
          <w:szCs w:val="24"/>
        </w:rPr>
        <w:t xml:space="preserve"> Donoghue v. Stevenson, 1932</w:t>
      </w:r>
    </w:p>
    <w:p w:rsidR="00FF35B6" w:rsidRPr="00FF35B6" w:rsidRDefault="00FF35B6">
      <w:pPr>
        <w:pStyle w:val="FootnoteText"/>
        <w:rPr>
          <w:rFonts w:ascii="Times New Roman" w:hAnsi="Times New Roman" w:cs="Times New Roman"/>
          <w:sz w:val="24"/>
          <w:szCs w:val="24"/>
        </w:rPr>
      </w:pPr>
    </w:p>
  </w:footnote>
  <w:footnote w:id="5">
    <w:p w:rsidR="00FF35B6" w:rsidRPr="00FF35B6" w:rsidRDefault="00FF35B6" w:rsidP="00FF35B6">
      <w:pPr>
        <w:pStyle w:val="FootnoteText"/>
        <w:rPr>
          <w:rFonts w:ascii="Times New Roman" w:hAnsi="Times New Roman" w:cs="Times New Roman"/>
          <w:sz w:val="24"/>
          <w:szCs w:val="24"/>
        </w:rPr>
      </w:pPr>
      <w:r w:rsidRPr="00FF35B6">
        <w:rPr>
          <w:rStyle w:val="FootnoteReference"/>
          <w:rFonts w:ascii="Times New Roman" w:hAnsi="Times New Roman" w:cs="Times New Roman"/>
          <w:sz w:val="24"/>
          <w:szCs w:val="24"/>
        </w:rPr>
        <w:footnoteRef/>
      </w:r>
      <w:r w:rsidRPr="00FF35B6">
        <w:rPr>
          <w:rFonts w:ascii="Times New Roman" w:hAnsi="Times New Roman" w:cs="Times New Roman"/>
          <w:sz w:val="24"/>
          <w:szCs w:val="24"/>
        </w:rPr>
        <w:t xml:space="preserve"> </w:t>
      </w:r>
      <w:r w:rsidRPr="00FF35B6">
        <w:rPr>
          <w:rFonts w:ascii="Times New Roman" w:hAnsi="Times New Roman" w:cs="Times New Roman"/>
          <w:iCs/>
          <w:sz w:val="24"/>
          <w:szCs w:val="24"/>
        </w:rPr>
        <w:t>Grant v. Australian Knitting Mills Limited. 1936</w:t>
      </w:r>
    </w:p>
    <w:p w:rsidR="00FF35B6" w:rsidRPr="00FF35B6" w:rsidRDefault="00FF35B6">
      <w:pPr>
        <w:pStyle w:val="FootnoteText"/>
        <w:rPr>
          <w:rFonts w:ascii="Times New Roman" w:hAnsi="Times New Roman" w:cs="Times New Roman"/>
          <w:sz w:val="24"/>
          <w:szCs w:val="24"/>
        </w:rPr>
      </w:pPr>
    </w:p>
  </w:footnote>
  <w:footnote w:id="6">
    <w:p w:rsidR="008B0954" w:rsidRPr="008B0954" w:rsidRDefault="008B0954">
      <w:pPr>
        <w:pStyle w:val="FootnoteText"/>
        <w:rPr>
          <w:rFonts w:ascii="Times New Roman" w:hAnsi="Times New Roman" w:cs="Times New Roman"/>
          <w:sz w:val="24"/>
          <w:szCs w:val="24"/>
        </w:rPr>
      </w:pPr>
      <w:r w:rsidRPr="008B0954">
        <w:rPr>
          <w:rStyle w:val="FootnoteReference"/>
          <w:rFonts w:ascii="Times New Roman" w:hAnsi="Times New Roman" w:cs="Times New Roman"/>
          <w:sz w:val="24"/>
          <w:szCs w:val="24"/>
        </w:rPr>
        <w:footnoteRef/>
      </w:r>
      <w:r w:rsidRPr="008B0954">
        <w:rPr>
          <w:rFonts w:ascii="Times New Roman" w:hAnsi="Times New Roman" w:cs="Times New Roman"/>
          <w:sz w:val="24"/>
          <w:szCs w:val="24"/>
        </w:rPr>
        <w:t xml:space="preserve"> </w:t>
      </w:r>
      <w:r w:rsidRPr="008B0954">
        <w:rPr>
          <w:rFonts w:ascii="Times New Roman" w:hAnsi="Times New Roman" w:cs="Times New Roman"/>
          <w:i/>
          <w:iCs/>
          <w:sz w:val="24"/>
          <w:szCs w:val="24"/>
        </w:rPr>
        <w:t>R v. Wilson</w:t>
      </w:r>
      <w:r w:rsidRPr="008B0954">
        <w:rPr>
          <w:rFonts w:ascii="Times New Roman" w:hAnsi="Times New Roman" w:cs="Times New Roman"/>
          <w:sz w:val="24"/>
          <w:szCs w:val="24"/>
        </w:rPr>
        <w:t>,1996</w:t>
      </w:r>
    </w:p>
  </w:footnote>
  <w:footnote w:id="7">
    <w:p w:rsidR="008B0954" w:rsidRDefault="008B0954">
      <w:pPr>
        <w:pStyle w:val="FootnoteText"/>
      </w:pPr>
      <w:r w:rsidRPr="008B0954">
        <w:rPr>
          <w:rStyle w:val="FootnoteReference"/>
          <w:rFonts w:ascii="Times New Roman" w:hAnsi="Times New Roman" w:cs="Times New Roman"/>
          <w:sz w:val="24"/>
          <w:szCs w:val="24"/>
        </w:rPr>
        <w:footnoteRef/>
      </w:r>
      <w:r w:rsidRPr="008B0954">
        <w:rPr>
          <w:rFonts w:ascii="Times New Roman" w:hAnsi="Times New Roman" w:cs="Times New Roman"/>
          <w:sz w:val="24"/>
          <w:szCs w:val="24"/>
        </w:rPr>
        <w:t xml:space="preserve"> </w:t>
      </w:r>
      <w:r w:rsidRPr="008B0954">
        <w:rPr>
          <w:rFonts w:ascii="Times New Roman" w:hAnsi="Times New Roman" w:cs="Times New Roman"/>
          <w:i/>
          <w:iCs/>
          <w:sz w:val="24"/>
          <w:szCs w:val="24"/>
        </w:rPr>
        <w:t>R. v. Brown</w:t>
      </w:r>
      <w:r w:rsidR="00FB3575">
        <w:rPr>
          <w:rFonts w:ascii="Times New Roman" w:hAnsi="Times New Roman" w:cs="Times New Roman"/>
          <w:sz w:val="24"/>
          <w:szCs w:val="24"/>
        </w:rPr>
        <w:t>, 1993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36F7" w:rsidRPr="009B36F7" w:rsidRDefault="009B36F7">
    <w:pPr>
      <w:pStyle w:val="Header"/>
      <w:jc w:val="right"/>
      <w:rPr>
        <w:rFonts w:ascii="Times New Roman" w:hAnsi="Times New Roman" w:cs="Times New Roman"/>
        <w:sz w:val="24"/>
        <w:szCs w:val="24"/>
      </w:rPr>
    </w:pPr>
    <w:r w:rsidRPr="009B36F7">
      <w:rPr>
        <w:rFonts w:ascii="Times New Roman" w:hAnsi="Times New Roman" w:cs="Times New Roman"/>
        <w:sz w:val="24"/>
        <w:szCs w:val="24"/>
      </w:rPr>
      <w:t xml:space="preserve">English Legal System </w:t>
    </w:r>
    <w:sdt>
      <w:sdtPr>
        <w:rPr>
          <w:rFonts w:ascii="Times New Roman" w:hAnsi="Times New Roman" w:cs="Times New Roman"/>
          <w:sz w:val="24"/>
          <w:szCs w:val="24"/>
        </w:rPr>
        <w:id w:val="-234088679"/>
        <w:docPartObj>
          <w:docPartGallery w:val="Page Numbers (Top of Page)"/>
          <w:docPartUnique/>
        </w:docPartObj>
      </w:sdtPr>
      <w:sdtEndPr>
        <w:rPr>
          <w:noProof/>
        </w:rPr>
      </w:sdtEndPr>
      <w:sdtContent>
        <w:r>
          <w:rPr>
            <w:rFonts w:ascii="Times New Roman" w:hAnsi="Times New Roman" w:cs="Times New Roman"/>
            <w:sz w:val="24"/>
            <w:szCs w:val="24"/>
          </w:rPr>
          <w:t xml:space="preserve"> </w:t>
        </w:r>
        <w:r w:rsidRPr="009B36F7">
          <w:rPr>
            <w:rFonts w:ascii="Times New Roman" w:hAnsi="Times New Roman" w:cs="Times New Roman"/>
            <w:sz w:val="24"/>
            <w:szCs w:val="24"/>
          </w:rPr>
          <w:fldChar w:fldCharType="begin"/>
        </w:r>
        <w:r w:rsidRPr="009B36F7">
          <w:rPr>
            <w:rFonts w:ascii="Times New Roman" w:hAnsi="Times New Roman" w:cs="Times New Roman"/>
            <w:sz w:val="24"/>
            <w:szCs w:val="24"/>
          </w:rPr>
          <w:instrText xml:space="preserve"> PAGE   \* MERGEFORMAT </w:instrText>
        </w:r>
        <w:r w:rsidRPr="009B36F7">
          <w:rPr>
            <w:rFonts w:ascii="Times New Roman" w:hAnsi="Times New Roman" w:cs="Times New Roman"/>
            <w:sz w:val="24"/>
            <w:szCs w:val="24"/>
          </w:rPr>
          <w:fldChar w:fldCharType="separate"/>
        </w:r>
        <w:r w:rsidR="00A76633">
          <w:rPr>
            <w:rFonts w:ascii="Times New Roman" w:hAnsi="Times New Roman" w:cs="Times New Roman"/>
            <w:noProof/>
            <w:sz w:val="24"/>
            <w:szCs w:val="24"/>
          </w:rPr>
          <w:t>9</w:t>
        </w:r>
        <w:r w:rsidRPr="009B36F7">
          <w:rPr>
            <w:rFonts w:ascii="Times New Roman" w:hAnsi="Times New Roman" w:cs="Times New Roman"/>
            <w:noProof/>
            <w:sz w:val="24"/>
            <w:szCs w:val="24"/>
          </w:rPr>
          <w:fldChar w:fldCharType="end"/>
        </w:r>
      </w:sdtContent>
    </w:sdt>
  </w:p>
  <w:p w:rsidR="009B36F7" w:rsidRDefault="009B36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A2Njc2tjS1MDE1tTRT0lEKTi0uzszPAykwrQUAk0rGxSwAAAA="/>
  </w:docVars>
  <w:rsids>
    <w:rsidRoot w:val="00D175BB"/>
    <w:rsid w:val="00033714"/>
    <w:rsid w:val="00035597"/>
    <w:rsid w:val="00084097"/>
    <w:rsid w:val="000A0FD8"/>
    <w:rsid w:val="000A4AC9"/>
    <w:rsid w:val="00106F53"/>
    <w:rsid w:val="001118F1"/>
    <w:rsid w:val="00112866"/>
    <w:rsid w:val="001878BB"/>
    <w:rsid w:val="001A4D2A"/>
    <w:rsid w:val="001C0544"/>
    <w:rsid w:val="001E72A0"/>
    <w:rsid w:val="001F6CD6"/>
    <w:rsid w:val="00236C20"/>
    <w:rsid w:val="00252361"/>
    <w:rsid w:val="00265083"/>
    <w:rsid w:val="0031595F"/>
    <w:rsid w:val="003232E4"/>
    <w:rsid w:val="00330E2C"/>
    <w:rsid w:val="00334A0B"/>
    <w:rsid w:val="00367942"/>
    <w:rsid w:val="003843DE"/>
    <w:rsid w:val="0039614D"/>
    <w:rsid w:val="003C5A71"/>
    <w:rsid w:val="003C7606"/>
    <w:rsid w:val="003E70E7"/>
    <w:rsid w:val="00414F65"/>
    <w:rsid w:val="00431DAE"/>
    <w:rsid w:val="00434178"/>
    <w:rsid w:val="00456442"/>
    <w:rsid w:val="00491615"/>
    <w:rsid w:val="00494A51"/>
    <w:rsid w:val="004A020C"/>
    <w:rsid w:val="004A5636"/>
    <w:rsid w:val="004B44D4"/>
    <w:rsid w:val="004D3236"/>
    <w:rsid w:val="004E4A12"/>
    <w:rsid w:val="00521947"/>
    <w:rsid w:val="00560C8A"/>
    <w:rsid w:val="0058411C"/>
    <w:rsid w:val="005C430E"/>
    <w:rsid w:val="005E0A27"/>
    <w:rsid w:val="00614F3F"/>
    <w:rsid w:val="00652BB6"/>
    <w:rsid w:val="00666A76"/>
    <w:rsid w:val="00697325"/>
    <w:rsid w:val="006B1588"/>
    <w:rsid w:val="006E4120"/>
    <w:rsid w:val="00704E4B"/>
    <w:rsid w:val="0071416B"/>
    <w:rsid w:val="00725A30"/>
    <w:rsid w:val="0073629F"/>
    <w:rsid w:val="007B3362"/>
    <w:rsid w:val="007C7B8A"/>
    <w:rsid w:val="007D385B"/>
    <w:rsid w:val="00877C93"/>
    <w:rsid w:val="008B0954"/>
    <w:rsid w:val="008B437D"/>
    <w:rsid w:val="008D1758"/>
    <w:rsid w:val="00927E53"/>
    <w:rsid w:val="00934CF8"/>
    <w:rsid w:val="00945479"/>
    <w:rsid w:val="009A5445"/>
    <w:rsid w:val="009B36F7"/>
    <w:rsid w:val="009B527B"/>
    <w:rsid w:val="009B7ABB"/>
    <w:rsid w:val="009C35FB"/>
    <w:rsid w:val="009F5283"/>
    <w:rsid w:val="00A21C21"/>
    <w:rsid w:val="00A35D40"/>
    <w:rsid w:val="00A35FA9"/>
    <w:rsid w:val="00A46DA2"/>
    <w:rsid w:val="00A76633"/>
    <w:rsid w:val="00A928F0"/>
    <w:rsid w:val="00A9309F"/>
    <w:rsid w:val="00AA015E"/>
    <w:rsid w:val="00AB19B9"/>
    <w:rsid w:val="00AC0618"/>
    <w:rsid w:val="00AD1B5C"/>
    <w:rsid w:val="00AF7D64"/>
    <w:rsid w:val="00B179D0"/>
    <w:rsid w:val="00B528BF"/>
    <w:rsid w:val="00B53205"/>
    <w:rsid w:val="00B930CC"/>
    <w:rsid w:val="00BD5FAB"/>
    <w:rsid w:val="00BF343C"/>
    <w:rsid w:val="00C61979"/>
    <w:rsid w:val="00C73FF9"/>
    <w:rsid w:val="00CA1886"/>
    <w:rsid w:val="00CD59BD"/>
    <w:rsid w:val="00CE0577"/>
    <w:rsid w:val="00CE491F"/>
    <w:rsid w:val="00D11F37"/>
    <w:rsid w:val="00D175BB"/>
    <w:rsid w:val="00D573B4"/>
    <w:rsid w:val="00D61CE6"/>
    <w:rsid w:val="00D96E6F"/>
    <w:rsid w:val="00DA1F5B"/>
    <w:rsid w:val="00DC17C5"/>
    <w:rsid w:val="00DF3FE5"/>
    <w:rsid w:val="00E04E0D"/>
    <w:rsid w:val="00E67FD8"/>
    <w:rsid w:val="00E73812"/>
    <w:rsid w:val="00EB638E"/>
    <w:rsid w:val="00EC5D8A"/>
    <w:rsid w:val="00F04FCC"/>
    <w:rsid w:val="00F16B1C"/>
    <w:rsid w:val="00F3360B"/>
    <w:rsid w:val="00F34138"/>
    <w:rsid w:val="00F75A47"/>
    <w:rsid w:val="00F84157"/>
    <w:rsid w:val="00F941FE"/>
    <w:rsid w:val="00FB3575"/>
    <w:rsid w:val="00FF3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03CC4E-C4C7-4D4A-8AAF-3D7D27E7E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A4D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36C2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36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36F7"/>
  </w:style>
  <w:style w:type="paragraph" w:styleId="Footer">
    <w:name w:val="footer"/>
    <w:basedOn w:val="Normal"/>
    <w:link w:val="FooterChar"/>
    <w:uiPriority w:val="99"/>
    <w:unhideWhenUsed/>
    <w:rsid w:val="009B36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6F7"/>
  </w:style>
  <w:style w:type="character" w:customStyle="1" w:styleId="Heading1Char">
    <w:name w:val="Heading 1 Char"/>
    <w:basedOn w:val="DefaultParagraphFont"/>
    <w:link w:val="Heading1"/>
    <w:uiPriority w:val="9"/>
    <w:rsid w:val="001A4D2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6B15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1588"/>
    <w:rPr>
      <w:sz w:val="20"/>
      <w:szCs w:val="20"/>
    </w:rPr>
  </w:style>
  <w:style w:type="character" w:styleId="FootnoteReference">
    <w:name w:val="footnote reference"/>
    <w:basedOn w:val="DefaultParagraphFont"/>
    <w:uiPriority w:val="99"/>
    <w:semiHidden/>
    <w:unhideWhenUsed/>
    <w:rsid w:val="006B1588"/>
    <w:rPr>
      <w:vertAlign w:val="superscript"/>
    </w:rPr>
  </w:style>
  <w:style w:type="character" w:customStyle="1" w:styleId="Heading2Char">
    <w:name w:val="Heading 2 Char"/>
    <w:basedOn w:val="DefaultParagraphFont"/>
    <w:link w:val="Heading2"/>
    <w:uiPriority w:val="9"/>
    <w:rsid w:val="00236C20"/>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1E72A0"/>
    <w:pPr>
      <w:outlineLvl w:val="9"/>
    </w:pPr>
  </w:style>
  <w:style w:type="paragraph" w:styleId="TOC1">
    <w:name w:val="toc 1"/>
    <w:basedOn w:val="Normal"/>
    <w:next w:val="Normal"/>
    <w:autoRedefine/>
    <w:uiPriority w:val="39"/>
    <w:unhideWhenUsed/>
    <w:rsid w:val="001E72A0"/>
    <w:pPr>
      <w:spacing w:after="100"/>
    </w:pPr>
  </w:style>
  <w:style w:type="paragraph" w:styleId="TOC2">
    <w:name w:val="toc 2"/>
    <w:basedOn w:val="Normal"/>
    <w:next w:val="Normal"/>
    <w:autoRedefine/>
    <w:uiPriority w:val="39"/>
    <w:unhideWhenUsed/>
    <w:rsid w:val="001E72A0"/>
    <w:pPr>
      <w:spacing w:after="100"/>
      <w:ind w:left="220"/>
    </w:pPr>
  </w:style>
  <w:style w:type="character" w:styleId="Hyperlink">
    <w:name w:val="Hyperlink"/>
    <w:basedOn w:val="DefaultParagraphFont"/>
    <w:uiPriority w:val="99"/>
    <w:unhideWhenUsed/>
    <w:rsid w:val="001E72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526F7B-0BB8-4091-B860-06CDFEDE6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11</Pages>
  <Words>2275</Words>
  <Characters>12968</Characters>
  <Application>Microsoft Office Word</Application>
  <DocSecurity>0</DocSecurity>
  <Lines>108</Lines>
  <Paragraphs>30</Paragraphs>
  <ScaleCrop>false</ScaleCrop>
  <Company/>
  <LinksUpToDate>false</LinksUpToDate>
  <CharactersWithSpaces>15213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108</cp:revision>
  <dcterms:created xsi:type="dcterms:W3CDTF">2022-06-22T02:08:00Z</dcterms:created>
  <dcterms:modified xsi:type="dcterms:W3CDTF">2022-06-22T06:21:00Z</dcterms:modified>
</cp:coreProperties>
</file>