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15A" w:rsidRPr="005D0D72" w:rsidRDefault="00C01197" w:rsidP="001779B1">
      <w:pPr>
        <w:pStyle w:val="ListParagraph"/>
        <w:numPr>
          <w:ilvl w:val="0"/>
          <w:numId w:val="1"/>
        </w:numPr>
        <w:tabs>
          <w:tab w:val="left" w:pos="360"/>
        </w:tabs>
        <w:spacing w:after="0" w:line="360" w:lineRule="auto"/>
        <w:ind w:hanging="720"/>
        <w:jc w:val="both"/>
        <w:rPr>
          <w:rFonts w:ascii="Segoe UI" w:hAnsi="Segoe UI" w:cs="Segoe UI"/>
          <w:b/>
          <w:sz w:val="24"/>
          <w:szCs w:val="24"/>
        </w:rPr>
      </w:pPr>
      <w:r w:rsidRPr="005D0D72">
        <w:rPr>
          <w:rFonts w:ascii="Segoe UI" w:hAnsi="Segoe UI" w:cs="Segoe UI"/>
          <w:b/>
          <w:sz w:val="24"/>
          <w:szCs w:val="24"/>
        </w:rPr>
        <w:t xml:space="preserve">Introduction </w:t>
      </w:r>
    </w:p>
    <w:p w:rsidR="00C01197" w:rsidRPr="005D0D72" w:rsidRDefault="002C08BA" w:rsidP="001779B1">
      <w:pPr>
        <w:tabs>
          <w:tab w:val="left" w:pos="360"/>
        </w:tabs>
        <w:spacing w:after="0" w:line="360" w:lineRule="auto"/>
        <w:jc w:val="both"/>
        <w:rPr>
          <w:rFonts w:ascii="Segoe UI" w:hAnsi="Segoe UI" w:cs="Segoe UI"/>
          <w:sz w:val="24"/>
          <w:szCs w:val="24"/>
        </w:rPr>
      </w:pPr>
      <w:r w:rsidRPr="002C08BA">
        <w:rPr>
          <w:rFonts w:ascii="Segoe UI" w:hAnsi="Segoe UI" w:cs="Segoe UI"/>
          <w:sz w:val="24"/>
          <w:szCs w:val="24"/>
        </w:rPr>
        <w:t xml:space="preserve">Corporate finance in simple terms refers to the field of finance which focuses on how organizations make decisions related to funding sources, capital structure, accounting, and investments. The underlying motivation dictating corporate finance decisions is to achieve the maximization of shareholders' wealth using a combination of long and short-term financial planning and other strategies. (Hayes, 2021) Although corporate finance forms one of the basic cornerstones of modern business most professionals now look at it from a much broader perspective compared to a traditional approach that focused on financial and mathematical models for decision making. Given the practical implications surrounding investment and financing decision making their corporate finance is now considered more as a social science. </w:t>
      </w:r>
      <w:r w:rsidR="00CA581A" w:rsidRPr="005D0D72">
        <w:rPr>
          <w:rFonts w:ascii="Segoe UI" w:hAnsi="Segoe UI" w:cs="Segoe UI"/>
          <w:sz w:val="24"/>
          <w:szCs w:val="24"/>
        </w:rPr>
        <w:t xml:space="preserve"> </w:t>
      </w:r>
    </w:p>
    <w:p w:rsidR="00EF5D26" w:rsidRPr="005D0D72" w:rsidRDefault="00EF5D26" w:rsidP="001779B1">
      <w:pPr>
        <w:pStyle w:val="ListParagraph"/>
        <w:numPr>
          <w:ilvl w:val="0"/>
          <w:numId w:val="1"/>
        </w:numPr>
        <w:tabs>
          <w:tab w:val="left" w:pos="360"/>
        </w:tabs>
        <w:spacing w:after="0" w:line="360" w:lineRule="auto"/>
        <w:ind w:hanging="720"/>
        <w:jc w:val="both"/>
        <w:rPr>
          <w:rFonts w:ascii="Segoe UI" w:hAnsi="Segoe UI" w:cs="Segoe UI"/>
          <w:b/>
          <w:sz w:val="24"/>
          <w:szCs w:val="24"/>
        </w:rPr>
      </w:pPr>
      <w:r w:rsidRPr="005D0D72">
        <w:rPr>
          <w:rFonts w:ascii="Segoe UI" w:hAnsi="Segoe UI" w:cs="Segoe UI"/>
          <w:b/>
          <w:sz w:val="24"/>
          <w:szCs w:val="24"/>
        </w:rPr>
        <w:t>Case Introduction</w:t>
      </w:r>
    </w:p>
    <w:p w:rsidR="00EF5D26" w:rsidRPr="005D0D72" w:rsidRDefault="002C08BA" w:rsidP="001779B1">
      <w:pPr>
        <w:tabs>
          <w:tab w:val="left" w:pos="360"/>
        </w:tabs>
        <w:spacing w:after="0" w:line="360" w:lineRule="auto"/>
        <w:jc w:val="both"/>
        <w:rPr>
          <w:rFonts w:ascii="Segoe UI" w:hAnsi="Segoe UI" w:cs="Segoe UI"/>
          <w:sz w:val="24"/>
          <w:szCs w:val="24"/>
        </w:rPr>
      </w:pPr>
      <w:r w:rsidRPr="002C08BA">
        <w:rPr>
          <w:rFonts w:ascii="Segoe UI" w:hAnsi="Segoe UI" w:cs="Segoe UI"/>
          <w:sz w:val="24"/>
          <w:szCs w:val="24"/>
        </w:rPr>
        <w:t>The case study selected to gain a better understating of practical issues associated with corporate finance decision making “Boeing / Mc Donnell Douglas case” was analyzed within the context of understanding the emerging role of the European Commission in Merger and acquisition monitoring particularly after the introduction of EEC regulation number 4064/89. Specifically, the sections which follow attempt to identify and answer fourteen different questions and practical considerations in the context of the selected case study</w:t>
      </w:r>
      <w:r w:rsidR="00BA2B4B" w:rsidRPr="005D0D72">
        <w:rPr>
          <w:rFonts w:ascii="Segoe UI" w:hAnsi="Segoe UI" w:cs="Segoe UI"/>
          <w:sz w:val="24"/>
          <w:szCs w:val="24"/>
        </w:rPr>
        <w:t xml:space="preserve">. </w:t>
      </w:r>
    </w:p>
    <w:p w:rsidR="00BA2B4B" w:rsidRPr="005D0D72" w:rsidRDefault="00BA2B4B" w:rsidP="00BA2B4B">
      <w:pPr>
        <w:pStyle w:val="ListParagraph"/>
        <w:numPr>
          <w:ilvl w:val="0"/>
          <w:numId w:val="1"/>
        </w:numPr>
        <w:tabs>
          <w:tab w:val="left" w:pos="360"/>
        </w:tabs>
        <w:spacing w:after="0" w:line="360" w:lineRule="auto"/>
        <w:ind w:hanging="720"/>
        <w:jc w:val="both"/>
        <w:rPr>
          <w:rFonts w:ascii="Segoe UI" w:hAnsi="Segoe UI" w:cs="Segoe UI"/>
          <w:b/>
          <w:sz w:val="24"/>
          <w:szCs w:val="24"/>
        </w:rPr>
      </w:pPr>
      <w:r w:rsidRPr="005D0D72">
        <w:rPr>
          <w:rFonts w:ascii="Segoe UI" w:hAnsi="Segoe UI" w:cs="Segoe UI"/>
          <w:b/>
          <w:sz w:val="24"/>
          <w:szCs w:val="24"/>
        </w:rPr>
        <w:t>What types of merger do competition authorities challenge?</w:t>
      </w:r>
    </w:p>
    <w:p w:rsidR="002C08BA" w:rsidRPr="002C08BA" w:rsidRDefault="002C08BA" w:rsidP="002C08BA">
      <w:pPr>
        <w:spacing w:line="360" w:lineRule="auto"/>
        <w:jc w:val="both"/>
        <w:rPr>
          <w:rFonts w:ascii="Segoe UI" w:hAnsi="Segoe UI" w:cs="Segoe UI"/>
          <w:sz w:val="24"/>
          <w:szCs w:val="24"/>
        </w:rPr>
      </w:pPr>
      <w:r w:rsidRPr="002C08BA">
        <w:rPr>
          <w:rFonts w:ascii="Segoe UI" w:hAnsi="Segoe UI" w:cs="Segoe UI"/>
          <w:sz w:val="24"/>
          <w:szCs w:val="24"/>
        </w:rPr>
        <w:t xml:space="preserve">Competition authorizes such as the Federal Trade Commission challenge mergers when they can lead to substantially lower competition or can lead to the creation of a monopoly. Specifically, the commission identifies three different types of mergers to have </w:t>
      </w:r>
      <w:r w:rsidR="008B7BCB" w:rsidRPr="002C08BA">
        <w:rPr>
          <w:rFonts w:ascii="Segoe UI" w:hAnsi="Segoe UI" w:cs="Segoe UI"/>
          <w:sz w:val="24"/>
          <w:szCs w:val="24"/>
        </w:rPr>
        <w:t>these effect i.e. horizontal mergers</w:t>
      </w:r>
      <w:r w:rsidRPr="002C08BA">
        <w:rPr>
          <w:rFonts w:ascii="Segoe UI" w:hAnsi="Segoe UI" w:cs="Segoe UI"/>
          <w:sz w:val="24"/>
          <w:szCs w:val="24"/>
        </w:rPr>
        <w:t>, vertical mergers, and potential competition mergers. (FTC, 2021)</w:t>
      </w:r>
      <w:bookmarkStart w:id="0" w:name="_GoBack"/>
      <w:bookmarkEnd w:id="0"/>
    </w:p>
    <w:p w:rsidR="002C08BA" w:rsidRPr="002C08BA" w:rsidRDefault="002C08BA" w:rsidP="002C08BA">
      <w:pPr>
        <w:spacing w:line="360" w:lineRule="auto"/>
        <w:jc w:val="both"/>
        <w:rPr>
          <w:rFonts w:ascii="Segoe UI" w:hAnsi="Segoe UI" w:cs="Segoe UI"/>
          <w:sz w:val="24"/>
          <w:szCs w:val="24"/>
        </w:rPr>
      </w:pPr>
      <w:r w:rsidRPr="002C08BA">
        <w:rPr>
          <w:rFonts w:ascii="Segoe UI" w:hAnsi="Segoe UI" w:cs="Segoe UI"/>
          <w:sz w:val="24"/>
          <w:szCs w:val="24"/>
        </w:rPr>
        <w:lastRenderedPageBreak/>
        <w:t>The European Commission on the other hand challenges mergers based on its competition policy under which mergers that reduce market competition or create/strengthen a dominant market player are challenged by the commission. (European Commission, 2021)</w:t>
      </w:r>
    </w:p>
    <w:p w:rsidR="00341852" w:rsidRPr="005D0D72" w:rsidRDefault="002C08BA" w:rsidP="002C08BA">
      <w:pPr>
        <w:spacing w:line="360" w:lineRule="auto"/>
        <w:jc w:val="both"/>
        <w:rPr>
          <w:rFonts w:ascii="Segoe UI" w:hAnsi="Segoe UI" w:cs="Segoe UI"/>
          <w:sz w:val="24"/>
          <w:szCs w:val="24"/>
        </w:rPr>
      </w:pPr>
      <w:r w:rsidRPr="002C08BA">
        <w:rPr>
          <w:rFonts w:ascii="Segoe UI" w:hAnsi="Segoe UI" w:cs="Segoe UI"/>
          <w:sz w:val="24"/>
          <w:szCs w:val="24"/>
        </w:rPr>
        <w:t>Specifically, under regulation EEC number 4064/89, article 1.2 will be considered European and may be challenged by the commission if the worldwide turnover of the firms involved is greater than 5 billion euros and European individual turnover of at least two of the firms concerned is greater than 250 million euros. These limits were also maintained following the alterations made by the promulgation of regulation 1310/97</w:t>
      </w:r>
      <w:r w:rsidR="00341852" w:rsidRPr="005D0D72">
        <w:rPr>
          <w:rFonts w:ascii="Segoe UI" w:hAnsi="Segoe UI" w:cs="Segoe UI"/>
          <w:sz w:val="24"/>
          <w:szCs w:val="24"/>
        </w:rPr>
        <w:t xml:space="preserve">. </w:t>
      </w:r>
    </w:p>
    <w:p w:rsidR="00341852" w:rsidRPr="005D0D72" w:rsidRDefault="00341852" w:rsidP="003D0B8D">
      <w:pPr>
        <w:pStyle w:val="ListParagraph"/>
        <w:numPr>
          <w:ilvl w:val="0"/>
          <w:numId w:val="1"/>
        </w:numPr>
        <w:ind w:left="360"/>
        <w:rPr>
          <w:rFonts w:ascii="Segoe UI" w:hAnsi="Segoe UI" w:cs="Segoe UI"/>
          <w:b/>
          <w:sz w:val="24"/>
          <w:szCs w:val="24"/>
        </w:rPr>
      </w:pPr>
      <w:r w:rsidRPr="005D0D72">
        <w:rPr>
          <w:rFonts w:ascii="Segoe UI" w:hAnsi="Segoe UI" w:cs="Segoe UI"/>
          <w:b/>
          <w:sz w:val="24"/>
          <w:szCs w:val="24"/>
        </w:rPr>
        <w:t>What effect does additional regulation have on a company’s share price or value?</w:t>
      </w:r>
      <w:r w:rsidR="003D0B8D" w:rsidRPr="005D0D72">
        <w:rPr>
          <w:rFonts w:ascii="Segoe UI" w:hAnsi="Segoe UI" w:cs="Segoe UI"/>
          <w:b/>
          <w:sz w:val="24"/>
          <w:szCs w:val="24"/>
        </w:rPr>
        <w:t xml:space="preserve"> What are the reasons for this?</w:t>
      </w:r>
    </w:p>
    <w:p w:rsidR="003D0B8D" w:rsidRPr="005D0D72" w:rsidRDefault="006A288B" w:rsidP="003D0B8D">
      <w:pPr>
        <w:tabs>
          <w:tab w:val="left" w:pos="360"/>
        </w:tabs>
        <w:spacing w:after="0" w:line="360" w:lineRule="auto"/>
        <w:jc w:val="both"/>
        <w:rPr>
          <w:rFonts w:ascii="Segoe UI" w:hAnsi="Segoe UI" w:cs="Segoe UI"/>
          <w:sz w:val="24"/>
          <w:szCs w:val="24"/>
        </w:rPr>
      </w:pPr>
      <w:r w:rsidRPr="005D0D72">
        <w:rPr>
          <w:rFonts w:ascii="Segoe UI" w:hAnsi="Segoe UI" w:cs="Segoe UI"/>
          <w:sz w:val="24"/>
          <w:szCs w:val="24"/>
        </w:rPr>
        <w:t xml:space="preserve">Based on works conducted by Jensen and Ruback in 1993 markets have an established belief that mergers and takeovers both increase shareholders wealth for both target and the acquirer whereas greater benefits are realized by the acquirer. Schwert (1989) proposed that impact of regulations </w:t>
      </w:r>
      <w:r w:rsidR="003D0B8D" w:rsidRPr="005D0D72">
        <w:rPr>
          <w:rFonts w:ascii="Segoe UI" w:hAnsi="Segoe UI" w:cs="Segoe UI"/>
          <w:sz w:val="24"/>
          <w:szCs w:val="24"/>
        </w:rPr>
        <w:t xml:space="preserve">can be assessed through an analysis of stock behavior and performance. Dowell (1992) further developed the same concept and concluded that regulations lead to significant negative returns for any industry i.e. overall regulation has a negative impact on value creation. Specifically, additional regulation as well as the actions taken by anti-competition authorities serves as a destroyer of value. </w:t>
      </w:r>
    </w:p>
    <w:p w:rsidR="005B23D6" w:rsidRPr="005D0D72" w:rsidRDefault="005B23D6" w:rsidP="005B23D6">
      <w:pPr>
        <w:pStyle w:val="ListParagraph"/>
        <w:numPr>
          <w:ilvl w:val="0"/>
          <w:numId w:val="1"/>
        </w:numPr>
        <w:ind w:left="360"/>
        <w:rPr>
          <w:rFonts w:ascii="Segoe UI" w:hAnsi="Segoe UI" w:cs="Segoe UI"/>
          <w:b/>
          <w:sz w:val="24"/>
          <w:szCs w:val="24"/>
        </w:rPr>
      </w:pPr>
      <w:r w:rsidRPr="005D0D72">
        <w:rPr>
          <w:rFonts w:ascii="Segoe UI" w:hAnsi="Segoe UI" w:cs="Segoe UI"/>
          <w:b/>
          <w:sz w:val="24"/>
          <w:szCs w:val="24"/>
        </w:rPr>
        <w:t>Do the US and the EU regulators have different assumptions as to the sources of gains from horizontal mergers?</w:t>
      </w:r>
    </w:p>
    <w:p w:rsidR="00EA190B" w:rsidRPr="005D0D72" w:rsidRDefault="005B23D6" w:rsidP="00EA60F8">
      <w:pPr>
        <w:tabs>
          <w:tab w:val="left" w:pos="360"/>
        </w:tabs>
        <w:spacing w:after="0" w:line="360" w:lineRule="auto"/>
        <w:jc w:val="both"/>
        <w:rPr>
          <w:rFonts w:ascii="Segoe UI" w:hAnsi="Segoe UI" w:cs="Segoe UI"/>
          <w:sz w:val="24"/>
          <w:szCs w:val="24"/>
        </w:rPr>
      </w:pPr>
      <w:r w:rsidRPr="005D0D72">
        <w:rPr>
          <w:rFonts w:ascii="Segoe UI" w:hAnsi="Segoe UI" w:cs="Segoe UI"/>
          <w:sz w:val="24"/>
          <w:szCs w:val="24"/>
        </w:rPr>
        <w:t xml:space="preserve">A horizontal merger in simple terms is a merger between businesses or entities which operate in the same industry. </w:t>
      </w:r>
      <w:r w:rsidR="00EA60F8" w:rsidRPr="005D0D72">
        <w:rPr>
          <w:rFonts w:ascii="Segoe UI" w:hAnsi="Segoe UI" w:cs="Segoe UI"/>
          <w:sz w:val="24"/>
          <w:szCs w:val="24"/>
        </w:rPr>
        <w:t xml:space="preserve">Specifically, horizontal mergers are defined by OECD as mergers between business and firms which produce and sell similar products i.e. firms </w:t>
      </w:r>
      <w:r w:rsidR="00EA60F8" w:rsidRPr="005D0D72">
        <w:rPr>
          <w:rFonts w:ascii="Segoe UI" w:hAnsi="Segoe UI" w:cs="Segoe UI"/>
          <w:sz w:val="24"/>
          <w:szCs w:val="24"/>
        </w:rPr>
        <w:lastRenderedPageBreak/>
        <w:t xml:space="preserve">which compete with each other. </w:t>
      </w:r>
      <w:r w:rsidR="00EA190B" w:rsidRPr="005D0D72">
        <w:rPr>
          <w:rFonts w:ascii="Segoe UI" w:hAnsi="Segoe UI" w:cs="Segoe UI"/>
          <w:sz w:val="24"/>
          <w:szCs w:val="24"/>
        </w:rPr>
        <w:t xml:space="preserve">Such mergers are therefore most critically reviewed by the competition authorities such as FTC and European commission. </w:t>
      </w:r>
    </w:p>
    <w:p w:rsidR="005D0D72" w:rsidRDefault="00EA190B" w:rsidP="00EA60F8">
      <w:pPr>
        <w:tabs>
          <w:tab w:val="left" w:pos="360"/>
        </w:tabs>
        <w:spacing w:after="0" w:line="360" w:lineRule="auto"/>
        <w:jc w:val="both"/>
        <w:rPr>
          <w:rFonts w:ascii="Segoe UI" w:hAnsi="Segoe UI" w:cs="Segoe UI"/>
          <w:sz w:val="24"/>
          <w:szCs w:val="24"/>
        </w:rPr>
      </w:pPr>
      <w:r w:rsidRPr="005D0D72">
        <w:rPr>
          <w:rFonts w:ascii="Segoe UI" w:hAnsi="Segoe UI" w:cs="Segoe UI"/>
          <w:sz w:val="24"/>
          <w:szCs w:val="24"/>
        </w:rPr>
        <w:t xml:space="preserve">In the context of horizontal mergers American and EU regulators view sources of value creation differently. For instance FTC and Department of Justice in the United States are of the view that value created as a result of the merger is a result efficiency gain of producers induced by merger into account. The EU regulators on the other hand focus on consumer surplus maximization rather than the global surplus which includes both producer and consumer </w:t>
      </w:r>
      <w:r w:rsidR="005D0D72" w:rsidRPr="005D0D72">
        <w:rPr>
          <w:rFonts w:ascii="Segoe UI" w:hAnsi="Segoe UI" w:cs="Segoe UI"/>
          <w:sz w:val="24"/>
          <w:szCs w:val="24"/>
        </w:rPr>
        <w:t xml:space="preserve">surplus. </w:t>
      </w:r>
    </w:p>
    <w:p w:rsidR="005D0D72" w:rsidRPr="005D0D72" w:rsidRDefault="005D0D72" w:rsidP="005D0D72">
      <w:pPr>
        <w:pStyle w:val="ListParagraph"/>
        <w:numPr>
          <w:ilvl w:val="0"/>
          <w:numId w:val="1"/>
        </w:numPr>
        <w:ind w:left="360"/>
        <w:rPr>
          <w:rFonts w:ascii="Segoe UI" w:hAnsi="Segoe UI" w:cs="Segoe UI"/>
          <w:sz w:val="24"/>
          <w:szCs w:val="24"/>
          <w:lang w:val="en-IE"/>
        </w:rPr>
      </w:pPr>
      <w:r w:rsidRPr="005D0D72">
        <w:rPr>
          <w:rFonts w:ascii="Segoe UI" w:hAnsi="Segoe UI" w:cs="Segoe UI"/>
          <w:b/>
          <w:sz w:val="24"/>
          <w:szCs w:val="24"/>
        </w:rPr>
        <w:t>What were the effects of horizontal mergers in the US air transport industry?</w:t>
      </w:r>
    </w:p>
    <w:p w:rsidR="005D0D72" w:rsidRPr="005D0D72" w:rsidRDefault="005D0D72" w:rsidP="005D0D72">
      <w:pPr>
        <w:spacing w:line="360" w:lineRule="auto"/>
        <w:jc w:val="both"/>
        <w:rPr>
          <w:rFonts w:ascii="Segoe UI" w:hAnsi="Segoe UI" w:cs="Segoe UI"/>
          <w:sz w:val="24"/>
          <w:szCs w:val="24"/>
          <w:lang w:val="en-IE"/>
        </w:rPr>
      </w:pPr>
      <w:r>
        <w:rPr>
          <w:rFonts w:ascii="Segoe UI" w:hAnsi="Segoe UI" w:cs="Segoe UI"/>
          <w:sz w:val="24"/>
          <w:szCs w:val="24"/>
          <w:lang w:val="en-IE"/>
        </w:rPr>
        <w:t xml:space="preserve">The effects of horizontal merger’s particularly within the US air transport industry indicate that value creation following said mergers was as a result of competition pressure rather than the increased efficiency levels usually used as an argument in favour of mergers. Specifically, studies focusing on such mergers found it impossible to rule out that value created following said mergers was not due to creation or reinforcement of a dominant position. </w:t>
      </w:r>
    </w:p>
    <w:p w:rsidR="00AD773F" w:rsidRDefault="00AD773F" w:rsidP="00AD773F">
      <w:pPr>
        <w:pStyle w:val="ListParagraph"/>
        <w:numPr>
          <w:ilvl w:val="0"/>
          <w:numId w:val="1"/>
        </w:numPr>
        <w:ind w:left="360"/>
        <w:jc w:val="both"/>
        <w:rPr>
          <w:rFonts w:ascii="Segoe UI" w:hAnsi="Segoe UI" w:cs="Segoe UI"/>
          <w:b/>
          <w:sz w:val="24"/>
          <w:szCs w:val="24"/>
        </w:rPr>
      </w:pPr>
      <w:r w:rsidRPr="00AD773F">
        <w:rPr>
          <w:rFonts w:ascii="Segoe UI" w:hAnsi="Segoe UI" w:cs="Segoe UI"/>
          <w:b/>
          <w:sz w:val="24"/>
          <w:szCs w:val="24"/>
        </w:rPr>
        <w:t>What were the reasons for the mer</w:t>
      </w:r>
      <w:r>
        <w:rPr>
          <w:rFonts w:ascii="Segoe UI" w:hAnsi="Segoe UI" w:cs="Segoe UI"/>
          <w:b/>
          <w:sz w:val="24"/>
          <w:szCs w:val="24"/>
        </w:rPr>
        <w:t xml:space="preserve">ger between McDonnell Douglas and </w:t>
      </w:r>
      <w:r w:rsidRPr="00AD773F">
        <w:rPr>
          <w:rFonts w:ascii="Segoe UI" w:hAnsi="Segoe UI" w:cs="Segoe UI"/>
          <w:b/>
          <w:sz w:val="24"/>
          <w:szCs w:val="24"/>
        </w:rPr>
        <w:t>Boeing</w:t>
      </w:r>
      <w:r>
        <w:rPr>
          <w:rFonts w:ascii="Segoe UI" w:hAnsi="Segoe UI" w:cs="Segoe UI"/>
          <w:b/>
          <w:sz w:val="24"/>
          <w:szCs w:val="24"/>
        </w:rPr>
        <w:t>?</w:t>
      </w:r>
    </w:p>
    <w:p w:rsidR="00DD30DD" w:rsidRDefault="00725AEA" w:rsidP="00DD30DD">
      <w:pPr>
        <w:spacing w:line="360" w:lineRule="auto"/>
        <w:jc w:val="both"/>
        <w:rPr>
          <w:rFonts w:ascii="Segoe UI" w:hAnsi="Segoe UI" w:cs="Segoe UI"/>
          <w:sz w:val="24"/>
          <w:szCs w:val="24"/>
          <w:lang w:val="en-IE"/>
        </w:rPr>
      </w:pPr>
      <w:r w:rsidRPr="00DD30DD">
        <w:rPr>
          <w:rFonts w:ascii="Segoe UI" w:hAnsi="Segoe UI" w:cs="Segoe UI"/>
          <w:sz w:val="24"/>
          <w:szCs w:val="24"/>
          <w:lang w:val="en-IE"/>
        </w:rPr>
        <w:t xml:space="preserve">A number of motivations can be identified behind the proposed merger between McDonnell Douglas and Boeing. Specifically, one of the key reasons for was based on Boeing’s need to significantly increase its production capacity in order to meet its </w:t>
      </w:r>
      <w:r w:rsidR="00DD30DD" w:rsidRPr="00DD30DD">
        <w:rPr>
          <w:rFonts w:ascii="Segoe UI" w:hAnsi="Segoe UI" w:cs="Segoe UI"/>
          <w:sz w:val="24"/>
          <w:szCs w:val="24"/>
          <w:lang w:val="en-IE"/>
        </w:rPr>
        <w:t>outstanding</w:t>
      </w:r>
      <w:r w:rsidRPr="00DD30DD">
        <w:rPr>
          <w:rFonts w:ascii="Segoe UI" w:hAnsi="Segoe UI" w:cs="Segoe UI"/>
          <w:sz w:val="24"/>
          <w:szCs w:val="24"/>
          <w:lang w:val="en-IE"/>
        </w:rPr>
        <w:t xml:space="preserve"> orders.</w:t>
      </w:r>
      <w:r w:rsidR="00DD30DD" w:rsidRPr="00DD30DD">
        <w:rPr>
          <w:rFonts w:ascii="Segoe UI" w:hAnsi="Segoe UI" w:cs="Segoe UI"/>
          <w:sz w:val="24"/>
          <w:szCs w:val="24"/>
          <w:lang w:val="en-IE"/>
        </w:rPr>
        <w:t xml:space="preserve"> According to the New York time at the time of the merger both companies had a combined backlog of USD 100 billion whereas the merger allowed Boeing to use McDonnell’s surplus production capacity and hence become a more efficient producer. </w:t>
      </w:r>
      <w:r w:rsidR="00DD30DD">
        <w:rPr>
          <w:rFonts w:ascii="Segoe UI" w:hAnsi="Segoe UI" w:cs="Segoe UI"/>
          <w:sz w:val="24"/>
          <w:szCs w:val="24"/>
          <w:lang w:val="en-IE"/>
        </w:rPr>
        <w:t>(NY Times, 19</w:t>
      </w:r>
      <w:r w:rsidR="00D0442A">
        <w:rPr>
          <w:rFonts w:ascii="Segoe UI" w:hAnsi="Segoe UI" w:cs="Segoe UI"/>
          <w:sz w:val="24"/>
          <w:szCs w:val="24"/>
          <w:lang w:val="en-IE"/>
        </w:rPr>
        <w:t>9</w:t>
      </w:r>
      <w:r w:rsidR="00DD30DD">
        <w:rPr>
          <w:rFonts w:ascii="Segoe UI" w:hAnsi="Segoe UI" w:cs="Segoe UI"/>
          <w:sz w:val="24"/>
          <w:szCs w:val="24"/>
          <w:lang w:val="en-IE"/>
        </w:rPr>
        <w:t xml:space="preserve">6) </w:t>
      </w:r>
    </w:p>
    <w:p w:rsidR="00D0442A" w:rsidRPr="00D0442A" w:rsidRDefault="00D0442A" w:rsidP="00D0442A">
      <w:pPr>
        <w:pStyle w:val="ListParagraph"/>
        <w:numPr>
          <w:ilvl w:val="0"/>
          <w:numId w:val="1"/>
        </w:numPr>
        <w:ind w:left="360"/>
        <w:jc w:val="both"/>
        <w:rPr>
          <w:rFonts w:ascii="Segoe UI" w:hAnsi="Segoe UI" w:cs="Segoe UI"/>
          <w:sz w:val="24"/>
          <w:szCs w:val="24"/>
          <w:lang w:val="en-IE"/>
        </w:rPr>
      </w:pPr>
      <w:r w:rsidRPr="00D0442A">
        <w:rPr>
          <w:rFonts w:ascii="Segoe UI" w:hAnsi="Segoe UI" w:cs="Segoe UI"/>
          <w:b/>
          <w:sz w:val="24"/>
          <w:szCs w:val="24"/>
        </w:rPr>
        <w:t>Merger or Take-over?</w:t>
      </w:r>
    </w:p>
    <w:p w:rsidR="00D0442A" w:rsidRPr="00D0442A" w:rsidRDefault="00D0442A" w:rsidP="00F013C1">
      <w:pPr>
        <w:spacing w:line="360" w:lineRule="auto"/>
        <w:jc w:val="both"/>
        <w:rPr>
          <w:rFonts w:ascii="Segoe UI" w:hAnsi="Segoe UI" w:cs="Segoe UI"/>
          <w:sz w:val="24"/>
          <w:szCs w:val="24"/>
          <w:lang w:val="en-IE"/>
        </w:rPr>
      </w:pPr>
      <w:r>
        <w:rPr>
          <w:rFonts w:ascii="Segoe UI" w:hAnsi="Segoe UI" w:cs="Segoe UI"/>
          <w:sz w:val="24"/>
          <w:szCs w:val="24"/>
          <w:lang w:val="en-IE"/>
        </w:rPr>
        <w:lastRenderedPageBreak/>
        <w:t xml:space="preserve">Based on the facts presented within the case study the combination of McDonnell Douglas and Boeing was a clear case of </w:t>
      </w:r>
      <w:r w:rsidR="00D5491A">
        <w:rPr>
          <w:rFonts w:ascii="Segoe UI" w:hAnsi="Segoe UI" w:cs="Segoe UI"/>
          <w:sz w:val="24"/>
          <w:szCs w:val="24"/>
          <w:lang w:val="en-IE"/>
        </w:rPr>
        <w:t xml:space="preserve">friendly takeover </w:t>
      </w:r>
      <w:r>
        <w:rPr>
          <w:rFonts w:ascii="Segoe UI" w:hAnsi="Segoe UI" w:cs="Segoe UI"/>
          <w:sz w:val="24"/>
          <w:szCs w:val="24"/>
          <w:lang w:val="en-IE"/>
        </w:rPr>
        <w:t xml:space="preserve">rather than a </w:t>
      </w:r>
      <w:r w:rsidR="00D5491A">
        <w:rPr>
          <w:rFonts w:ascii="Segoe UI" w:hAnsi="Segoe UI" w:cs="Segoe UI"/>
          <w:sz w:val="24"/>
          <w:szCs w:val="24"/>
          <w:lang w:val="en-IE"/>
        </w:rPr>
        <w:t>merger</w:t>
      </w:r>
      <w:r>
        <w:rPr>
          <w:rFonts w:ascii="Segoe UI" w:hAnsi="Segoe UI" w:cs="Segoe UI"/>
          <w:sz w:val="24"/>
          <w:szCs w:val="24"/>
          <w:lang w:val="en-IE"/>
        </w:rPr>
        <w:t xml:space="preserve">. Specifically, the combination is interpreted as a </w:t>
      </w:r>
      <w:r w:rsidR="00D5491A">
        <w:rPr>
          <w:rFonts w:ascii="Segoe UI" w:hAnsi="Segoe UI" w:cs="Segoe UI"/>
          <w:sz w:val="24"/>
          <w:szCs w:val="24"/>
          <w:lang w:val="en-IE"/>
        </w:rPr>
        <w:t xml:space="preserve">friendly takeover as </w:t>
      </w:r>
      <w:r>
        <w:rPr>
          <w:rFonts w:ascii="Segoe UI" w:hAnsi="Segoe UI" w:cs="Segoe UI"/>
          <w:sz w:val="24"/>
          <w:szCs w:val="24"/>
          <w:lang w:val="en-IE"/>
        </w:rPr>
        <w:t xml:space="preserve">based on the fact that it was based on mutual decision of the two companies involved </w:t>
      </w:r>
      <w:r w:rsidR="00F013C1">
        <w:rPr>
          <w:rFonts w:ascii="Segoe UI" w:hAnsi="Segoe UI" w:cs="Segoe UI"/>
          <w:sz w:val="24"/>
          <w:szCs w:val="24"/>
          <w:lang w:val="en-IE"/>
        </w:rPr>
        <w:t xml:space="preserve">and </w:t>
      </w:r>
      <w:r w:rsidR="00D5491A">
        <w:rPr>
          <w:rFonts w:ascii="Segoe UI" w:hAnsi="Segoe UI" w:cs="Segoe UI"/>
          <w:sz w:val="24"/>
          <w:szCs w:val="24"/>
          <w:lang w:val="en-IE"/>
        </w:rPr>
        <w:t>only the corporate identity of the purchases i.e. Boeing survived</w:t>
      </w:r>
      <w:r w:rsidR="00F013C1">
        <w:rPr>
          <w:rFonts w:ascii="Segoe UI" w:hAnsi="Segoe UI" w:cs="Segoe UI"/>
          <w:sz w:val="24"/>
          <w:szCs w:val="24"/>
          <w:lang w:val="en-IE"/>
        </w:rPr>
        <w:t xml:space="preserve">. (Go Cardless, 2021) </w:t>
      </w:r>
    </w:p>
    <w:p w:rsidR="00F013C1" w:rsidRDefault="00F013C1" w:rsidP="00F013C1">
      <w:pPr>
        <w:pStyle w:val="ListParagraph"/>
        <w:numPr>
          <w:ilvl w:val="0"/>
          <w:numId w:val="1"/>
        </w:numPr>
        <w:ind w:left="360"/>
        <w:jc w:val="both"/>
        <w:rPr>
          <w:rFonts w:ascii="Segoe UI" w:hAnsi="Segoe UI" w:cs="Segoe UI"/>
          <w:b/>
          <w:sz w:val="24"/>
          <w:szCs w:val="24"/>
        </w:rPr>
      </w:pPr>
      <w:r w:rsidRPr="00F013C1">
        <w:rPr>
          <w:rFonts w:ascii="Segoe UI" w:hAnsi="Segoe UI" w:cs="Segoe UI"/>
          <w:b/>
          <w:sz w:val="24"/>
          <w:szCs w:val="24"/>
        </w:rPr>
        <w:t>Was the merger good or bad from the point of view of the shareholders of McDonnell Douglas, Boeing and both?</w:t>
      </w:r>
    </w:p>
    <w:p w:rsidR="00E27DC3" w:rsidRDefault="00F013C1" w:rsidP="00F013C1">
      <w:pPr>
        <w:spacing w:line="360" w:lineRule="auto"/>
        <w:jc w:val="both"/>
        <w:rPr>
          <w:rFonts w:ascii="Segoe UI" w:hAnsi="Segoe UI" w:cs="Segoe UI"/>
          <w:sz w:val="24"/>
          <w:szCs w:val="24"/>
        </w:rPr>
      </w:pPr>
      <w:r>
        <w:rPr>
          <w:rFonts w:ascii="Segoe UI" w:hAnsi="Segoe UI" w:cs="Segoe UI"/>
          <w:sz w:val="24"/>
          <w:szCs w:val="24"/>
        </w:rPr>
        <w:t xml:space="preserve">Over the short term following the initial merger announcement shareholders of both companies enjoyed abnormal returns. Specifically, McDonnell shareholders enjoyed a two day abnormal return of 22.7% whereas Boeing shareholders’ experienced an abnormal return of 5.6%. In terms of dollar values the shareholders gained USD 3.2 and 2 billion USD </w:t>
      </w:r>
      <w:r w:rsidR="00230120">
        <w:rPr>
          <w:rFonts w:ascii="Segoe UI" w:hAnsi="Segoe UI" w:cs="Segoe UI"/>
          <w:sz w:val="24"/>
          <w:szCs w:val="24"/>
        </w:rPr>
        <w:t xml:space="preserve">respectively over the said two day period. </w:t>
      </w:r>
      <w:r w:rsidR="00A250EB">
        <w:rPr>
          <w:rFonts w:ascii="Segoe UI" w:hAnsi="Segoe UI" w:cs="Segoe UI"/>
          <w:sz w:val="24"/>
          <w:szCs w:val="24"/>
        </w:rPr>
        <w:t xml:space="preserve">Further, over the longer term i.e. December 1996 to date of commission agreement to the merger both companies was able to generate positive value. Specifically, value creation for Boeing shareholders due to the merger was USD 1.5 billion whereas that for McDonnell shareholders was USD 4.3 billion. </w:t>
      </w:r>
    </w:p>
    <w:p w:rsidR="00D5491A" w:rsidRPr="00D5491A" w:rsidRDefault="00D5491A" w:rsidP="00D5491A">
      <w:pPr>
        <w:pStyle w:val="ListParagraph"/>
        <w:numPr>
          <w:ilvl w:val="0"/>
          <w:numId w:val="1"/>
        </w:numPr>
        <w:ind w:left="360"/>
        <w:jc w:val="both"/>
        <w:rPr>
          <w:rFonts w:ascii="Segoe UI" w:hAnsi="Segoe UI" w:cs="Segoe UI"/>
          <w:sz w:val="24"/>
          <w:szCs w:val="24"/>
          <w:lang w:val="en-IE"/>
        </w:rPr>
      </w:pPr>
      <w:r w:rsidRPr="00D5491A">
        <w:rPr>
          <w:rFonts w:ascii="Segoe UI" w:hAnsi="Segoe UI" w:cs="Segoe UI"/>
          <w:b/>
          <w:sz w:val="24"/>
          <w:szCs w:val="24"/>
        </w:rPr>
        <w:t>Why did commission intervene?</w:t>
      </w:r>
    </w:p>
    <w:p w:rsidR="00D5491A" w:rsidRDefault="004472CD" w:rsidP="00AA469E">
      <w:pPr>
        <w:spacing w:line="360" w:lineRule="auto"/>
        <w:jc w:val="both"/>
        <w:rPr>
          <w:rFonts w:ascii="Segoe UI" w:hAnsi="Segoe UI" w:cs="Segoe UI"/>
          <w:sz w:val="24"/>
          <w:szCs w:val="24"/>
          <w:lang w:val="en-IE"/>
        </w:rPr>
      </w:pPr>
      <w:r>
        <w:rPr>
          <w:rFonts w:ascii="Segoe UI" w:hAnsi="Segoe UI" w:cs="Segoe UI"/>
          <w:sz w:val="24"/>
          <w:szCs w:val="24"/>
          <w:lang w:val="en-IE"/>
        </w:rPr>
        <w:t xml:space="preserve">The </w:t>
      </w:r>
      <w:r w:rsidR="00ED09FB">
        <w:rPr>
          <w:rFonts w:ascii="Segoe UI" w:hAnsi="Segoe UI" w:cs="Segoe UI"/>
          <w:sz w:val="24"/>
          <w:szCs w:val="24"/>
          <w:lang w:val="en-IE"/>
        </w:rPr>
        <w:t>intervention</w:t>
      </w:r>
      <w:r>
        <w:rPr>
          <w:rFonts w:ascii="Segoe UI" w:hAnsi="Segoe UI" w:cs="Segoe UI"/>
          <w:sz w:val="24"/>
          <w:szCs w:val="24"/>
          <w:lang w:val="en-IE"/>
        </w:rPr>
        <w:t xml:space="preserve"> by the commission was based on their view that said merger will further strengthen the already dominant position enjoyed by Boeing in worldwide market or large commercial </w:t>
      </w:r>
      <w:r w:rsidR="00ED09FB">
        <w:rPr>
          <w:rFonts w:ascii="Segoe UI" w:hAnsi="Segoe UI" w:cs="Segoe UI"/>
          <w:sz w:val="24"/>
          <w:szCs w:val="24"/>
          <w:lang w:val="en-IE"/>
        </w:rPr>
        <w:t>aircrafts</w:t>
      </w:r>
      <w:r>
        <w:rPr>
          <w:rFonts w:ascii="Segoe UI" w:hAnsi="Segoe UI" w:cs="Segoe UI"/>
          <w:sz w:val="24"/>
          <w:szCs w:val="24"/>
          <w:lang w:val="en-IE"/>
        </w:rPr>
        <w:t xml:space="preserve">. This enhanced strength according to the </w:t>
      </w:r>
      <w:r w:rsidR="00ED09FB">
        <w:rPr>
          <w:rFonts w:ascii="Segoe UI" w:hAnsi="Segoe UI" w:cs="Segoe UI"/>
          <w:sz w:val="24"/>
          <w:szCs w:val="24"/>
          <w:lang w:val="en-IE"/>
        </w:rPr>
        <w:t>commission</w:t>
      </w:r>
      <w:r>
        <w:rPr>
          <w:rFonts w:ascii="Segoe UI" w:hAnsi="Segoe UI" w:cs="Segoe UI"/>
          <w:sz w:val="24"/>
          <w:szCs w:val="24"/>
          <w:lang w:val="en-IE"/>
        </w:rPr>
        <w:t xml:space="preserve"> was driven by company’s own </w:t>
      </w:r>
      <w:r w:rsidR="00ED09FB">
        <w:rPr>
          <w:rFonts w:ascii="Segoe UI" w:hAnsi="Segoe UI" w:cs="Segoe UI"/>
          <w:sz w:val="24"/>
          <w:szCs w:val="24"/>
          <w:lang w:val="en-IE"/>
        </w:rPr>
        <w:t>competitive</w:t>
      </w:r>
      <w:r>
        <w:rPr>
          <w:rFonts w:ascii="Segoe UI" w:hAnsi="Segoe UI" w:cs="Segoe UI"/>
          <w:sz w:val="24"/>
          <w:szCs w:val="24"/>
          <w:lang w:val="en-IE"/>
        </w:rPr>
        <w:t xml:space="preserve"> potential as well as the </w:t>
      </w:r>
      <w:r w:rsidR="00ED09FB">
        <w:rPr>
          <w:rFonts w:ascii="Segoe UI" w:hAnsi="Segoe UI" w:cs="Segoe UI"/>
          <w:sz w:val="24"/>
          <w:szCs w:val="24"/>
          <w:lang w:val="en-IE"/>
        </w:rPr>
        <w:t xml:space="preserve">opportunities it had to enter into exclusive supply deals with airlines. </w:t>
      </w:r>
      <w:r w:rsidR="00AA469E">
        <w:rPr>
          <w:rFonts w:ascii="Segoe UI" w:hAnsi="Segoe UI" w:cs="Segoe UI"/>
          <w:sz w:val="24"/>
          <w:szCs w:val="24"/>
          <w:lang w:val="en-IE"/>
        </w:rPr>
        <w:t xml:space="preserve">(European Commission, 1997) </w:t>
      </w:r>
    </w:p>
    <w:p w:rsidR="00AA469E" w:rsidRDefault="00AA469E" w:rsidP="00AA469E">
      <w:pPr>
        <w:pStyle w:val="ListParagraph"/>
        <w:numPr>
          <w:ilvl w:val="0"/>
          <w:numId w:val="1"/>
        </w:numPr>
        <w:ind w:left="360"/>
        <w:jc w:val="both"/>
        <w:rPr>
          <w:rFonts w:ascii="Segoe UI" w:hAnsi="Segoe UI" w:cs="Segoe UI"/>
          <w:b/>
          <w:sz w:val="24"/>
          <w:szCs w:val="24"/>
        </w:rPr>
      </w:pPr>
      <w:r w:rsidRPr="00AA469E">
        <w:rPr>
          <w:rFonts w:ascii="Segoe UI" w:hAnsi="Segoe UI" w:cs="Segoe UI"/>
          <w:b/>
          <w:sz w:val="24"/>
          <w:szCs w:val="24"/>
        </w:rPr>
        <w:t>What could commission do and not do - did it have clout?</w:t>
      </w:r>
    </w:p>
    <w:p w:rsidR="00AA469E" w:rsidRPr="00AA469E" w:rsidRDefault="00AA469E" w:rsidP="00AA469E">
      <w:pPr>
        <w:spacing w:line="360" w:lineRule="auto"/>
        <w:jc w:val="both"/>
        <w:rPr>
          <w:rFonts w:ascii="Segoe UI" w:hAnsi="Segoe UI" w:cs="Segoe UI"/>
          <w:sz w:val="24"/>
          <w:szCs w:val="24"/>
        </w:rPr>
      </w:pPr>
      <w:r w:rsidRPr="00AA469E">
        <w:rPr>
          <w:rFonts w:ascii="Segoe UI" w:hAnsi="Segoe UI" w:cs="Segoe UI"/>
          <w:sz w:val="24"/>
          <w:szCs w:val="24"/>
        </w:rPr>
        <w:lastRenderedPageBreak/>
        <w:t xml:space="preserve">Given that the merger involved two American companies technically outside the Commission’s jurisdiction </w:t>
      </w:r>
      <w:r w:rsidR="00832DA7">
        <w:rPr>
          <w:rFonts w:ascii="Segoe UI" w:hAnsi="Segoe UI" w:cs="Segoe UI"/>
          <w:sz w:val="24"/>
          <w:szCs w:val="24"/>
        </w:rPr>
        <w:t xml:space="preserve">it had limited options when examining the same as it could not legally prevent the merger. In this context the Commission had to rely on its power to impose sanctions and penalties on transactions occurring within the European Union if the merger was considered a threat to market competition. </w:t>
      </w:r>
      <w:r w:rsidR="005728EA">
        <w:rPr>
          <w:rFonts w:ascii="Segoe UI" w:hAnsi="Segoe UI" w:cs="Segoe UI"/>
          <w:sz w:val="24"/>
          <w:szCs w:val="24"/>
        </w:rPr>
        <w:t xml:space="preserve">This same threat was used by the </w:t>
      </w:r>
      <w:r w:rsidR="00C86662">
        <w:rPr>
          <w:rFonts w:ascii="Segoe UI" w:hAnsi="Segoe UI" w:cs="Segoe UI"/>
          <w:sz w:val="24"/>
          <w:szCs w:val="24"/>
        </w:rPr>
        <w:t>Commission</w:t>
      </w:r>
      <w:r w:rsidR="005728EA">
        <w:rPr>
          <w:rFonts w:ascii="Segoe UI" w:hAnsi="Segoe UI" w:cs="Segoe UI"/>
          <w:sz w:val="24"/>
          <w:szCs w:val="24"/>
        </w:rPr>
        <w:t xml:space="preserve"> to gain significant </w:t>
      </w:r>
      <w:r w:rsidR="00C86662">
        <w:rPr>
          <w:rFonts w:ascii="Segoe UI" w:hAnsi="Segoe UI" w:cs="Segoe UI"/>
          <w:sz w:val="24"/>
          <w:szCs w:val="24"/>
        </w:rPr>
        <w:t xml:space="preserve">concessions from Boeing. </w:t>
      </w:r>
    </w:p>
    <w:p w:rsidR="009B3F06" w:rsidRDefault="009B3F06" w:rsidP="009B3F06">
      <w:pPr>
        <w:pStyle w:val="ListParagraph"/>
        <w:numPr>
          <w:ilvl w:val="0"/>
          <w:numId w:val="1"/>
        </w:numPr>
        <w:ind w:left="360"/>
        <w:jc w:val="both"/>
        <w:rPr>
          <w:rFonts w:ascii="Segoe UI" w:hAnsi="Segoe UI" w:cs="Segoe UI"/>
          <w:b/>
          <w:sz w:val="24"/>
          <w:szCs w:val="24"/>
        </w:rPr>
      </w:pPr>
      <w:r w:rsidRPr="009B3F06">
        <w:rPr>
          <w:rFonts w:ascii="Segoe UI" w:hAnsi="Segoe UI" w:cs="Segoe UI"/>
          <w:b/>
          <w:sz w:val="24"/>
          <w:szCs w:val="24"/>
        </w:rPr>
        <w:t>Was the commission taken seriously at first?</w:t>
      </w:r>
    </w:p>
    <w:p w:rsidR="009B3F06" w:rsidRDefault="009B3F06" w:rsidP="00931E2F">
      <w:pPr>
        <w:spacing w:line="360" w:lineRule="auto"/>
        <w:jc w:val="both"/>
        <w:rPr>
          <w:rFonts w:ascii="Segoe UI" w:hAnsi="Segoe UI" w:cs="Segoe UI"/>
          <w:sz w:val="24"/>
          <w:szCs w:val="24"/>
        </w:rPr>
      </w:pPr>
      <w:r>
        <w:rPr>
          <w:rFonts w:ascii="Segoe UI" w:hAnsi="Segoe UI" w:cs="Segoe UI"/>
          <w:sz w:val="24"/>
          <w:szCs w:val="24"/>
        </w:rPr>
        <w:t xml:space="preserve">The commission’s announcement at first was not taken seriously by both the markets and the management of the companies involved. </w:t>
      </w:r>
      <w:r w:rsidR="00931E2F">
        <w:rPr>
          <w:rFonts w:ascii="Segoe UI" w:hAnsi="Segoe UI" w:cs="Segoe UI"/>
          <w:sz w:val="24"/>
          <w:szCs w:val="24"/>
        </w:rPr>
        <w:t xml:space="preserve">Specifically, the commission was taken seriously after April 17 when it was announced that its investigation was being extended to the exclusivity contracts Boeing had with Delta Airlines and American Airlines. </w:t>
      </w:r>
      <w:r w:rsidR="00FD4AE1">
        <w:rPr>
          <w:rFonts w:ascii="Segoe UI" w:hAnsi="Segoe UI" w:cs="Segoe UI"/>
          <w:sz w:val="24"/>
          <w:szCs w:val="24"/>
        </w:rPr>
        <w:t xml:space="preserve">In terms of market reaction at the time of </w:t>
      </w:r>
      <w:r w:rsidR="001F759F">
        <w:rPr>
          <w:rFonts w:ascii="Segoe UI" w:hAnsi="Segoe UI" w:cs="Segoe UI"/>
          <w:sz w:val="24"/>
          <w:szCs w:val="24"/>
        </w:rPr>
        <w:t>commission’s</w:t>
      </w:r>
      <w:r w:rsidR="00FD4AE1">
        <w:rPr>
          <w:rFonts w:ascii="Segoe UI" w:hAnsi="Segoe UI" w:cs="Segoe UI"/>
          <w:sz w:val="24"/>
          <w:szCs w:val="24"/>
        </w:rPr>
        <w:t xml:space="preserve"> announcement to investigate the merger the reaction although negative remained insignificant with no notable impact on </w:t>
      </w:r>
      <w:r w:rsidR="001F759F">
        <w:rPr>
          <w:rFonts w:ascii="Segoe UI" w:hAnsi="Segoe UI" w:cs="Segoe UI"/>
          <w:sz w:val="24"/>
          <w:szCs w:val="24"/>
        </w:rPr>
        <w:t>either stock volumes or</w:t>
      </w:r>
      <w:r w:rsidR="00FD4AE1">
        <w:rPr>
          <w:rFonts w:ascii="Segoe UI" w:hAnsi="Segoe UI" w:cs="Segoe UI"/>
          <w:sz w:val="24"/>
          <w:szCs w:val="24"/>
        </w:rPr>
        <w:t xml:space="preserve"> returns. </w:t>
      </w:r>
    </w:p>
    <w:p w:rsidR="001F759F" w:rsidRPr="001F759F" w:rsidRDefault="001F759F" w:rsidP="001F759F">
      <w:pPr>
        <w:pStyle w:val="ListParagraph"/>
        <w:numPr>
          <w:ilvl w:val="0"/>
          <w:numId w:val="1"/>
        </w:numPr>
        <w:ind w:left="360"/>
        <w:jc w:val="both"/>
        <w:rPr>
          <w:rFonts w:ascii="Segoe UI" w:hAnsi="Segoe UI" w:cs="Segoe UI"/>
          <w:b/>
          <w:sz w:val="24"/>
          <w:szCs w:val="24"/>
        </w:rPr>
      </w:pPr>
      <w:r w:rsidRPr="001F759F">
        <w:rPr>
          <w:rFonts w:ascii="Segoe UI" w:hAnsi="Segoe UI" w:cs="Segoe UI"/>
          <w:b/>
          <w:sz w:val="24"/>
          <w:szCs w:val="24"/>
        </w:rPr>
        <w:t>Which Shareholders suffered from the EU intervention</w:t>
      </w:r>
    </w:p>
    <w:p w:rsidR="00FD4AE1" w:rsidRPr="009B3F06" w:rsidRDefault="00753CDD" w:rsidP="00931E2F">
      <w:pPr>
        <w:spacing w:line="360" w:lineRule="auto"/>
        <w:jc w:val="both"/>
        <w:rPr>
          <w:rFonts w:ascii="Segoe UI" w:hAnsi="Segoe UI" w:cs="Segoe UI"/>
          <w:sz w:val="24"/>
          <w:szCs w:val="24"/>
        </w:rPr>
      </w:pPr>
      <w:r>
        <w:rPr>
          <w:rFonts w:ascii="Segoe UI" w:hAnsi="Segoe UI" w:cs="Segoe UI"/>
          <w:sz w:val="24"/>
          <w:szCs w:val="24"/>
        </w:rPr>
        <w:t xml:space="preserve">Shareholders of Boeing suffered more from the EU intervention. Specifically, negative return of -3.5% and 4-.9% was experienced by the shareholders during phase I and II of the commissions </w:t>
      </w:r>
      <w:r w:rsidR="00537942">
        <w:rPr>
          <w:rFonts w:ascii="Segoe UI" w:hAnsi="Segoe UI" w:cs="Segoe UI"/>
          <w:sz w:val="24"/>
          <w:szCs w:val="24"/>
        </w:rPr>
        <w:t xml:space="preserve">intervention. In total this represented a value destruction of approximately USD 3.3 billion for Boeing’s shareholders. </w:t>
      </w:r>
    </w:p>
    <w:p w:rsidR="000870BC" w:rsidRPr="000870BC" w:rsidRDefault="000870BC" w:rsidP="000870BC">
      <w:pPr>
        <w:pStyle w:val="ListParagraph"/>
        <w:numPr>
          <w:ilvl w:val="0"/>
          <w:numId w:val="1"/>
        </w:numPr>
        <w:ind w:left="360"/>
        <w:jc w:val="both"/>
        <w:rPr>
          <w:rFonts w:ascii="Segoe UI" w:hAnsi="Segoe UI" w:cs="Segoe UI"/>
          <w:b/>
          <w:sz w:val="24"/>
          <w:szCs w:val="24"/>
        </w:rPr>
      </w:pPr>
      <w:r w:rsidRPr="000870BC">
        <w:rPr>
          <w:rFonts w:ascii="Segoe UI" w:hAnsi="Segoe UI" w:cs="Segoe UI"/>
          <w:b/>
          <w:sz w:val="24"/>
          <w:szCs w:val="24"/>
        </w:rPr>
        <w:t>Was the merger a success in the Longer run</w:t>
      </w:r>
    </w:p>
    <w:p w:rsidR="00AA469E" w:rsidRDefault="000870BC" w:rsidP="000870BC">
      <w:pPr>
        <w:spacing w:line="360" w:lineRule="auto"/>
        <w:jc w:val="both"/>
        <w:rPr>
          <w:rFonts w:ascii="Segoe UI" w:hAnsi="Segoe UI" w:cs="Segoe UI"/>
          <w:sz w:val="24"/>
          <w:szCs w:val="24"/>
          <w:lang w:val="en-IE"/>
        </w:rPr>
      </w:pPr>
      <w:r>
        <w:rPr>
          <w:rFonts w:ascii="Segoe UI" w:hAnsi="Segoe UI" w:cs="Segoe UI"/>
          <w:sz w:val="24"/>
          <w:szCs w:val="24"/>
          <w:lang w:val="en-IE"/>
        </w:rPr>
        <w:t xml:space="preserve">Over the long term the merger was a success as shareholders of both companies realized positive net value generation of USD 5.8 billion. </w:t>
      </w:r>
    </w:p>
    <w:p w:rsidR="00AA469E" w:rsidRDefault="00AA469E" w:rsidP="00196BF3">
      <w:pPr>
        <w:pStyle w:val="ListParagraph"/>
        <w:numPr>
          <w:ilvl w:val="0"/>
          <w:numId w:val="1"/>
        </w:numPr>
        <w:ind w:left="360"/>
        <w:jc w:val="both"/>
        <w:rPr>
          <w:rFonts w:ascii="Segoe UI" w:hAnsi="Segoe UI" w:cs="Segoe UI"/>
          <w:b/>
          <w:sz w:val="24"/>
          <w:szCs w:val="24"/>
        </w:rPr>
      </w:pPr>
      <w:r w:rsidRPr="00196BF3">
        <w:rPr>
          <w:rFonts w:ascii="Segoe UI" w:hAnsi="Segoe UI" w:cs="Segoe UI"/>
          <w:b/>
          <w:sz w:val="24"/>
          <w:szCs w:val="24"/>
        </w:rPr>
        <w:t>Methodological Considerations</w:t>
      </w:r>
    </w:p>
    <w:p w:rsidR="00E27DC3" w:rsidRPr="00F013C1" w:rsidRDefault="00564C91" w:rsidP="00564C91">
      <w:pPr>
        <w:spacing w:line="360" w:lineRule="auto"/>
        <w:jc w:val="both"/>
        <w:rPr>
          <w:rFonts w:ascii="Segoe UI" w:hAnsi="Segoe UI" w:cs="Segoe UI"/>
          <w:sz w:val="24"/>
          <w:szCs w:val="24"/>
        </w:rPr>
      </w:pPr>
      <w:r w:rsidRPr="00564C91">
        <w:rPr>
          <w:rFonts w:ascii="Segoe UI" w:hAnsi="Segoe UI" w:cs="Segoe UI"/>
          <w:sz w:val="24"/>
          <w:szCs w:val="24"/>
        </w:rPr>
        <w:lastRenderedPageBreak/>
        <w:t xml:space="preserve">From the methodological </w:t>
      </w:r>
      <w:r>
        <w:rPr>
          <w:rFonts w:ascii="Segoe UI" w:hAnsi="Segoe UI" w:cs="Segoe UI"/>
          <w:sz w:val="24"/>
          <w:szCs w:val="24"/>
        </w:rPr>
        <w:t>stand</w:t>
      </w:r>
      <w:r w:rsidRPr="00564C91">
        <w:rPr>
          <w:rFonts w:ascii="Segoe UI" w:hAnsi="Segoe UI" w:cs="Segoe UI"/>
          <w:sz w:val="24"/>
          <w:szCs w:val="24"/>
        </w:rPr>
        <w:t xml:space="preserve">point </w:t>
      </w:r>
      <w:r>
        <w:rPr>
          <w:rFonts w:ascii="Segoe UI" w:hAnsi="Segoe UI" w:cs="Segoe UI"/>
          <w:sz w:val="24"/>
          <w:szCs w:val="24"/>
        </w:rPr>
        <w:t xml:space="preserve">the </w:t>
      </w:r>
      <w:r w:rsidR="009E35DD">
        <w:rPr>
          <w:rFonts w:ascii="Segoe UI" w:hAnsi="Segoe UI" w:cs="Segoe UI"/>
          <w:sz w:val="24"/>
          <w:szCs w:val="24"/>
        </w:rPr>
        <w:t>case study</w:t>
      </w:r>
      <w:r>
        <w:rPr>
          <w:rFonts w:ascii="Segoe UI" w:hAnsi="Segoe UI" w:cs="Segoe UI"/>
          <w:sz w:val="24"/>
          <w:szCs w:val="24"/>
        </w:rPr>
        <w:t xml:space="preserve"> and results presented were </w:t>
      </w:r>
      <w:proofErr w:type="spellStart"/>
      <w:r>
        <w:rPr>
          <w:rFonts w:ascii="Segoe UI" w:hAnsi="Segoe UI" w:cs="Segoe UI"/>
          <w:sz w:val="24"/>
          <w:szCs w:val="24"/>
        </w:rPr>
        <w:t>inline</w:t>
      </w:r>
      <w:proofErr w:type="spellEnd"/>
      <w:r>
        <w:rPr>
          <w:rFonts w:ascii="Segoe UI" w:hAnsi="Segoe UI" w:cs="Segoe UI"/>
          <w:sz w:val="24"/>
          <w:szCs w:val="24"/>
        </w:rPr>
        <w:t xml:space="preserve"> </w:t>
      </w:r>
      <w:r w:rsidR="009E35DD">
        <w:rPr>
          <w:rFonts w:ascii="Segoe UI" w:hAnsi="Segoe UI" w:cs="Segoe UI"/>
          <w:sz w:val="24"/>
          <w:szCs w:val="24"/>
        </w:rPr>
        <w:t>with</w:t>
      </w:r>
      <w:r>
        <w:rPr>
          <w:rFonts w:ascii="Segoe UI" w:hAnsi="Segoe UI" w:cs="Segoe UI"/>
          <w:sz w:val="24"/>
          <w:szCs w:val="24"/>
        </w:rPr>
        <w:t xml:space="preserve"> the </w:t>
      </w:r>
      <w:r w:rsidRPr="00564C91">
        <w:rPr>
          <w:rFonts w:ascii="Segoe UI" w:hAnsi="Segoe UI" w:cs="Segoe UI"/>
          <w:sz w:val="24"/>
          <w:szCs w:val="24"/>
        </w:rPr>
        <w:t>efficie</w:t>
      </w:r>
      <w:r w:rsidR="009E35DD">
        <w:rPr>
          <w:rFonts w:ascii="Segoe UI" w:hAnsi="Segoe UI" w:cs="Segoe UI"/>
          <w:sz w:val="24"/>
          <w:szCs w:val="24"/>
        </w:rPr>
        <w:t>nt market hypothesis to a large i.e. market reactions to different developments showed systematically</w:t>
      </w:r>
      <w:r w:rsidRPr="00564C91">
        <w:rPr>
          <w:rFonts w:ascii="Segoe UI" w:hAnsi="Segoe UI" w:cs="Segoe UI"/>
          <w:sz w:val="24"/>
          <w:szCs w:val="24"/>
        </w:rPr>
        <w:t xml:space="preserve"> the expected signs. </w:t>
      </w:r>
      <w:r w:rsidR="009E35DD">
        <w:rPr>
          <w:rFonts w:ascii="Segoe UI" w:hAnsi="Segoe UI" w:cs="Segoe UI"/>
          <w:sz w:val="24"/>
          <w:szCs w:val="24"/>
        </w:rPr>
        <w:t xml:space="preserve">Further, the results </w:t>
      </w:r>
      <w:proofErr w:type="gramStart"/>
      <w:r w:rsidRPr="00564C91">
        <w:rPr>
          <w:rFonts w:ascii="Segoe UI" w:hAnsi="Segoe UI" w:cs="Segoe UI"/>
          <w:sz w:val="24"/>
          <w:szCs w:val="24"/>
        </w:rPr>
        <w:t>It</w:t>
      </w:r>
      <w:proofErr w:type="gramEnd"/>
      <w:r w:rsidRPr="00564C91">
        <w:rPr>
          <w:rFonts w:ascii="Segoe UI" w:hAnsi="Segoe UI" w:cs="Segoe UI"/>
          <w:sz w:val="24"/>
          <w:szCs w:val="24"/>
        </w:rPr>
        <w:t xml:space="preserve"> also </w:t>
      </w:r>
      <w:r w:rsidR="009E35DD">
        <w:rPr>
          <w:rFonts w:ascii="Segoe UI" w:hAnsi="Segoe UI" w:cs="Segoe UI"/>
          <w:sz w:val="24"/>
          <w:szCs w:val="24"/>
        </w:rPr>
        <w:t xml:space="preserve">indicated that </w:t>
      </w:r>
      <w:r w:rsidRPr="00564C91">
        <w:rPr>
          <w:rFonts w:ascii="Segoe UI" w:hAnsi="Segoe UI" w:cs="Segoe UI"/>
          <w:sz w:val="24"/>
          <w:szCs w:val="24"/>
        </w:rPr>
        <w:t>classical event analysis methodology overestimate</w:t>
      </w:r>
      <w:r w:rsidR="009E35DD">
        <w:rPr>
          <w:rFonts w:ascii="Segoe UI" w:hAnsi="Segoe UI" w:cs="Segoe UI"/>
          <w:sz w:val="24"/>
          <w:szCs w:val="24"/>
        </w:rPr>
        <w:t>s</w:t>
      </w:r>
      <w:r w:rsidRPr="00564C91">
        <w:rPr>
          <w:rFonts w:ascii="Segoe UI" w:hAnsi="Segoe UI" w:cs="Segoe UI"/>
          <w:sz w:val="24"/>
          <w:szCs w:val="24"/>
        </w:rPr>
        <w:t xml:space="preserve"> st</w:t>
      </w:r>
      <w:r w:rsidR="009E35DD">
        <w:rPr>
          <w:rFonts w:ascii="Segoe UI" w:hAnsi="Segoe UI" w:cs="Segoe UI"/>
          <w:sz w:val="24"/>
          <w:szCs w:val="24"/>
        </w:rPr>
        <w:t xml:space="preserve">atistical significance level of </w:t>
      </w:r>
      <w:r w:rsidRPr="00564C91">
        <w:rPr>
          <w:rFonts w:ascii="Segoe UI" w:hAnsi="Segoe UI" w:cs="Segoe UI"/>
          <w:sz w:val="24"/>
          <w:szCs w:val="24"/>
        </w:rPr>
        <w:t xml:space="preserve">news announcement </w:t>
      </w:r>
      <w:r w:rsidR="009E35DD">
        <w:rPr>
          <w:rFonts w:ascii="Segoe UI" w:hAnsi="Segoe UI" w:cs="Segoe UI"/>
          <w:sz w:val="24"/>
          <w:szCs w:val="24"/>
        </w:rPr>
        <w:t xml:space="preserve">for </w:t>
      </w:r>
      <w:r w:rsidRPr="00564C91">
        <w:rPr>
          <w:rFonts w:ascii="Segoe UI" w:hAnsi="Segoe UI" w:cs="Segoe UI"/>
          <w:sz w:val="24"/>
          <w:szCs w:val="24"/>
        </w:rPr>
        <w:t>long event periods</w:t>
      </w:r>
      <w:r w:rsidR="009E35DD">
        <w:rPr>
          <w:rFonts w:ascii="Segoe UI" w:hAnsi="Segoe UI" w:cs="Segoe UI"/>
          <w:sz w:val="24"/>
          <w:szCs w:val="24"/>
        </w:rPr>
        <w:t>.</w:t>
      </w:r>
    </w:p>
    <w:p w:rsidR="00712827" w:rsidRDefault="00712827">
      <w:pPr>
        <w:rPr>
          <w:rFonts w:ascii="Segoe UI" w:hAnsi="Segoe UI" w:cs="Segoe UI"/>
          <w:sz w:val="24"/>
          <w:szCs w:val="24"/>
          <w:lang w:val="en-IE"/>
        </w:rPr>
      </w:pPr>
      <w:r>
        <w:rPr>
          <w:rFonts w:ascii="Segoe UI" w:hAnsi="Segoe UI" w:cs="Segoe UI"/>
          <w:sz w:val="24"/>
          <w:szCs w:val="24"/>
          <w:lang w:val="en-IE"/>
        </w:rPr>
        <w:br w:type="page"/>
      </w:r>
    </w:p>
    <w:p w:rsidR="00712827" w:rsidRPr="00712827" w:rsidRDefault="00712827" w:rsidP="00712827">
      <w:pPr>
        <w:pStyle w:val="Heading2"/>
        <w:spacing w:before="0" w:beforeAutospacing="0"/>
        <w:rPr>
          <w:rFonts w:ascii="Segoe UI" w:hAnsi="Segoe UI" w:cs="Segoe UI"/>
          <w:bCs w:val="0"/>
          <w:color w:val="000000"/>
          <w:sz w:val="24"/>
          <w:szCs w:val="24"/>
        </w:rPr>
      </w:pPr>
      <w:r w:rsidRPr="00712827">
        <w:rPr>
          <w:rFonts w:ascii="Segoe UI" w:hAnsi="Segoe UI" w:cs="Segoe UI"/>
          <w:bCs w:val="0"/>
          <w:color w:val="000000"/>
          <w:sz w:val="24"/>
          <w:szCs w:val="24"/>
        </w:rPr>
        <w:lastRenderedPageBreak/>
        <w:t>References</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proofErr w:type="gramStart"/>
      <w:r w:rsidRPr="00712827">
        <w:rPr>
          <w:rFonts w:ascii="Segoe UI" w:hAnsi="Segoe UI" w:cs="Segoe UI"/>
          <w:color w:val="000000"/>
        </w:rPr>
        <w:t>Boeing to Buy McDonnell Douglas (Published 1996).</w:t>
      </w:r>
      <w:proofErr w:type="gramEnd"/>
      <w:r w:rsidRPr="00712827">
        <w:rPr>
          <w:rFonts w:ascii="Segoe UI" w:hAnsi="Segoe UI" w:cs="Segoe UI"/>
          <w:color w:val="000000"/>
        </w:rPr>
        <w:t xml:space="preserve"> (2021). Retrieved 28 November 2021, from https://www.nytimes.com/1996/12/16/news/boeing-to-buy-mcdonnell-douglas.html</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proofErr w:type="gramStart"/>
      <w:r w:rsidRPr="00712827">
        <w:rPr>
          <w:rFonts w:ascii="Segoe UI" w:hAnsi="Segoe UI" w:cs="Segoe UI"/>
          <w:color w:val="000000"/>
        </w:rPr>
        <w:t>Competitive Effects.</w:t>
      </w:r>
      <w:proofErr w:type="gramEnd"/>
      <w:r w:rsidRPr="00712827">
        <w:rPr>
          <w:rFonts w:ascii="Segoe UI" w:hAnsi="Segoe UI" w:cs="Segoe UI"/>
          <w:color w:val="000000"/>
        </w:rPr>
        <w:t xml:space="preserve"> (2021). Retrieved 28 November 2021, from https://www.ftc.gov/tips-advice/competition-guidance/guide-antitrust-laws/mergers/competitive-effects</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proofErr w:type="gramStart"/>
      <w:r w:rsidRPr="00712827">
        <w:rPr>
          <w:rFonts w:ascii="Segoe UI" w:hAnsi="Segoe UI" w:cs="Segoe UI"/>
          <w:color w:val="000000"/>
        </w:rPr>
        <w:t>Mergers.</w:t>
      </w:r>
      <w:proofErr w:type="gramEnd"/>
      <w:r w:rsidRPr="00712827">
        <w:rPr>
          <w:rFonts w:ascii="Segoe UI" w:hAnsi="Segoe UI" w:cs="Segoe UI"/>
          <w:color w:val="000000"/>
        </w:rPr>
        <w:t xml:space="preserve"> (2021). Retrieved 28 November 2021, from https://ec.europa.eu/competition-policy/mergers_en</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r w:rsidRPr="00712827">
        <w:rPr>
          <w:rFonts w:ascii="Segoe UI" w:hAnsi="Segoe UI" w:cs="Segoe UI"/>
          <w:color w:val="000000"/>
        </w:rPr>
        <w:t>Mergers vs. Takeovers what’s the difference. (2021). Retrieved 28 November 2021, from https://gocardless.com/en-au/guides/posts/mergers-vs-takeovers/</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proofErr w:type="gramStart"/>
      <w:r w:rsidRPr="00712827">
        <w:rPr>
          <w:rFonts w:ascii="Segoe UI" w:hAnsi="Segoe UI" w:cs="Segoe UI"/>
          <w:color w:val="000000"/>
        </w:rPr>
        <w:t>OECD.</w:t>
      </w:r>
      <w:proofErr w:type="gramEnd"/>
      <w:r w:rsidRPr="00712827">
        <w:rPr>
          <w:rFonts w:ascii="Segoe UI" w:hAnsi="Segoe UI" w:cs="Segoe UI"/>
          <w:color w:val="000000"/>
        </w:rPr>
        <w:t xml:space="preserve"> </w:t>
      </w:r>
      <w:proofErr w:type="gramStart"/>
      <w:r w:rsidRPr="00712827">
        <w:rPr>
          <w:rFonts w:ascii="Segoe UI" w:hAnsi="Segoe UI" w:cs="Segoe UI"/>
          <w:color w:val="000000"/>
        </w:rPr>
        <w:t>(2021). OECD Glossary of Statistical Terms - Horizontal merger Definition.</w:t>
      </w:r>
      <w:proofErr w:type="gramEnd"/>
      <w:r w:rsidRPr="00712827">
        <w:rPr>
          <w:rFonts w:ascii="Segoe UI" w:hAnsi="Segoe UI" w:cs="Segoe UI"/>
          <w:color w:val="000000"/>
        </w:rPr>
        <w:t xml:space="preserve"> Retrieved 28 November 2021, from https://stats.oecd.org/glossary/detail.asp?ID=3232</w:t>
      </w:r>
    </w:p>
    <w:p w:rsidR="00712827" w:rsidRPr="00712827" w:rsidRDefault="00712827" w:rsidP="00712827">
      <w:pPr>
        <w:pStyle w:val="NormalWeb"/>
        <w:spacing w:before="0" w:beforeAutospacing="0" w:after="180" w:afterAutospacing="0"/>
        <w:ind w:left="450" w:hanging="450"/>
        <w:jc w:val="both"/>
        <w:rPr>
          <w:rFonts w:ascii="Segoe UI" w:hAnsi="Segoe UI" w:cs="Segoe UI"/>
          <w:color w:val="000000"/>
        </w:rPr>
      </w:pPr>
      <w:r w:rsidRPr="00712827">
        <w:rPr>
          <w:rFonts w:ascii="Segoe UI" w:hAnsi="Segoe UI" w:cs="Segoe UI"/>
          <w:color w:val="000000"/>
        </w:rPr>
        <w:t>Press corner. (2021). Retrieved 28 November 2021, from https://ec.europa.eu/commission/presscorner/detail/en/IP_97_729</w:t>
      </w:r>
    </w:p>
    <w:p w:rsidR="00D0442A" w:rsidRPr="00DD30DD" w:rsidRDefault="00D0442A" w:rsidP="00DD30DD">
      <w:pPr>
        <w:spacing w:line="360" w:lineRule="auto"/>
        <w:jc w:val="both"/>
        <w:rPr>
          <w:rFonts w:ascii="Segoe UI" w:hAnsi="Segoe UI" w:cs="Segoe UI"/>
          <w:sz w:val="24"/>
          <w:szCs w:val="24"/>
          <w:lang w:val="en-IE"/>
        </w:rPr>
      </w:pPr>
    </w:p>
    <w:p w:rsidR="00EF5D26" w:rsidRPr="00712827" w:rsidRDefault="00EF5D26" w:rsidP="00712827">
      <w:pPr>
        <w:jc w:val="both"/>
        <w:rPr>
          <w:rFonts w:ascii="Segoe UI" w:hAnsi="Segoe UI" w:cs="Segoe UI"/>
          <w:sz w:val="24"/>
          <w:szCs w:val="24"/>
        </w:rPr>
      </w:pPr>
    </w:p>
    <w:sectPr w:rsidR="00EF5D26" w:rsidRPr="0071282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4D0" w:rsidRDefault="002C74D0" w:rsidP="00C01197">
      <w:pPr>
        <w:spacing w:after="0" w:line="240" w:lineRule="auto"/>
      </w:pPr>
      <w:r>
        <w:separator/>
      </w:r>
    </w:p>
  </w:endnote>
  <w:endnote w:type="continuationSeparator" w:id="0">
    <w:p w:rsidR="002C74D0" w:rsidRDefault="002C74D0" w:rsidP="00C01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127901253"/>
      <w:docPartObj>
        <w:docPartGallery w:val="Page Numbers (Bottom of Page)"/>
        <w:docPartUnique/>
      </w:docPartObj>
    </w:sdtPr>
    <w:sdtEndPr>
      <w:rPr>
        <w:noProof/>
      </w:rPr>
    </w:sdtEndPr>
    <w:sdtContent>
      <w:p w:rsidR="00E42A8C" w:rsidRPr="000829F8" w:rsidRDefault="00E42A8C" w:rsidP="000829F8">
        <w:pPr>
          <w:pStyle w:val="Footer"/>
          <w:pBdr>
            <w:top w:val="single" w:sz="4" w:space="1" w:color="auto"/>
          </w:pBdr>
          <w:jc w:val="right"/>
          <w:rPr>
            <w:rFonts w:ascii="Times New Roman" w:hAnsi="Times New Roman" w:cs="Times New Roman"/>
            <w:sz w:val="24"/>
            <w:szCs w:val="24"/>
          </w:rPr>
        </w:pPr>
        <w:r w:rsidRPr="000829F8">
          <w:rPr>
            <w:rFonts w:ascii="Times New Roman" w:hAnsi="Times New Roman" w:cs="Times New Roman"/>
            <w:sz w:val="24"/>
            <w:szCs w:val="24"/>
          </w:rPr>
          <w:fldChar w:fldCharType="begin"/>
        </w:r>
        <w:r w:rsidRPr="000829F8">
          <w:rPr>
            <w:rFonts w:ascii="Times New Roman" w:hAnsi="Times New Roman" w:cs="Times New Roman"/>
            <w:sz w:val="24"/>
            <w:szCs w:val="24"/>
          </w:rPr>
          <w:instrText xml:space="preserve"> PAGE   \* MERGEFORMAT </w:instrText>
        </w:r>
        <w:r w:rsidRPr="000829F8">
          <w:rPr>
            <w:rFonts w:ascii="Times New Roman" w:hAnsi="Times New Roman" w:cs="Times New Roman"/>
            <w:sz w:val="24"/>
            <w:szCs w:val="24"/>
          </w:rPr>
          <w:fldChar w:fldCharType="separate"/>
        </w:r>
        <w:r w:rsidR="008B7BCB">
          <w:rPr>
            <w:rFonts w:ascii="Times New Roman" w:hAnsi="Times New Roman" w:cs="Times New Roman"/>
            <w:noProof/>
            <w:sz w:val="24"/>
            <w:szCs w:val="24"/>
          </w:rPr>
          <w:t>1</w:t>
        </w:r>
        <w:r w:rsidRPr="000829F8">
          <w:rPr>
            <w:rFonts w:ascii="Times New Roman" w:hAnsi="Times New Roman" w:cs="Times New Roman"/>
            <w:noProof/>
            <w:sz w:val="24"/>
            <w:szCs w:val="24"/>
          </w:rPr>
          <w:fldChar w:fldCharType="end"/>
        </w:r>
      </w:p>
    </w:sdtContent>
  </w:sdt>
  <w:p w:rsidR="00E42A8C" w:rsidRPr="000829F8" w:rsidRDefault="00E42A8C" w:rsidP="000829F8">
    <w:pPr>
      <w:pStyle w:val="Footer"/>
      <w:pBdr>
        <w:top w:val="single" w:sz="4" w:space="1" w:color="auto"/>
      </w:pBd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4D0" w:rsidRDefault="002C74D0" w:rsidP="00C01197">
      <w:pPr>
        <w:spacing w:after="0" w:line="240" w:lineRule="auto"/>
      </w:pPr>
      <w:r>
        <w:separator/>
      </w:r>
    </w:p>
  </w:footnote>
  <w:footnote w:type="continuationSeparator" w:id="0">
    <w:p w:rsidR="002C74D0" w:rsidRDefault="002C74D0" w:rsidP="00C011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197" w:rsidRPr="00083644" w:rsidRDefault="00C01197" w:rsidP="00083644">
    <w:pPr>
      <w:pStyle w:val="Header"/>
      <w:pBdr>
        <w:bottom w:val="single" w:sz="4" w:space="0" w:color="auto"/>
      </w:pBdr>
      <w:rPr>
        <w:rFonts w:ascii="Segoe UI" w:hAnsi="Segoe UI" w:cs="Segoe UI"/>
        <w:b/>
        <w:sz w:val="24"/>
        <w:szCs w:val="24"/>
      </w:rPr>
    </w:pPr>
    <w:r w:rsidRPr="00083644">
      <w:rPr>
        <w:rFonts w:ascii="Segoe UI" w:hAnsi="Segoe UI" w:cs="Segoe UI"/>
        <w:b/>
        <w:color w:val="202124"/>
        <w:sz w:val="24"/>
        <w:szCs w:val="24"/>
        <w:shd w:val="clear" w:color="auto" w:fill="FFFFFF"/>
      </w:rPr>
      <w:t xml:space="preserve">HIH 81216 Solution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40CC8"/>
    <w:multiLevelType w:val="hybridMultilevel"/>
    <w:tmpl w:val="11125376"/>
    <w:lvl w:ilvl="0" w:tplc="5ED47D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1E555F"/>
    <w:multiLevelType w:val="singleLevel"/>
    <w:tmpl w:val="0409000F"/>
    <w:lvl w:ilvl="0">
      <w:start w:val="1"/>
      <w:numFmt w:val="decimal"/>
      <w:lvlText w:val="%1."/>
      <w:lvlJc w:val="left"/>
      <w:pPr>
        <w:tabs>
          <w:tab w:val="num" w:pos="360"/>
        </w:tabs>
        <w:ind w:left="360" w:hanging="36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4A9"/>
    <w:rsid w:val="0004515A"/>
    <w:rsid w:val="000829F8"/>
    <w:rsid w:val="00083644"/>
    <w:rsid w:val="000870BC"/>
    <w:rsid w:val="001779B1"/>
    <w:rsid w:val="00196BF3"/>
    <w:rsid w:val="001F759F"/>
    <w:rsid w:val="00230120"/>
    <w:rsid w:val="002C08BA"/>
    <w:rsid w:val="002C74D0"/>
    <w:rsid w:val="002E6679"/>
    <w:rsid w:val="00341852"/>
    <w:rsid w:val="003D0B8D"/>
    <w:rsid w:val="004472CD"/>
    <w:rsid w:val="00537942"/>
    <w:rsid w:val="00564C91"/>
    <w:rsid w:val="005728EA"/>
    <w:rsid w:val="005B23D6"/>
    <w:rsid w:val="005D0D72"/>
    <w:rsid w:val="006A288B"/>
    <w:rsid w:val="00712827"/>
    <w:rsid w:val="00725AEA"/>
    <w:rsid w:val="00753CDD"/>
    <w:rsid w:val="0075512C"/>
    <w:rsid w:val="00832DA7"/>
    <w:rsid w:val="008B7BCB"/>
    <w:rsid w:val="00931E2F"/>
    <w:rsid w:val="009B3F06"/>
    <w:rsid w:val="009E35DD"/>
    <w:rsid w:val="00A250EB"/>
    <w:rsid w:val="00AA469E"/>
    <w:rsid w:val="00AD773F"/>
    <w:rsid w:val="00AE4BE9"/>
    <w:rsid w:val="00BA2B4B"/>
    <w:rsid w:val="00C01197"/>
    <w:rsid w:val="00C86662"/>
    <w:rsid w:val="00CA581A"/>
    <w:rsid w:val="00D01801"/>
    <w:rsid w:val="00D0442A"/>
    <w:rsid w:val="00D5491A"/>
    <w:rsid w:val="00DD30DD"/>
    <w:rsid w:val="00DE603F"/>
    <w:rsid w:val="00E27DC3"/>
    <w:rsid w:val="00E42A8C"/>
    <w:rsid w:val="00EA190B"/>
    <w:rsid w:val="00EA60F8"/>
    <w:rsid w:val="00EC09FE"/>
    <w:rsid w:val="00ED09FB"/>
    <w:rsid w:val="00EF5D26"/>
    <w:rsid w:val="00F013C1"/>
    <w:rsid w:val="00F17E5A"/>
    <w:rsid w:val="00F534A9"/>
    <w:rsid w:val="00FD4AE1"/>
    <w:rsid w:val="00FF4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128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11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197"/>
  </w:style>
  <w:style w:type="paragraph" w:styleId="Footer">
    <w:name w:val="footer"/>
    <w:basedOn w:val="Normal"/>
    <w:link w:val="FooterChar"/>
    <w:uiPriority w:val="99"/>
    <w:unhideWhenUsed/>
    <w:rsid w:val="00C011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197"/>
  </w:style>
  <w:style w:type="paragraph" w:styleId="ListParagraph">
    <w:name w:val="List Paragraph"/>
    <w:basedOn w:val="Normal"/>
    <w:uiPriority w:val="34"/>
    <w:qFormat/>
    <w:rsid w:val="00C01197"/>
    <w:pPr>
      <w:ind w:left="720"/>
      <w:contextualSpacing/>
    </w:pPr>
  </w:style>
  <w:style w:type="character" w:customStyle="1" w:styleId="Heading2Char">
    <w:name w:val="Heading 2 Char"/>
    <w:basedOn w:val="DefaultParagraphFont"/>
    <w:link w:val="Heading2"/>
    <w:uiPriority w:val="9"/>
    <w:rsid w:val="0071282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1282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1282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11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197"/>
  </w:style>
  <w:style w:type="paragraph" w:styleId="Footer">
    <w:name w:val="footer"/>
    <w:basedOn w:val="Normal"/>
    <w:link w:val="FooterChar"/>
    <w:uiPriority w:val="99"/>
    <w:unhideWhenUsed/>
    <w:rsid w:val="00C011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197"/>
  </w:style>
  <w:style w:type="paragraph" w:styleId="ListParagraph">
    <w:name w:val="List Paragraph"/>
    <w:basedOn w:val="Normal"/>
    <w:uiPriority w:val="34"/>
    <w:qFormat/>
    <w:rsid w:val="00C01197"/>
    <w:pPr>
      <w:ind w:left="720"/>
      <w:contextualSpacing/>
    </w:pPr>
  </w:style>
  <w:style w:type="character" w:customStyle="1" w:styleId="Heading2Char">
    <w:name w:val="Heading 2 Char"/>
    <w:basedOn w:val="DefaultParagraphFont"/>
    <w:link w:val="Heading2"/>
    <w:uiPriority w:val="9"/>
    <w:rsid w:val="0071282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128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949432">
      <w:bodyDiv w:val="1"/>
      <w:marLeft w:val="0"/>
      <w:marRight w:val="0"/>
      <w:marTop w:val="0"/>
      <w:marBottom w:val="0"/>
      <w:divBdr>
        <w:top w:val="none" w:sz="0" w:space="0" w:color="auto"/>
        <w:left w:val="none" w:sz="0" w:space="0" w:color="auto"/>
        <w:bottom w:val="none" w:sz="0" w:space="0" w:color="auto"/>
        <w:right w:val="none" w:sz="0" w:space="0" w:color="auto"/>
      </w:divBdr>
    </w:div>
    <w:div w:id="415711282">
      <w:bodyDiv w:val="1"/>
      <w:marLeft w:val="0"/>
      <w:marRight w:val="0"/>
      <w:marTop w:val="0"/>
      <w:marBottom w:val="0"/>
      <w:divBdr>
        <w:top w:val="none" w:sz="0" w:space="0" w:color="auto"/>
        <w:left w:val="none" w:sz="0" w:space="0" w:color="auto"/>
        <w:bottom w:val="none" w:sz="0" w:space="0" w:color="auto"/>
        <w:right w:val="none" w:sz="0" w:space="0" w:color="auto"/>
      </w:divBdr>
    </w:div>
    <w:div w:id="882868013">
      <w:bodyDiv w:val="1"/>
      <w:marLeft w:val="0"/>
      <w:marRight w:val="0"/>
      <w:marTop w:val="0"/>
      <w:marBottom w:val="0"/>
      <w:divBdr>
        <w:top w:val="none" w:sz="0" w:space="0" w:color="auto"/>
        <w:left w:val="none" w:sz="0" w:space="0" w:color="auto"/>
        <w:bottom w:val="none" w:sz="0" w:space="0" w:color="auto"/>
        <w:right w:val="none" w:sz="0" w:space="0" w:color="auto"/>
      </w:divBdr>
    </w:div>
    <w:div w:id="1464084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7</Pages>
  <Words>1501</Words>
  <Characters>8557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41</cp:revision>
  <dcterms:created xsi:type="dcterms:W3CDTF">2021-11-27T09:09:00Z</dcterms:created>
  <dcterms:modified xsi:type="dcterms:W3CDTF">2021-11-28T10:11:00Z</dcterms:modified>
</cp:coreProperties>
</file>