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25CE" w:rsidRDefault="00D325CE" w:rsidP="003A18B2">
      <w:pPr>
        <w:jc w:val="center"/>
      </w:pPr>
    </w:p>
    <w:p w:rsidR="004C07F2" w:rsidRDefault="004C07F2" w:rsidP="003A18B2">
      <w:pPr>
        <w:jc w:val="center"/>
      </w:pPr>
    </w:p>
    <w:p w:rsidR="004C07F2" w:rsidRDefault="004C07F2" w:rsidP="003A18B2">
      <w:pPr>
        <w:jc w:val="center"/>
      </w:pPr>
    </w:p>
    <w:p w:rsidR="004C07F2" w:rsidRDefault="004C07F2" w:rsidP="003A18B2">
      <w:pPr>
        <w:jc w:val="center"/>
      </w:pPr>
      <w:r>
        <w:t>QUANTITATIVE AND QUALITATIVE</w:t>
      </w:r>
    </w:p>
    <w:p w:rsidR="004C07F2" w:rsidRDefault="003A18B2" w:rsidP="003A18B2">
      <w:pPr>
        <w:jc w:val="center"/>
      </w:pPr>
      <w:r>
        <w:t>Name of the student:</w:t>
      </w:r>
    </w:p>
    <w:p w:rsidR="003A18B2" w:rsidRDefault="003A18B2" w:rsidP="003A18B2">
      <w:pPr>
        <w:jc w:val="center"/>
      </w:pPr>
      <w:r>
        <w:t>Name of the university:</w:t>
      </w:r>
    </w:p>
    <w:p w:rsidR="003A18B2" w:rsidRDefault="003A18B2" w:rsidP="003A18B2">
      <w:pPr>
        <w:jc w:val="center"/>
      </w:pPr>
      <w:r>
        <w:t>Author note:</w:t>
      </w:r>
    </w:p>
    <w:p w:rsidR="003A18B2" w:rsidRDefault="003A18B2">
      <w:pPr>
        <w:spacing w:line="259" w:lineRule="auto"/>
        <w:jc w:val="left"/>
      </w:pPr>
      <w:r>
        <w:br w:type="page"/>
      </w:r>
    </w:p>
    <w:p w:rsidR="003A18B2" w:rsidRDefault="003A18B2" w:rsidP="00444D6D">
      <w:pPr>
        <w:pStyle w:val="Heading1"/>
      </w:pPr>
      <w:r>
        <w:lastRenderedPageBreak/>
        <w:t>Quantitative:</w:t>
      </w:r>
    </w:p>
    <w:p w:rsidR="003A18B2" w:rsidRDefault="00444D6D" w:rsidP="00444D6D">
      <w:pPr>
        <w:pStyle w:val="Heading2"/>
      </w:pPr>
      <w:r>
        <w:t>P</w:t>
      </w:r>
      <w:r w:rsidR="0016228C">
        <w:t>rotection of Human Rights</w:t>
      </w:r>
    </w:p>
    <w:p w:rsidR="0016228C" w:rsidRDefault="0016228C" w:rsidP="0016228C">
      <w:r>
        <w:tab/>
      </w:r>
      <w:r w:rsidR="00992BD2" w:rsidRPr="00992BD2">
        <w:t xml:space="preserve">States explicitly repeated their obligation to global law as a feature of the 2030 Agenda, underlining that the Agenda </w:t>
      </w:r>
      <w:proofErr w:type="gramStart"/>
      <w:r w:rsidR="00992BD2" w:rsidRPr="00992BD2">
        <w:t>should be executed</w:t>
      </w:r>
      <w:proofErr w:type="gramEnd"/>
      <w:r w:rsidR="00992BD2" w:rsidRPr="00992BD2">
        <w:t xml:space="preserve"> as per States' privileges and obligations under worldwide law. They vowed to abandon nobody and to energize more deliberate information disaggregation to support the accomplishment and estimation of the targets. A HRBAD, as portrayed in this note, supports the social event of significant information partners and the advancement of networks of training that improve the quality, pertinence, and utilization of information and measurements as per global basic liberties norms and standards.</w:t>
      </w:r>
    </w:p>
    <w:p w:rsidR="00992BD2" w:rsidRDefault="00EB4910" w:rsidP="00EB4910">
      <w:pPr>
        <w:pStyle w:val="Heading2"/>
      </w:pPr>
      <w:r>
        <w:t>Data sources and searches</w:t>
      </w:r>
    </w:p>
    <w:p w:rsidR="00EB4910" w:rsidRDefault="00EB4910" w:rsidP="00EB4910">
      <w:r>
        <w:tab/>
      </w:r>
      <w:proofErr w:type="gramStart"/>
      <w:r w:rsidR="00C9614A" w:rsidRPr="00C9614A">
        <w:t>The inquiry terms were 'stress' and 'nursing understudies' in different blends (e.g., natural pressure, word related pressure, mental pressure, social pressure, stress the board, stress response, monetary strain, physiological pressure, uneasiness, trouble, persistent pressure, burnout, work pressure, work pressure, and so on) Articles from as of late as the last seven day stretch of 2010 were remembered for the pursuit</w:t>
      </w:r>
      <w:r w:rsidR="00366AD1">
        <w:t xml:space="preserve"> (Pulido‐</w:t>
      </w:r>
      <w:proofErr w:type="spellStart"/>
      <w:r w:rsidR="00366AD1">
        <w:t>Martos</w:t>
      </w:r>
      <w:proofErr w:type="spellEnd"/>
      <w:r w:rsidR="00366AD1">
        <w:t>,</w:t>
      </w:r>
      <w:r w:rsidR="00366AD1" w:rsidRPr="00366AD1">
        <w:t xml:space="preserve"> Augusto‐</w:t>
      </w:r>
      <w:proofErr w:type="spellStart"/>
      <w:r w:rsidR="00366AD1" w:rsidRPr="00366AD1">
        <w:t>L</w:t>
      </w:r>
      <w:r w:rsidR="00366AD1">
        <w:t>anda</w:t>
      </w:r>
      <w:proofErr w:type="spellEnd"/>
      <w:r w:rsidR="00366AD1">
        <w:t xml:space="preserve"> &amp; Lopez‐</w:t>
      </w:r>
      <w:proofErr w:type="spellStart"/>
      <w:r w:rsidR="00366AD1">
        <w:t>Zafra</w:t>
      </w:r>
      <w:proofErr w:type="spellEnd"/>
      <w:r w:rsidR="00366AD1">
        <w:t xml:space="preserve">, </w:t>
      </w:r>
      <w:r w:rsidR="00366AD1" w:rsidRPr="00366AD1">
        <w:t>2012</w:t>
      </w:r>
      <w:r w:rsidR="00366AD1">
        <w:t>)</w:t>
      </w:r>
      <w:r w:rsidR="00C9614A" w:rsidRPr="00C9614A">
        <w:t>.</w:t>
      </w:r>
      <w:proofErr w:type="gramEnd"/>
    </w:p>
    <w:p w:rsidR="00C9614A" w:rsidRDefault="00D26271" w:rsidP="00D26271">
      <w:pPr>
        <w:pStyle w:val="Heading2"/>
      </w:pPr>
      <w:r>
        <w:t>Selection criterion of the study and data extraction</w:t>
      </w:r>
    </w:p>
    <w:p w:rsidR="00D26271" w:rsidRDefault="00D26271" w:rsidP="00EB4910">
      <w:r>
        <w:tab/>
      </w:r>
      <w:proofErr w:type="gramStart"/>
      <w:r w:rsidRPr="00D26271">
        <w:t xml:space="preserve">The creators </w:t>
      </w:r>
      <w:proofErr w:type="spellStart"/>
      <w:r w:rsidRPr="00D26271">
        <w:t>analyzed</w:t>
      </w:r>
      <w:proofErr w:type="spellEnd"/>
      <w:r w:rsidRPr="00D26271">
        <w:t xml:space="preserve"> titles and digests prior to choosing which papers to remember for the survey dependent on the accompanying standards: The review remembered at least one instruments to gather data for stress factors among nursing understudies, the concentrate just remembered nursing understudies or gave data to nursing understudies independently if different examples were thought of, and the work remembered quantitative data for wellsprings of stress, barring concentrates on that just detailed a worldwide proportion of pressure</w:t>
      </w:r>
      <w:r w:rsidR="00610935">
        <w:t xml:space="preserve"> </w:t>
      </w:r>
      <w:r w:rsidR="00610935">
        <w:t>(Pulido‐</w:t>
      </w:r>
      <w:proofErr w:type="spellStart"/>
      <w:r w:rsidR="00610935">
        <w:t>Martos</w:t>
      </w:r>
      <w:proofErr w:type="spellEnd"/>
      <w:r w:rsidR="00610935">
        <w:t>,</w:t>
      </w:r>
      <w:r w:rsidR="00610935" w:rsidRPr="00366AD1">
        <w:t xml:space="preserve"> Augusto‐</w:t>
      </w:r>
      <w:proofErr w:type="spellStart"/>
      <w:r w:rsidR="00610935" w:rsidRPr="00366AD1">
        <w:t>L</w:t>
      </w:r>
      <w:r w:rsidR="00610935">
        <w:t>anda</w:t>
      </w:r>
      <w:proofErr w:type="spellEnd"/>
      <w:r w:rsidR="00610935">
        <w:t xml:space="preserve"> &amp; Lopez‐</w:t>
      </w:r>
      <w:proofErr w:type="spellStart"/>
      <w:r w:rsidR="00610935">
        <w:t>Zafra</w:t>
      </w:r>
      <w:proofErr w:type="spellEnd"/>
      <w:r w:rsidR="00610935">
        <w:t xml:space="preserve">, </w:t>
      </w:r>
      <w:r w:rsidR="00610935" w:rsidRPr="00366AD1">
        <w:t>2012</w:t>
      </w:r>
      <w:r w:rsidR="00610935">
        <w:t>)</w:t>
      </w:r>
      <w:r w:rsidRPr="00D26271">
        <w:t>.</w:t>
      </w:r>
      <w:proofErr w:type="gramEnd"/>
    </w:p>
    <w:p w:rsidR="00D956C4" w:rsidRDefault="00D956C4" w:rsidP="00EB4910">
      <w:r>
        <w:lastRenderedPageBreak/>
        <w:tab/>
      </w:r>
      <w:r w:rsidRPr="00D956C4">
        <w:t xml:space="preserve">In the event that an article fulfilled these three necessities, it </w:t>
      </w:r>
      <w:proofErr w:type="gramStart"/>
      <w:r w:rsidRPr="00D956C4">
        <w:t>was remembered</w:t>
      </w:r>
      <w:proofErr w:type="gramEnd"/>
      <w:r w:rsidRPr="00D956C4">
        <w:t xml:space="preserve"> for the survey. When there were conflicts among the scientists, conversation gatherings assisted with arriving at an agreement. The motivation behind this review is to discover what causes pressure in nursing understudies. We take a gander at the particular objective of each examination notwithstanding the general objective. Furthermore, we survey the conditions and stresses while thinking about the scholarly year in which the children </w:t>
      </w:r>
      <w:proofErr w:type="gramStart"/>
      <w:r w:rsidRPr="00D956C4">
        <w:t>are selected</w:t>
      </w:r>
      <w:proofErr w:type="gramEnd"/>
      <w:r w:rsidRPr="00D956C4">
        <w:t>.</w:t>
      </w:r>
    </w:p>
    <w:p w:rsidR="00D956C4" w:rsidRDefault="00D956C4" w:rsidP="00D956C4">
      <w:pPr>
        <w:pStyle w:val="Heading2"/>
      </w:pPr>
      <w:r>
        <w:t>Results</w:t>
      </w:r>
    </w:p>
    <w:p w:rsidR="00D956C4" w:rsidRDefault="00D956C4" w:rsidP="00610935">
      <w:r>
        <w:tab/>
        <w:t>Although</w:t>
      </w:r>
      <w:r w:rsidRPr="00D956C4">
        <w:t xml:space="preserve"> the theoretical did not specify a subjective report, it was clear in the wake of perusing the review that a subjective strategy </w:t>
      </w:r>
      <w:proofErr w:type="gramStart"/>
      <w:r w:rsidRPr="00D956C4">
        <w:t>was utilized</w:t>
      </w:r>
      <w:proofErr w:type="gramEnd"/>
      <w:r w:rsidRPr="00D956C4">
        <w:t xml:space="preserve">. Samples were not solely nursing understudies, and their outcomes were not isolated from different understudies, the outcomes just detailed worldwide scores and not factor scores, and albeit the theoretical did not specify a subjective report, it was clear subsequent to perusing the review that a subjective strategy </w:t>
      </w:r>
      <w:proofErr w:type="gramStart"/>
      <w:r w:rsidRPr="00D956C4">
        <w:t>was utilized</w:t>
      </w:r>
      <w:proofErr w:type="gramEnd"/>
      <w:r w:rsidRPr="00D956C4">
        <w:t xml:space="preserve">. </w:t>
      </w:r>
    </w:p>
    <w:p w:rsidR="00F14CC1" w:rsidRDefault="00F14CC1" w:rsidP="00F14CC1">
      <w:pPr>
        <w:pStyle w:val="Heading1"/>
      </w:pPr>
      <w:r>
        <w:t>Qualitative:</w:t>
      </w:r>
    </w:p>
    <w:p w:rsidR="005B1C57" w:rsidRDefault="005B1C57" w:rsidP="005B1C57">
      <w:pPr>
        <w:pStyle w:val="Heading2"/>
      </w:pPr>
      <w:r>
        <w:t>Sample and setting</w:t>
      </w:r>
    </w:p>
    <w:p w:rsidR="002A2C10" w:rsidRDefault="002A2C10" w:rsidP="002A2C10">
      <w:pPr>
        <w:ind w:firstLine="720"/>
      </w:pPr>
      <w:r w:rsidRPr="002A2C10">
        <w:t xml:space="preserve">In the years 2016–2017, interviews </w:t>
      </w:r>
      <w:proofErr w:type="gramStart"/>
      <w:r w:rsidRPr="002A2C10">
        <w:t>were held</w:t>
      </w:r>
      <w:proofErr w:type="gramEnd"/>
      <w:r w:rsidRPr="002A2C10">
        <w:t xml:space="preserve"> in the diabetic facility of the Penang General Hospital. The welcomed visitors addressed Malaysia's three significant ethnic groupings (Malay, Chinese and Indians). Patients with an actual hindrance (amputee arm as well as leg), diabetes type II mellitus, and a base age of 18 years are qualified. Doctors who saw patients at a diabetes facility were drawn closer for enlistment (a half year, fundamental arbitrary examining)</w:t>
      </w:r>
      <w:r w:rsidR="00610935">
        <w:t xml:space="preserve"> (</w:t>
      </w:r>
      <w:proofErr w:type="spellStart"/>
      <w:r w:rsidR="00610935" w:rsidRPr="00366AD1">
        <w:t>Gillani</w:t>
      </w:r>
      <w:proofErr w:type="spellEnd"/>
      <w:r w:rsidR="00610935">
        <w:t xml:space="preserve"> et al., 2012)</w:t>
      </w:r>
      <w:r w:rsidRPr="002A2C10">
        <w:t xml:space="preserve">. Malignant growth, pregnancy, incendiary problems, and intellectual hindrance (dementia, for instance) were </w:t>
      </w:r>
      <w:proofErr w:type="gramStart"/>
      <w:r w:rsidRPr="002A2C10">
        <w:t>totally</w:t>
      </w:r>
      <w:proofErr w:type="gramEnd"/>
      <w:r w:rsidRPr="002A2C10">
        <w:t xml:space="preserve"> precluded.</w:t>
      </w:r>
    </w:p>
    <w:p w:rsidR="00826A81" w:rsidRDefault="00826A81" w:rsidP="002A2C10">
      <w:pPr>
        <w:pStyle w:val="Heading2"/>
      </w:pPr>
      <w:r>
        <w:lastRenderedPageBreak/>
        <w:t>Data collection and quality</w:t>
      </w:r>
    </w:p>
    <w:p w:rsidR="00826A81" w:rsidRDefault="009B5E79" w:rsidP="009B5E79">
      <w:pPr>
        <w:ind w:firstLine="720"/>
      </w:pPr>
      <w:r>
        <w:t>Interviews</w:t>
      </w:r>
      <w:r w:rsidRPr="009B5E79">
        <w:t xml:space="preserve"> were done in neighbourhood Malaysian language (n = 18) because of the huge number of members from the Malay ethnic gathering. Meetings were done in English where there was no language hindrance (n = 3). To guarantee that the ideas deciphered accurately, the back interpretation strategy is used to report the citations from the nearby Malaysian language interviewees</w:t>
      </w:r>
      <w:r w:rsidR="00610935">
        <w:t xml:space="preserve"> (</w:t>
      </w:r>
      <w:proofErr w:type="spellStart"/>
      <w:r w:rsidR="00610935" w:rsidRPr="00366AD1">
        <w:t>Gillani</w:t>
      </w:r>
      <w:proofErr w:type="spellEnd"/>
      <w:r w:rsidR="00610935">
        <w:t xml:space="preserve"> et al., 2012)</w:t>
      </w:r>
      <w:r w:rsidRPr="009B5E79">
        <w:t>. Three exploration colleagues, one from every ethnic gathering (Malay, Chinese, and Indian), directed the meetings. The regular meeting went on around forty minutes (30–an hour).</w:t>
      </w:r>
    </w:p>
    <w:p w:rsidR="00BC0432" w:rsidRDefault="00BC0432" w:rsidP="00BC0432">
      <w:pPr>
        <w:pStyle w:val="Heading2"/>
      </w:pPr>
      <w:r>
        <w:t>Procedures</w:t>
      </w:r>
    </w:p>
    <w:p w:rsidR="00BC0432" w:rsidRDefault="00BC0432" w:rsidP="00BC0432">
      <w:r>
        <w:tab/>
      </w:r>
      <w:r w:rsidRPr="00BC0432">
        <w:t xml:space="preserve">Patients who do not accept their drugs as recommended may not get the best outcomes. Haemoglobin </w:t>
      </w:r>
      <w:proofErr w:type="gramStart"/>
      <w:r w:rsidRPr="00BC0432">
        <w:t>A1c</w:t>
      </w:r>
      <w:proofErr w:type="gramEnd"/>
      <w:r w:rsidRPr="00BC0432">
        <w:t xml:space="preserve"> is conversely related to diabetes medicine adherence from a physiological angle</w:t>
      </w:r>
      <w:r w:rsidR="00610935">
        <w:t xml:space="preserve"> (</w:t>
      </w:r>
      <w:proofErr w:type="spellStart"/>
      <w:r w:rsidR="00610935" w:rsidRPr="00366AD1">
        <w:t>Gillani</w:t>
      </w:r>
      <w:proofErr w:type="spellEnd"/>
      <w:r w:rsidR="00610935">
        <w:t xml:space="preserve"> et al., 2012)</w:t>
      </w:r>
      <w:r w:rsidRPr="00BC0432">
        <w:t xml:space="preserve">. A few investigations have discovered a connection between prescription non-adherence and expanded diabetes-related inconveniences, hospitalizations, and trauma centre visits. Glycaemic control and patient adherence to the treatment plan </w:t>
      </w:r>
      <w:proofErr w:type="gramStart"/>
      <w:r w:rsidRPr="00BC0432">
        <w:t>are affected</w:t>
      </w:r>
      <w:proofErr w:type="gramEnd"/>
      <w:r w:rsidRPr="00BC0432">
        <w:t xml:space="preserve"> by various factors.</w:t>
      </w:r>
    </w:p>
    <w:p w:rsidR="00BC0432" w:rsidRDefault="002A2C10" w:rsidP="002A2C10">
      <w:pPr>
        <w:pStyle w:val="Heading2"/>
      </w:pPr>
      <w:r>
        <w:t>Enhancement and trustworthiness</w:t>
      </w:r>
    </w:p>
    <w:p w:rsidR="009B5E79" w:rsidRDefault="009B5E79" w:rsidP="002A2C10">
      <w:r>
        <w:tab/>
      </w:r>
      <w:r w:rsidRPr="009B5E79">
        <w:t>Clinical Research Committee (CRC), Ministry of Health Malaysia, conceded research moral endorsement before the beginning of the review (NMRR-10-776-6941). Each of the members marked educated assent frames in one or the other English or Malay</w:t>
      </w:r>
      <w:r w:rsidR="00610935">
        <w:t xml:space="preserve"> (</w:t>
      </w:r>
      <w:proofErr w:type="spellStart"/>
      <w:r w:rsidR="00610935" w:rsidRPr="00366AD1">
        <w:t>Gillani</w:t>
      </w:r>
      <w:proofErr w:type="spellEnd"/>
      <w:r w:rsidR="00610935">
        <w:t xml:space="preserve"> et al., 2012)</w:t>
      </w:r>
      <w:r w:rsidRPr="009B5E79">
        <w:t xml:space="preserve">. The individuals who </w:t>
      </w:r>
      <w:r w:rsidR="007B1872" w:rsidRPr="009B5E79">
        <w:t>could not</w:t>
      </w:r>
      <w:r w:rsidRPr="009B5E79">
        <w:t xml:space="preserve"> peruse or compose </w:t>
      </w:r>
      <w:proofErr w:type="gramStart"/>
      <w:r w:rsidRPr="009B5E79">
        <w:t>were given</w:t>
      </w:r>
      <w:proofErr w:type="gramEnd"/>
      <w:r w:rsidRPr="009B5E79">
        <w:t xml:space="preserve"> the choice of verbal understanding.</w:t>
      </w:r>
    </w:p>
    <w:p w:rsidR="009B5E79" w:rsidRDefault="009B5E79">
      <w:pPr>
        <w:spacing w:line="259" w:lineRule="auto"/>
        <w:jc w:val="left"/>
      </w:pPr>
      <w:r>
        <w:br w:type="page"/>
      </w:r>
    </w:p>
    <w:p w:rsidR="002A2C10" w:rsidRDefault="009B5E79" w:rsidP="009B5E79">
      <w:pPr>
        <w:pStyle w:val="Heading1"/>
      </w:pPr>
      <w:r>
        <w:lastRenderedPageBreak/>
        <w:t>References</w:t>
      </w:r>
    </w:p>
    <w:p w:rsidR="007B1872" w:rsidRDefault="007B1872" w:rsidP="007B1872">
      <w:pPr>
        <w:ind w:left="720" w:hanging="720"/>
      </w:pPr>
      <w:proofErr w:type="spellStart"/>
      <w:r w:rsidRPr="00366AD1">
        <w:t>Gillani</w:t>
      </w:r>
      <w:proofErr w:type="spellEnd"/>
      <w:r w:rsidRPr="00366AD1">
        <w:t xml:space="preserve">, S. W., </w:t>
      </w:r>
      <w:proofErr w:type="spellStart"/>
      <w:r w:rsidRPr="00366AD1">
        <w:t>Sulaiman</w:t>
      </w:r>
      <w:proofErr w:type="spellEnd"/>
      <w:r w:rsidRPr="00366AD1">
        <w:t xml:space="preserve">, S. A. S., Abdul, M. I. M., &amp; </w:t>
      </w:r>
      <w:proofErr w:type="spellStart"/>
      <w:r w:rsidRPr="00366AD1">
        <w:t>Saad</w:t>
      </w:r>
      <w:proofErr w:type="spellEnd"/>
      <w:r w:rsidRPr="00366AD1">
        <w:t xml:space="preserve">, S. Y. (2017). A qualitative study to explore the perception and </w:t>
      </w:r>
      <w:proofErr w:type="spellStart"/>
      <w:r w:rsidRPr="00366AD1">
        <w:t>behavior</w:t>
      </w:r>
      <w:proofErr w:type="spellEnd"/>
      <w:r w:rsidRPr="00366AD1">
        <w:t xml:space="preserve"> of patients towards diabetes management with physical disability. </w:t>
      </w:r>
      <w:proofErr w:type="spellStart"/>
      <w:r w:rsidRPr="00366AD1">
        <w:rPr>
          <w:i/>
          <w:iCs/>
        </w:rPr>
        <w:t>Diabetology</w:t>
      </w:r>
      <w:proofErr w:type="spellEnd"/>
      <w:r w:rsidRPr="00366AD1">
        <w:rPr>
          <w:i/>
          <w:iCs/>
        </w:rPr>
        <w:t xml:space="preserve"> &amp; metabolic syn</w:t>
      </w:r>
      <w:bookmarkStart w:id="0" w:name="_GoBack"/>
      <w:bookmarkEnd w:id="0"/>
      <w:r w:rsidRPr="00366AD1">
        <w:rPr>
          <w:i/>
          <w:iCs/>
        </w:rPr>
        <w:t>drome</w:t>
      </w:r>
      <w:r w:rsidRPr="00366AD1">
        <w:t>, </w:t>
      </w:r>
      <w:r w:rsidRPr="00366AD1">
        <w:rPr>
          <w:i/>
          <w:iCs/>
        </w:rPr>
        <w:t>9</w:t>
      </w:r>
      <w:r w:rsidRPr="00366AD1">
        <w:t>(1), 1-10.</w:t>
      </w:r>
    </w:p>
    <w:p w:rsidR="007B1872" w:rsidRDefault="007B1872" w:rsidP="007B1872">
      <w:pPr>
        <w:ind w:left="720" w:hanging="720"/>
      </w:pPr>
      <w:r w:rsidRPr="00366AD1">
        <w:t>Pulido‐</w:t>
      </w:r>
      <w:proofErr w:type="spellStart"/>
      <w:r w:rsidRPr="00366AD1">
        <w:t>Martos</w:t>
      </w:r>
      <w:proofErr w:type="spellEnd"/>
      <w:r w:rsidRPr="00366AD1">
        <w:t>, M., Augusto‐</w:t>
      </w:r>
      <w:proofErr w:type="spellStart"/>
      <w:r w:rsidRPr="00366AD1">
        <w:t>Landa</w:t>
      </w:r>
      <w:proofErr w:type="spellEnd"/>
      <w:r w:rsidRPr="00366AD1">
        <w:t>, J. M., &amp; Lopez‐</w:t>
      </w:r>
      <w:proofErr w:type="spellStart"/>
      <w:r w:rsidRPr="00366AD1">
        <w:t>Zafra</w:t>
      </w:r>
      <w:proofErr w:type="spellEnd"/>
      <w:r w:rsidRPr="00366AD1">
        <w:t>, E. (2012). Sources of stress in nursing students: a systematic review of quantitative studies. </w:t>
      </w:r>
      <w:r w:rsidRPr="00366AD1">
        <w:rPr>
          <w:i/>
          <w:iCs/>
        </w:rPr>
        <w:t>International Nursing Review</w:t>
      </w:r>
      <w:r w:rsidRPr="00366AD1">
        <w:t>, </w:t>
      </w:r>
      <w:r w:rsidRPr="00366AD1">
        <w:rPr>
          <w:i/>
          <w:iCs/>
        </w:rPr>
        <w:t>59</w:t>
      </w:r>
      <w:r w:rsidRPr="00366AD1">
        <w:t>(1), 15-25.</w:t>
      </w:r>
    </w:p>
    <w:p w:rsidR="00366AD1" w:rsidRPr="009B5E79" w:rsidRDefault="00366AD1" w:rsidP="009B5E79"/>
    <w:sectPr w:rsidR="00366AD1" w:rsidRPr="009B5E79" w:rsidSect="004C07F2">
      <w:headerReference w:type="default" r:id="rId6"/>
      <w:headerReference w:type="first" r:id="rId7"/>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5E2A" w:rsidRDefault="00135E2A" w:rsidP="004C07F2">
      <w:pPr>
        <w:spacing w:after="0" w:line="240" w:lineRule="auto"/>
      </w:pPr>
      <w:r>
        <w:separator/>
      </w:r>
    </w:p>
  </w:endnote>
  <w:endnote w:type="continuationSeparator" w:id="0">
    <w:p w:rsidR="00135E2A" w:rsidRDefault="00135E2A" w:rsidP="004C07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5E2A" w:rsidRDefault="00135E2A" w:rsidP="004C07F2">
      <w:pPr>
        <w:spacing w:after="0" w:line="240" w:lineRule="auto"/>
      </w:pPr>
      <w:r>
        <w:separator/>
      </w:r>
    </w:p>
  </w:footnote>
  <w:footnote w:type="continuationSeparator" w:id="0">
    <w:p w:rsidR="00135E2A" w:rsidRDefault="00135E2A" w:rsidP="004C07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7F2" w:rsidRDefault="004C07F2">
    <w:pPr>
      <w:pStyle w:val="Header"/>
    </w:pPr>
    <w:r>
      <w:rPr>
        <w:noProof/>
        <w:lang w:eastAsia="en-IN"/>
      </w:rPr>
      <mc:AlternateContent>
        <mc:Choice Requires="wps">
          <w:drawing>
            <wp:anchor distT="0" distB="0" distL="114300" distR="114300" simplePos="0" relativeHeight="251660288" behindDoc="0" locked="0" layoutInCell="0" allowOverlap="1">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7F2" w:rsidRPr="004C07F2" w:rsidRDefault="004C07F2" w:rsidP="004C07F2">
                          <w:pPr>
                            <w:spacing w:after="0" w:line="240" w:lineRule="auto"/>
                            <w:jc w:val="left"/>
                            <w:rPr>
                              <w:noProof/>
                              <w:lang w:val="en-US"/>
                            </w:rPr>
                          </w:pPr>
                          <w:r>
                            <w:rPr>
                              <w:noProof/>
                              <w:lang w:val="en-US"/>
                            </w:rPr>
                            <w:t xml:space="preserve">QUANTITATIVE AND QUALITATIVE </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left:0;text-align:left;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4C07F2" w:rsidRPr="004C07F2" w:rsidRDefault="004C07F2" w:rsidP="004C07F2">
                    <w:pPr>
                      <w:spacing w:after="0" w:line="240" w:lineRule="auto"/>
                      <w:jc w:val="left"/>
                      <w:rPr>
                        <w:noProof/>
                        <w:lang w:val="en-US"/>
                      </w:rPr>
                    </w:pPr>
                    <w:r>
                      <w:rPr>
                        <w:noProof/>
                        <w:lang w:val="en-US"/>
                      </w:rPr>
                      <w:t xml:space="preserve">QUANTITATIVE AND QUALITATIVE </w:t>
                    </w:r>
                  </w:p>
                </w:txbxContent>
              </v:textbox>
              <w10:wrap anchorx="margin" anchory="margin"/>
            </v:shape>
          </w:pict>
        </mc:Fallback>
      </mc:AlternateContent>
    </w:r>
    <w:r>
      <w:rPr>
        <w:noProof/>
        <w:lang w:eastAsia="en-IN"/>
      </w:rPr>
      <mc:AlternateContent>
        <mc:Choice Requires="wps">
          <w:drawing>
            <wp:anchor distT="0" distB="0" distL="114300" distR="114300" simplePos="0" relativeHeight="251659264" behindDoc="0" locked="0" layoutInCell="0" allowOverlap="1">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4C07F2" w:rsidRDefault="004C07F2">
                          <w:pPr>
                            <w:spacing w:after="0" w:line="240" w:lineRule="auto"/>
                            <w:rPr>
                              <w:color w:val="FFFFFF" w:themeColor="background1"/>
                            </w:rPr>
                          </w:pPr>
                          <w:r>
                            <w:fldChar w:fldCharType="begin"/>
                          </w:r>
                          <w:r>
                            <w:instrText xml:space="preserve"> PAGE   \* MERGEFORMAT </w:instrText>
                          </w:r>
                          <w:r>
                            <w:fldChar w:fldCharType="separate"/>
                          </w:r>
                          <w:r w:rsidR="007B1872" w:rsidRPr="007B1872">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221" o:spid="_x0000_s1027" type="#_x0000_t202" style="position:absolute;left:0;text-align:left;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4C07F2" w:rsidRDefault="004C07F2">
                    <w:pPr>
                      <w:spacing w:after="0" w:line="240" w:lineRule="auto"/>
                      <w:rPr>
                        <w:color w:val="FFFFFF" w:themeColor="background1"/>
                      </w:rPr>
                    </w:pPr>
                    <w:r>
                      <w:fldChar w:fldCharType="begin"/>
                    </w:r>
                    <w:r>
                      <w:instrText xml:space="preserve"> PAGE   \* MERGEFORMAT </w:instrText>
                    </w:r>
                    <w:r>
                      <w:fldChar w:fldCharType="separate"/>
                    </w:r>
                    <w:r w:rsidR="007B1872" w:rsidRPr="007B1872">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7F2" w:rsidRPr="004C07F2" w:rsidRDefault="004C07F2">
    <w:pPr>
      <w:pStyle w:val="Header"/>
      <w:rPr>
        <w:lang w:val="en-US"/>
      </w:rPr>
    </w:pPr>
    <w:r>
      <w:rPr>
        <w:lang w:val="en-US"/>
      </w:rPr>
      <w:t>Running head: QUANTITATIVE AND QUALITATIVE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7F2"/>
    <w:rsid w:val="00022667"/>
    <w:rsid w:val="000A396F"/>
    <w:rsid w:val="000B593F"/>
    <w:rsid w:val="000D0284"/>
    <w:rsid w:val="000D4CF5"/>
    <w:rsid w:val="000D626B"/>
    <w:rsid w:val="00130759"/>
    <w:rsid w:val="00135E2A"/>
    <w:rsid w:val="0016228C"/>
    <w:rsid w:val="001750D2"/>
    <w:rsid w:val="001A3E54"/>
    <w:rsid w:val="001B59E7"/>
    <w:rsid w:val="001E4154"/>
    <w:rsid w:val="001F14DA"/>
    <w:rsid w:val="002609C3"/>
    <w:rsid w:val="002A2C10"/>
    <w:rsid w:val="002E5019"/>
    <w:rsid w:val="002F51C8"/>
    <w:rsid w:val="00323128"/>
    <w:rsid w:val="00357A88"/>
    <w:rsid w:val="00366AD1"/>
    <w:rsid w:val="003A18B2"/>
    <w:rsid w:val="003C4882"/>
    <w:rsid w:val="00444D6D"/>
    <w:rsid w:val="00497A42"/>
    <w:rsid w:val="004C07F2"/>
    <w:rsid w:val="004C7273"/>
    <w:rsid w:val="004D67D1"/>
    <w:rsid w:val="00560355"/>
    <w:rsid w:val="00577B34"/>
    <w:rsid w:val="005B1C57"/>
    <w:rsid w:val="00610935"/>
    <w:rsid w:val="00613773"/>
    <w:rsid w:val="00683A35"/>
    <w:rsid w:val="00696A0F"/>
    <w:rsid w:val="006A0173"/>
    <w:rsid w:val="006B5988"/>
    <w:rsid w:val="006F2E00"/>
    <w:rsid w:val="0072241A"/>
    <w:rsid w:val="0073715E"/>
    <w:rsid w:val="0074156E"/>
    <w:rsid w:val="00780D6A"/>
    <w:rsid w:val="007B1872"/>
    <w:rsid w:val="007D19D7"/>
    <w:rsid w:val="00826A81"/>
    <w:rsid w:val="00827372"/>
    <w:rsid w:val="00873E9B"/>
    <w:rsid w:val="008B1DB2"/>
    <w:rsid w:val="008C1A78"/>
    <w:rsid w:val="00920BC0"/>
    <w:rsid w:val="00992BD2"/>
    <w:rsid w:val="009B5E79"/>
    <w:rsid w:val="00A04FB7"/>
    <w:rsid w:val="00A201F6"/>
    <w:rsid w:val="00A54ACB"/>
    <w:rsid w:val="00A83FDF"/>
    <w:rsid w:val="00A84277"/>
    <w:rsid w:val="00A87702"/>
    <w:rsid w:val="00A95380"/>
    <w:rsid w:val="00B9582E"/>
    <w:rsid w:val="00BB5E29"/>
    <w:rsid w:val="00BC0432"/>
    <w:rsid w:val="00C9614A"/>
    <w:rsid w:val="00D0284B"/>
    <w:rsid w:val="00D26271"/>
    <w:rsid w:val="00D325CE"/>
    <w:rsid w:val="00D47F0F"/>
    <w:rsid w:val="00D63C19"/>
    <w:rsid w:val="00D956C4"/>
    <w:rsid w:val="00DA68C9"/>
    <w:rsid w:val="00DD0BAD"/>
    <w:rsid w:val="00DF01F6"/>
    <w:rsid w:val="00E10277"/>
    <w:rsid w:val="00E1486E"/>
    <w:rsid w:val="00E23F5C"/>
    <w:rsid w:val="00E445C0"/>
    <w:rsid w:val="00E44F5C"/>
    <w:rsid w:val="00E63B32"/>
    <w:rsid w:val="00EB4910"/>
    <w:rsid w:val="00EC4469"/>
    <w:rsid w:val="00F14CC1"/>
    <w:rsid w:val="00F82F81"/>
    <w:rsid w:val="00F9419B"/>
    <w:rsid w:val="00FE34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72BAE96-4E2F-4185-8FE7-E28D32303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0173"/>
    <w:pPr>
      <w:spacing w:line="480" w:lineRule="auto"/>
      <w:jc w:val="both"/>
    </w:pPr>
    <w:rPr>
      <w:rFonts w:ascii="Times New Roman" w:eastAsiaTheme="minorEastAsia" w:hAnsi="Times New Roman"/>
      <w:sz w:val="24"/>
    </w:rPr>
  </w:style>
  <w:style w:type="paragraph" w:styleId="Heading1">
    <w:name w:val="heading 1"/>
    <w:basedOn w:val="Normal"/>
    <w:next w:val="Normal"/>
    <w:link w:val="Heading1Char"/>
    <w:uiPriority w:val="9"/>
    <w:qFormat/>
    <w:rsid w:val="008C1A78"/>
    <w:pPr>
      <w:keepNext/>
      <w:keepLines/>
      <w:spacing w:before="240" w:after="0"/>
      <w:jc w:val="left"/>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E63B32"/>
    <w:pPr>
      <w:keepNext/>
      <w:keepLines/>
      <w:spacing w:before="40" w:after="0"/>
      <w:jc w:val="left"/>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130759"/>
    <w:pPr>
      <w:keepNext/>
      <w:keepLines/>
      <w:spacing w:before="40" w:after="0"/>
      <w:jc w:val="left"/>
      <w:outlineLvl w:val="2"/>
    </w:pPr>
    <w:rPr>
      <w:rFonts w:eastAsiaTheme="majorEastAsia" w:cstheme="majorBidi"/>
      <w:b/>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A78"/>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E63B32"/>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130759"/>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4C07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7F2"/>
    <w:rPr>
      <w:rFonts w:ascii="Times New Roman" w:eastAsiaTheme="minorEastAsia" w:hAnsi="Times New Roman"/>
      <w:sz w:val="24"/>
    </w:rPr>
  </w:style>
  <w:style w:type="paragraph" w:styleId="Footer">
    <w:name w:val="footer"/>
    <w:basedOn w:val="Normal"/>
    <w:link w:val="FooterChar"/>
    <w:uiPriority w:val="99"/>
    <w:unhideWhenUsed/>
    <w:rsid w:val="004C07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7F2"/>
    <w:rPr>
      <w:rFonts w:ascii="Times New Roman" w:eastAsiaTheme="minorEastAsia"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Parnab Bhattacharjee</dc:creator>
  <cp:keywords/>
  <dc:description/>
  <cp:lastModifiedBy>Parnab Bhattacharjee</cp:lastModifiedBy>
  <cp:revision>2</cp:revision>
  <dcterms:created xsi:type="dcterms:W3CDTF">2021-10-05T07:21:00Z</dcterms:created>
  <dcterms:modified xsi:type="dcterms:W3CDTF">2021-10-05T08:08:00Z</dcterms:modified>
</cp:coreProperties>
</file>