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7B9D7C" w14:textId="66D862CB" w:rsidR="00A001C0" w:rsidRPr="005648AD" w:rsidRDefault="00A001C0" w:rsidP="00D4342D">
      <w:pPr>
        <w:jc w:val="center"/>
        <w:rPr>
          <w:rFonts w:ascii="Arial" w:hAnsi="Arial" w:cs="Arial"/>
          <w:b/>
          <w:bCs/>
          <w:color w:val="2E74B5" w:themeColor="accent5" w:themeShade="BF"/>
          <w:szCs w:val="22"/>
        </w:rPr>
      </w:pPr>
      <w:r w:rsidRPr="005648AD">
        <w:rPr>
          <w:rFonts w:ascii="Arial" w:hAnsi="Arial" w:cs="Arial"/>
          <w:b/>
          <w:bCs/>
          <w:color w:val="2E74B5" w:themeColor="accent5" w:themeShade="BF"/>
          <w:szCs w:val="22"/>
        </w:rPr>
        <w:t>Introduction</w:t>
      </w:r>
    </w:p>
    <w:p w14:paraId="4B0B5976" w14:textId="77777777" w:rsidR="005648AD" w:rsidRPr="005648AD" w:rsidRDefault="006C2B1B" w:rsidP="005648AD">
      <w:pPr>
        <w:ind w:firstLine="720"/>
        <w:rPr>
          <w:rFonts w:ascii="Arial" w:hAnsi="Arial" w:cs="Arial"/>
          <w:b/>
          <w:bCs/>
          <w:szCs w:val="22"/>
        </w:rPr>
      </w:pPr>
      <w:r w:rsidRPr="005648AD">
        <w:rPr>
          <w:rFonts w:ascii="Arial" w:hAnsi="Arial" w:cs="Arial"/>
          <w:szCs w:val="22"/>
        </w:rPr>
        <w:t>Monetary policy plays an important role in stabilization</w:t>
      </w:r>
      <w:r w:rsidR="005E40A2" w:rsidRPr="005648AD">
        <w:rPr>
          <w:rFonts w:ascii="Arial" w:hAnsi="Arial" w:cs="Arial"/>
          <w:szCs w:val="22"/>
        </w:rPr>
        <w:t xml:space="preserve"> of economic condition during crisis</w:t>
      </w:r>
      <w:r w:rsidR="00F2784B" w:rsidRPr="005648AD">
        <w:rPr>
          <w:rFonts w:ascii="Arial" w:hAnsi="Arial" w:cs="Arial"/>
          <w:szCs w:val="22"/>
        </w:rPr>
        <w:t>.</w:t>
      </w:r>
      <w:r w:rsidR="005E40A2" w:rsidRPr="005648AD">
        <w:rPr>
          <w:rFonts w:ascii="Arial" w:hAnsi="Arial" w:cs="Arial"/>
          <w:szCs w:val="22"/>
        </w:rPr>
        <w:t xml:space="preserve"> Coronavirus – 19 (COVID-19) has adversely impacted economy of almost every country in the world. </w:t>
      </w:r>
      <w:r w:rsidR="00BE6FC5" w:rsidRPr="005648AD">
        <w:rPr>
          <w:rFonts w:ascii="Arial" w:hAnsi="Arial" w:cs="Arial"/>
          <w:szCs w:val="22"/>
        </w:rPr>
        <w:t>Central Bank</w:t>
      </w:r>
      <w:r w:rsidR="005E40A2" w:rsidRPr="005648AD">
        <w:rPr>
          <w:rFonts w:ascii="Arial" w:hAnsi="Arial" w:cs="Arial"/>
          <w:szCs w:val="22"/>
        </w:rPr>
        <w:t xml:space="preserve">s of these countries has adopted </w:t>
      </w:r>
      <w:r w:rsidR="00457CA4" w:rsidRPr="005648AD">
        <w:rPr>
          <w:rFonts w:ascii="Arial" w:hAnsi="Arial" w:cs="Arial"/>
          <w:szCs w:val="22"/>
        </w:rPr>
        <w:t xml:space="preserve">many macroeconomic responses including monetary policies to combat against pandemic. Federal Reserve System, central bank of United States, adopted a broad array of monetary policy responses to stabilize economy during </w:t>
      </w:r>
      <w:r w:rsidR="00E16BC0" w:rsidRPr="005648AD">
        <w:rPr>
          <w:rFonts w:ascii="Arial" w:hAnsi="Arial" w:cs="Arial"/>
          <w:szCs w:val="22"/>
        </w:rPr>
        <w:t xml:space="preserve">COVID-19. </w:t>
      </w:r>
    </w:p>
    <w:p w14:paraId="39A71811" w14:textId="0D73E55A" w:rsidR="00A001C0" w:rsidRPr="005648AD" w:rsidRDefault="00A001C0" w:rsidP="005648AD">
      <w:pPr>
        <w:ind w:firstLine="720"/>
        <w:rPr>
          <w:rFonts w:ascii="Arial" w:hAnsi="Arial" w:cs="Arial"/>
          <w:b/>
          <w:bCs/>
          <w:szCs w:val="22"/>
        </w:rPr>
      </w:pPr>
      <w:r w:rsidRPr="005648AD">
        <w:rPr>
          <w:rFonts w:ascii="Arial" w:hAnsi="Arial" w:cs="Arial"/>
          <w:szCs w:val="22"/>
        </w:rPr>
        <w:t xml:space="preserve">This paper aims to discuss the monetary policy responses of Federal Reserve System, central bank of United States, to combat against Corona Virus – 19 (COVID – 19). </w:t>
      </w:r>
      <w:r w:rsidR="00967C33" w:rsidRPr="005648AD">
        <w:rPr>
          <w:rFonts w:ascii="Arial" w:hAnsi="Arial" w:cs="Arial"/>
          <w:szCs w:val="22"/>
        </w:rPr>
        <w:t xml:space="preserve">This study will be arranged in two parts. In first part, theoretical discussion will be made on the concept monetary policy, types of monetary policy, and ways of conducting different types of monetary policy. In the second part, discussion will be made on different monetary policy responses adopted by Federal Reserve System during COVID -19 and analysis will be made on how these responses helped to protect US economy.  </w:t>
      </w:r>
    </w:p>
    <w:p w14:paraId="2945148A" w14:textId="1588DD00" w:rsidR="00A001C0" w:rsidRPr="005648AD" w:rsidRDefault="00A001C0" w:rsidP="00A001C0">
      <w:pPr>
        <w:jc w:val="center"/>
        <w:rPr>
          <w:rFonts w:ascii="Arial" w:hAnsi="Arial" w:cs="Arial"/>
          <w:b/>
          <w:bCs/>
          <w:color w:val="2E74B5" w:themeColor="accent5" w:themeShade="BF"/>
          <w:szCs w:val="22"/>
        </w:rPr>
      </w:pPr>
      <w:r w:rsidRPr="005648AD">
        <w:rPr>
          <w:rFonts w:ascii="Arial" w:hAnsi="Arial" w:cs="Arial"/>
          <w:b/>
          <w:bCs/>
          <w:color w:val="2E74B5" w:themeColor="accent5" w:themeShade="BF"/>
          <w:szCs w:val="22"/>
        </w:rPr>
        <w:t xml:space="preserve">Monetary Policy </w:t>
      </w:r>
    </w:p>
    <w:p w14:paraId="3EAF6C69" w14:textId="77777777" w:rsidR="005648AD" w:rsidRPr="005648AD" w:rsidRDefault="00D42FAC" w:rsidP="005648AD">
      <w:pPr>
        <w:ind w:firstLine="720"/>
        <w:rPr>
          <w:rFonts w:ascii="Arial" w:hAnsi="Arial" w:cs="Arial"/>
          <w:szCs w:val="22"/>
        </w:rPr>
      </w:pPr>
      <w:r w:rsidRPr="005648AD">
        <w:rPr>
          <w:rFonts w:ascii="Arial" w:hAnsi="Arial" w:cs="Arial"/>
          <w:szCs w:val="22"/>
        </w:rPr>
        <w:t>Monetary policy is a macroeconomic policy that manages and controls the size and growth of an economy through money supply</w:t>
      </w:r>
      <w:sdt>
        <w:sdtPr>
          <w:rPr>
            <w:rFonts w:ascii="Arial" w:hAnsi="Arial" w:cs="Arial"/>
            <w:szCs w:val="22"/>
          </w:rPr>
          <w:id w:val="-467126416"/>
          <w:citation/>
        </w:sdtPr>
        <w:sdtEndPr/>
        <w:sdtContent>
          <w:r w:rsidR="009E37DF" w:rsidRPr="005648AD">
            <w:rPr>
              <w:rFonts w:ascii="Arial" w:hAnsi="Arial" w:cs="Arial"/>
              <w:szCs w:val="22"/>
            </w:rPr>
            <w:fldChar w:fldCharType="begin"/>
          </w:r>
          <w:r w:rsidR="009E37DF" w:rsidRPr="005648AD">
            <w:rPr>
              <w:rFonts w:ascii="Arial" w:hAnsi="Arial" w:cs="Arial"/>
              <w:szCs w:val="22"/>
            </w:rPr>
            <w:instrText xml:space="preserve"> CITATION Ste17 \l 1033 </w:instrText>
          </w:r>
          <w:r w:rsidR="009E37DF" w:rsidRPr="005648AD">
            <w:rPr>
              <w:rFonts w:ascii="Arial" w:hAnsi="Arial" w:cs="Arial"/>
              <w:szCs w:val="22"/>
            </w:rPr>
            <w:fldChar w:fldCharType="separate"/>
          </w:r>
          <w:r w:rsidR="009E37DF" w:rsidRPr="005648AD">
            <w:rPr>
              <w:rFonts w:ascii="Arial" w:hAnsi="Arial" w:cs="Arial"/>
              <w:noProof/>
              <w:szCs w:val="22"/>
            </w:rPr>
            <w:t xml:space="preserve"> (Greenlaw, Shapiro, &amp; Taylor, 2017)</w:t>
          </w:r>
          <w:r w:rsidR="009E37DF" w:rsidRPr="005648AD">
            <w:rPr>
              <w:rFonts w:ascii="Arial" w:hAnsi="Arial" w:cs="Arial"/>
              <w:szCs w:val="22"/>
            </w:rPr>
            <w:fldChar w:fldCharType="end"/>
          </w:r>
        </w:sdtContent>
      </w:sdt>
      <w:r w:rsidRPr="005648AD">
        <w:rPr>
          <w:rFonts w:ascii="Arial" w:hAnsi="Arial" w:cs="Arial"/>
          <w:szCs w:val="22"/>
        </w:rPr>
        <w:t>. Two main types of m</w:t>
      </w:r>
      <w:r w:rsidR="00A001C0" w:rsidRPr="005648AD">
        <w:rPr>
          <w:rFonts w:ascii="Arial" w:hAnsi="Arial" w:cs="Arial"/>
          <w:szCs w:val="22"/>
        </w:rPr>
        <w:t xml:space="preserve">onetary </w:t>
      </w:r>
      <w:r w:rsidRPr="005648AD">
        <w:rPr>
          <w:rFonts w:ascii="Arial" w:hAnsi="Arial" w:cs="Arial"/>
          <w:szCs w:val="22"/>
        </w:rPr>
        <w:t>policy include</w:t>
      </w:r>
      <w:r w:rsidR="00A001C0" w:rsidRPr="005648AD">
        <w:rPr>
          <w:rFonts w:ascii="Arial" w:hAnsi="Arial" w:cs="Arial"/>
          <w:szCs w:val="22"/>
        </w:rPr>
        <w:t xml:space="preserve"> expansionary monetary policy and contractionary monetary policy. </w:t>
      </w:r>
    </w:p>
    <w:p w14:paraId="478733D9" w14:textId="6ADEC8FD" w:rsidR="00A001C0" w:rsidRPr="005648AD" w:rsidRDefault="00A001C0" w:rsidP="005648AD">
      <w:pPr>
        <w:ind w:firstLine="720"/>
        <w:rPr>
          <w:rFonts w:ascii="Arial" w:hAnsi="Arial" w:cs="Arial"/>
          <w:szCs w:val="22"/>
        </w:rPr>
      </w:pPr>
      <w:r w:rsidRPr="005648AD">
        <w:rPr>
          <w:rFonts w:ascii="Arial" w:hAnsi="Arial" w:cs="Arial"/>
          <w:szCs w:val="22"/>
        </w:rPr>
        <w:t xml:space="preserve">Expansionary monetary policy involves with </w:t>
      </w:r>
      <w:r w:rsidR="003A035C" w:rsidRPr="005648AD">
        <w:rPr>
          <w:rFonts w:ascii="Arial" w:hAnsi="Arial" w:cs="Arial"/>
          <w:szCs w:val="22"/>
        </w:rPr>
        <w:t>expanding</w:t>
      </w:r>
      <w:r w:rsidRPr="005648AD">
        <w:rPr>
          <w:rFonts w:ascii="Arial" w:hAnsi="Arial" w:cs="Arial"/>
          <w:szCs w:val="22"/>
        </w:rPr>
        <w:t xml:space="preserve"> money supply in the economy.</w:t>
      </w:r>
      <w:r w:rsidR="003A035C" w:rsidRPr="005648AD">
        <w:rPr>
          <w:rFonts w:ascii="Arial" w:hAnsi="Arial" w:cs="Arial"/>
          <w:szCs w:val="22"/>
        </w:rPr>
        <w:t xml:space="preserve"> </w:t>
      </w:r>
      <w:r w:rsidR="00AA4DF2" w:rsidRPr="005648AD">
        <w:rPr>
          <w:rFonts w:ascii="Arial" w:hAnsi="Arial" w:cs="Arial"/>
          <w:szCs w:val="22"/>
        </w:rPr>
        <w:t xml:space="preserve">Increased money supply decreases short-term interest rate, expands lending, promote </w:t>
      </w:r>
      <w:r w:rsidR="00D42FAC" w:rsidRPr="005648AD">
        <w:rPr>
          <w:rFonts w:ascii="Arial" w:hAnsi="Arial" w:cs="Arial"/>
          <w:szCs w:val="22"/>
        </w:rPr>
        <w:t xml:space="preserve">investment and </w:t>
      </w:r>
      <w:r w:rsidR="00AA4DF2" w:rsidRPr="005648AD">
        <w:rPr>
          <w:rFonts w:ascii="Arial" w:hAnsi="Arial" w:cs="Arial"/>
          <w:szCs w:val="22"/>
        </w:rPr>
        <w:t>business activities</w:t>
      </w:r>
      <w:r w:rsidR="00D42FAC" w:rsidRPr="005648AD">
        <w:rPr>
          <w:rFonts w:ascii="Arial" w:hAnsi="Arial" w:cs="Arial"/>
          <w:szCs w:val="22"/>
        </w:rPr>
        <w:t xml:space="preserve">, and </w:t>
      </w:r>
      <w:r w:rsidR="00967C33" w:rsidRPr="005648AD">
        <w:rPr>
          <w:rFonts w:ascii="Arial" w:hAnsi="Arial" w:cs="Arial"/>
          <w:szCs w:val="22"/>
        </w:rPr>
        <w:t>increases aggregate demand</w:t>
      </w:r>
      <w:sdt>
        <w:sdtPr>
          <w:rPr>
            <w:rFonts w:ascii="Arial" w:hAnsi="Arial" w:cs="Arial"/>
            <w:szCs w:val="22"/>
          </w:rPr>
          <w:id w:val="-1231997246"/>
          <w:citation/>
        </w:sdtPr>
        <w:sdtEndPr/>
        <w:sdtContent>
          <w:r w:rsidR="009E37DF" w:rsidRPr="005648AD">
            <w:rPr>
              <w:rFonts w:ascii="Arial" w:hAnsi="Arial" w:cs="Arial"/>
              <w:szCs w:val="22"/>
            </w:rPr>
            <w:fldChar w:fldCharType="begin"/>
          </w:r>
          <w:r w:rsidR="009E37DF" w:rsidRPr="005648AD">
            <w:rPr>
              <w:rFonts w:ascii="Arial" w:hAnsi="Arial" w:cs="Arial"/>
              <w:szCs w:val="22"/>
            </w:rPr>
            <w:instrText xml:space="preserve"> CITATION Ste17 \l 1033 </w:instrText>
          </w:r>
          <w:r w:rsidR="009E37DF" w:rsidRPr="005648AD">
            <w:rPr>
              <w:rFonts w:ascii="Arial" w:hAnsi="Arial" w:cs="Arial"/>
              <w:szCs w:val="22"/>
            </w:rPr>
            <w:fldChar w:fldCharType="separate"/>
          </w:r>
          <w:r w:rsidR="009E37DF" w:rsidRPr="005648AD">
            <w:rPr>
              <w:rFonts w:ascii="Arial" w:hAnsi="Arial" w:cs="Arial"/>
              <w:noProof/>
              <w:szCs w:val="22"/>
            </w:rPr>
            <w:t xml:space="preserve"> (Greenlaw, Shapiro, &amp; Taylor, 2017)</w:t>
          </w:r>
          <w:r w:rsidR="009E37DF" w:rsidRPr="005648AD">
            <w:rPr>
              <w:rFonts w:ascii="Arial" w:hAnsi="Arial" w:cs="Arial"/>
              <w:szCs w:val="22"/>
            </w:rPr>
            <w:fldChar w:fldCharType="end"/>
          </w:r>
        </w:sdtContent>
      </w:sdt>
      <w:r w:rsidR="00AA4DF2" w:rsidRPr="005648AD">
        <w:rPr>
          <w:rFonts w:ascii="Arial" w:hAnsi="Arial" w:cs="Arial"/>
          <w:szCs w:val="22"/>
        </w:rPr>
        <w:t xml:space="preserve">. </w:t>
      </w:r>
      <w:r w:rsidR="003A035C" w:rsidRPr="005648AD">
        <w:rPr>
          <w:rFonts w:ascii="Arial" w:hAnsi="Arial" w:cs="Arial"/>
          <w:szCs w:val="22"/>
        </w:rPr>
        <w:t xml:space="preserve">Such policy in </w:t>
      </w:r>
      <w:r w:rsidR="00AA4DF2" w:rsidRPr="005648AD">
        <w:rPr>
          <w:rFonts w:ascii="Arial" w:hAnsi="Arial" w:cs="Arial"/>
          <w:szCs w:val="22"/>
        </w:rPr>
        <w:t>perused</w:t>
      </w:r>
      <w:r w:rsidR="003A035C" w:rsidRPr="005648AD">
        <w:rPr>
          <w:rFonts w:ascii="Arial" w:hAnsi="Arial" w:cs="Arial"/>
          <w:szCs w:val="22"/>
        </w:rPr>
        <w:t xml:space="preserve"> to stimulate the </w:t>
      </w:r>
      <w:r w:rsidR="00AA4DF2" w:rsidRPr="005648AD">
        <w:rPr>
          <w:rFonts w:ascii="Arial" w:hAnsi="Arial" w:cs="Arial"/>
          <w:szCs w:val="22"/>
        </w:rPr>
        <w:t>macro</w:t>
      </w:r>
      <w:r w:rsidR="003A035C" w:rsidRPr="005648AD">
        <w:rPr>
          <w:rFonts w:ascii="Arial" w:hAnsi="Arial" w:cs="Arial"/>
          <w:szCs w:val="22"/>
        </w:rPr>
        <w:t>econom</w:t>
      </w:r>
      <w:r w:rsidR="00AA4DF2" w:rsidRPr="005648AD">
        <w:rPr>
          <w:rFonts w:ascii="Arial" w:hAnsi="Arial" w:cs="Arial"/>
          <w:szCs w:val="22"/>
        </w:rPr>
        <w:t>ic growth</w:t>
      </w:r>
      <w:sdt>
        <w:sdtPr>
          <w:rPr>
            <w:rFonts w:ascii="Arial" w:hAnsi="Arial" w:cs="Arial"/>
            <w:szCs w:val="22"/>
          </w:rPr>
          <w:id w:val="1678002222"/>
          <w:citation/>
        </w:sdtPr>
        <w:sdtEndPr/>
        <w:sdtContent>
          <w:r w:rsidR="00F400EE" w:rsidRPr="005648AD">
            <w:rPr>
              <w:rFonts w:ascii="Arial" w:hAnsi="Arial" w:cs="Arial"/>
              <w:szCs w:val="22"/>
            </w:rPr>
            <w:fldChar w:fldCharType="begin"/>
          </w:r>
          <w:r w:rsidR="00F400EE" w:rsidRPr="005648AD">
            <w:rPr>
              <w:rFonts w:ascii="Arial" w:hAnsi="Arial" w:cs="Arial"/>
              <w:szCs w:val="22"/>
            </w:rPr>
            <w:instrText xml:space="preserve"> CITATION Rud17 \l 1033 </w:instrText>
          </w:r>
          <w:r w:rsidR="00F400EE" w:rsidRPr="005648AD">
            <w:rPr>
              <w:rFonts w:ascii="Arial" w:hAnsi="Arial" w:cs="Arial"/>
              <w:szCs w:val="22"/>
            </w:rPr>
            <w:fldChar w:fldCharType="separate"/>
          </w:r>
          <w:r w:rsidR="00F400EE" w:rsidRPr="005648AD">
            <w:rPr>
              <w:rFonts w:ascii="Arial" w:hAnsi="Arial" w:cs="Arial"/>
              <w:noProof/>
              <w:szCs w:val="22"/>
            </w:rPr>
            <w:t xml:space="preserve"> (Dornbusch, Fischer, &amp; Startz, 2017)</w:t>
          </w:r>
          <w:r w:rsidR="00F400EE" w:rsidRPr="005648AD">
            <w:rPr>
              <w:rFonts w:ascii="Arial" w:hAnsi="Arial" w:cs="Arial"/>
              <w:szCs w:val="22"/>
            </w:rPr>
            <w:fldChar w:fldCharType="end"/>
          </w:r>
        </w:sdtContent>
      </w:sdt>
      <w:r w:rsidR="00F400EE" w:rsidRPr="005648AD">
        <w:rPr>
          <w:rFonts w:ascii="Arial" w:hAnsi="Arial" w:cs="Arial"/>
          <w:szCs w:val="22"/>
        </w:rPr>
        <w:t xml:space="preserve">. </w:t>
      </w:r>
      <w:r w:rsidR="00D42FAC" w:rsidRPr="005648AD">
        <w:rPr>
          <w:rFonts w:ascii="Arial" w:hAnsi="Arial" w:cs="Arial"/>
          <w:szCs w:val="22"/>
        </w:rPr>
        <w:t xml:space="preserve">Expansionary monetary policy is implemented through – </w:t>
      </w:r>
    </w:p>
    <w:p w14:paraId="67081A5F" w14:textId="278A3E76" w:rsidR="00D42FAC" w:rsidRPr="005648AD" w:rsidRDefault="00967C33" w:rsidP="00996D08">
      <w:pPr>
        <w:spacing w:after="0" w:line="240" w:lineRule="auto"/>
        <w:ind w:firstLine="720"/>
        <w:rPr>
          <w:rFonts w:ascii="Arial" w:hAnsi="Arial" w:cs="Arial"/>
          <w:szCs w:val="22"/>
        </w:rPr>
      </w:pPr>
      <w:r w:rsidRPr="005648AD">
        <w:rPr>
          <w:rFonts w:ascii="Arial" w:hAnsi="Arial" w:cs="Arial"/>
          <w:szCs w:val="22"/>
        </w:rPr>
        <w:t xml:space="preserve">(i) </w:t>
      </w:r>
      <w:r w:rsidR="00D42FAC" w:rsidRPr="005648AD">
        <w:rPr>
          <w:rFonts w:ascii="Arial" w:hAnsi="Arial" w:cs="Arial"/>
          <w:szCs w:val="22"/>
        </w:rPr>
        <w:t>Open market purchases</w:t>
      </w:r>
      <w:r w:rsidR="005D1330" w:rsidRPr="005648AD">
        <w:rPr>
          <w:rStyle w:val="FootnoteReference"/>
          <w:rFonts w:ascii="Arial" w:hAnsi="Arial" w:cs="Arial"/>
          <w:szCs w:val="22"/>
        </w:rPr>
        <w:footnoteReference w:id="1"/>
      </w:r>
      <w:r w:rsidR="00D42FAC" w:rsidRPr="005648AD">
        <w:rPr>
          <w:rFonts w:ascii="Arial" w:hAnsi="Arial" w:cs="Arial"/>
          <w:szCs w:val="22"/>
        </w:rPr>
        <w:t xml:space="preserve"> </w:t>
      </w:r>
    </w:p>
    <w:p w14:paraId="19214436" w14:textId="10C64A2B" w:rsidR="00D42FAC" w:rsidRPr="005648AD" w:rsidRDefault="00967C33" w:rsidP="00996D08">
      <w:pPr>
        <w:spacing w:after="0" w:line="240" w:lineRule="auto"/>
        <w:ind w:firstLine="720"/>
        <w:rPr>
          <w:rFonts w:ascii="Arial" w:hAnsi="Arial" w:cs="Arial"/>
          <w:szCs w:val="22"/>
        </w:rPr>
      </w:pPr>
      <w:r w:rsidRPr="005648AD">
        <w:rPr>
          <w:rFonts w:ascii="Arial" w:hAnsi="Arial" w:cs="Arial"/>
          <w:szCs w:val="22"/>
        </w:rPr>
        <w:t xml:space="preserve">(ii) </w:t>
      </w:r>
      <w:r w:rsidR="00D42FAC" w:rsidRPr="005648AD">
        <w:rPr>
          <w:rFonts w:ascii="Arial" w:hAnsi="Arial" w:cs="Arial"/>
          <w:szCs w:val="22"/>
        </w:rPr>
        <w:t>Decreasing reserve requirement</w:t>
      </w:r>
      <w:r w:rsidR="00DD1A08" w:rsidRPr="005648AD">
        <w:rPr>
          <w:rStyle w:val="FootnoteReference"/>
          <w:rFonts w:ascii="Arial" w:hAnsi="Arial" w:cs="Arial"/>
          <w:szCs w:val="22"/>
        </w:rPr>
        <w:footnoteReference w:id="2"/>
      </w:r>
    </w:p>
    <w:p w14:paraId="215FF924" w14:textId="79EC8A4B" w:rsidR="00996D08" w:rsidRPr="005648AD" w:rsidRDefault="00967C33" w:rsidP="00996D08">
      <w:pPr>
        <w:spacing w:after="0" w:line="240" w:lineRule="auto"/>
        <w:ind w:firstLine="720"/>
        <w:rPr>
          <w:rFonts w:ascii="Arial" w:hAnsi="Arial" w:cs="Arial"/>
          <w:szCs w:val="22"/>
        </w:rPr>
      </w:pPr>
      <w:r w:rsidRPr="005648AD">
        <w:rPr>
          <w:rFonts w:ascii="Arial" w:hAnsi="Arial" w:cs="Arial"/>
          <w:szCs w:val="22"/>
        </w:rPr>
        <w:t>(iii) Decreasing discount rate</w:t>
      </w:r>
      <w:r w:rsidR="005D1330" w:rsidRPr="005648AD">
        <w:rPr>
          <w:rStyle w:val="FootnoteReference"/>
          <w:rFonts w:ascii="Arial" w:hAnsi="Arial" w:cs="Arial"/>
          <w:szCs w:val="22"/>
        </w:rPr>
        <w:footnoteReference w:id="3"/>
      </w:r>
      <w:r w:rsidRPr="005648AD">
        <w:rPr>
          <w:rFonts w:ascii="Arial" w:hAnsi="Arial" w:cs="Arial"/>
          <w:szCs w:val="22"/>
        </w:rPr>
        <w:t xml:space="preserve"> </w:t>
      </w:r>
      <w:r w:rsidR="00D42FAC" w:rsidRPr="005648AD">
        <w:rPr>
          <w:rFonts w:ascii="Arial" w:hAnsi="Arial" w:cs="Arial"/>
          <w:szCs w:val="22"/>
        </w:rPr>
        <w:t xml:space="preserve"> </w:t>
      </w:r>
    </w:p>
    <w:p w14:paraId="028257A9" w14:textId="77777777" w:rsidR="00996D08" w:rsidRPr="005648AD" w:rsidRDefault="00996D08" w:rsidP="00996D08">
      <w:pPr>
        <w:spacing w:after="0" w:line="240" w:lineRule="auto"/>
        <w:ind w:firstLine="720"/>
        <w:rPr>
          <w:rFonts w:ascii="Arial" w:hAnsi="Arial" w:cs="Arial"/>
          <w:szCs w:val="22"/>
        </w:rPr>
      </w:pPr>
    </w:p>
    <w:p w14:paraId="55CB98F3" w14:textId="5FD8F5F1" w:rsidR="00F400EE" w:rsidRPr="005648AD" w:rsidRDefault="00A001C0" w:rsidP="005648AD">
      <w:pPr>
        <w:ind w:firstLine="720"/>
        <w:rPr>
          <w:rFonts w:ascii="Arial" w:hAnsi="Arial" w:cs="Arial"/>
          <w:szCs w:val="22"/>
        </w:rPr>
      </w:pPr>
      <w:r w:rsidRPr="005648AD">
        <w:rPr>
          <w:rFonts w:ascii="Arial" w:hAnsi="Arial" w:cs="Arial"/>
          <w:szCs w:val="22"/>
        </w:rPr>
        <w:t xml:space="preserve">Contractionary monetary policy involves with </w:t>
      </w:r>
      <w:r w:rsidR="00AA4DF2" w:rsidRPr="005648AD">
        <w:rPr>
          <w:rFonts w:ascii="Arial" w:hAnsi="Arial" w:cs="Arial"/>
          <w:szCs w:val="22"/>
        </w:rPr>
        <w:t>decreasing</w:t>
      </w:r>
      <w:r w:rsidRPr="005648AD">
        <w:rPr>
          <w:rFonts w:ascii="Arial" w:hAnsi="Arial" w:cs="Arial"/>
          <w:szCs w:val="22"/>
        </w:rPr>
        <w:t xml:space="preserve"> money supply in the economy. </w:t>
      </w:r>
      <w:r w:rsidR="00AA4DF2" w:rsidRPr="005648AD">
        <w:rPr>
          <w:rFonts w:ascii="Arial" w:hAnsi="Arial" w:cs="Arial"/>
          <w:szCs w:val="22"/>
        </w:rPr>
        <w:t xml:space="preserve">Decreased money supply increases short-term interest rate, crunches lending, </w:t>
      </w:r>
      <w:r w:rsidR="00967C33" w:rsidRPr="005648AD">
        <w:rPr>
          <w:rFonts w:ascii="Arial" w:hAnsi="Arial" w:cs="Arial"/>
          <w:szCs w:val="22"/>
        </w:rPr>
        <w:t>lessens investment and business activities, and decreases aggregate demand</w:t>
      </w:r>
      <w:sdt>
        <w:sdtPr>
          <w:rPr>
            <w:rFonts w:ascii="Arial" w:hAnsi="Arial" w:cs="Arial"/>
            <w:szCs w:val="22"/>
          </w:rPr>
          <w:id w:val="1574547242"/>
          <w:citation/>
        </w:sdtPr>
        <w:sdtEndPr/>
        <w:sdtContent>
          <w:r w:rsidR="009E37DF" w:rsidRPr="005648AD">
            <w:rPr>
              <w:rFonts w:ascii="Arial" w:hAnsi="Arial" w:cs="Arial"/>
              <w:szCs w:val="22"/>
            </w:rPr>
            <w:fldChar w:fldCharType="begin"/>
          </w:r>
          <w:r w:rsidR="009E37DF" w:rsidRPr="005648AD">
            <w:rPr>
              <w:rFonts w:ascii="Arial" w:hAnsi="Arial" w:cs="Arial"/>
              <w:szCs w:val="22"/>
            </w:rPr>
            <w:instrText xml:space="preserve"> CITATION Ste17 \l 1033 </w:instrText>
          </w:r>
          <w:r w:rsidR="009E37DF" w:rsidRPr="005648AD">
            <w:rPr>
              <w:rFonts w:ascii="Arial" w:hAnsi="Arial" w:cs="Arial"/>
              <w:szCs w:val="22"/>
            </w:rPr>
            <w:fldChar w:fldCharType="separate"/>
          </w:r>
          <w:r w:rsidR="009E37DF" w:rsidRPr="005648AD">
            <w:rPr>
              <w:rFonts w:ascii="Arial" w:hAnsi="Arial" w:cs="Arial"/>
              <w:noProof/>
              <w:szCs w:val="22"/>
            </w:rPr>
            <w:t xml:space="preserve"> (Greenlaw, Shapiro, &amp; Taylor, 2017)</w:t>
          </w:r>
          <w:r w:rsidR="009E37DF" w:rsidRPr="005648AD">
            <w:rPr>
              <w:rFonts w:ascii="Arial" w:hAnsi="Arial" w:cs="Arial"/>
              <w:szCs w:val="22"/>
            </w:rPr>
            <w:fldChar w:fldCharType="end"/>
          </w:r>
        </w:sdtContent>
      </w:sdt>
      <w:r w:rsidR="00AA4DF2" w:rsidRPr="005648AD">
        <w:rPr>
          <w:rFonts w:ascii="Arial" w:hAnsi="Arial" w:cs="Arial"/>
          <w:szCs w:val="22"/>
        </w:rPr>
        <w:t>. Such policy in perused to curb the macroeconomic growth</w:t>
      </w:r>
      <w:sdt>
        <w:sdtPr>
          <w:rPr>
            <w:rFonts w:ascii="Arial" w:hAnsi="Arial" w:cs="Arial"/>
            <w:szCs w:val="22"/>
          </w:rPr>
          <w:id w:val="841826701"/>
          <w:citation/>
        </w:sdtPr>
        <w:sdtEndPr/>
        <w:sdtContent>
          <w:r w:rsidR="00F400EE" w:rsidRPr="005648AD">
            <w:rPr>
              <w:rFonts w:ascii="Arial" w:hAnsi="Arial" w:cs="Arial"/>
              <w:szCs w:val="22"/>
            </w:rPr>
            <w:fldChar w:fldCharType="begin"/>
          </w:r>
          <w:r w:rsidR="00F400EE" w:rsidRPr="005648AD">
            <w:rPr>
              <w:rFonts w:ascii="Arial" w:hAnsi="Arial" w:cs="Arial"/>
              <w:szCs w:val="22"/>
            </w:rPr>
            <w:instrText xml:space="preserve"> CITATION Rud17 \l 1033 </w:instrText>
          </w:r>
          <w:r w:rsidR="00F400EE" w:rsidRPr="005648AD">
            <w:rPr>
              <w:rFonts w:ascii="Arial" w:hAnsi="Arial" w:cs="Arial"/>
              <w:szCs w:val="22"/>
            </w:rPr>
            <w:fldChar w:fldCharType="separate"/>
          </w:r>
          <w:r w:rsidR="00F400EE" w:rsidRPr="005648AD">
            <w:rPr>
              <w:rFonts w:ascii="Arial" w:hAnsi="Arial" w:cs="Arial"/>
              <w:noProof/>
              <w:szCs w:val="22"/>
            </w:rPr>
            <w:t xml:space="preserve"> (Dornbusch, Fischer, &amp; Startz, 2017)</w:t>
          </w:r>
          <w:r w:rsidR="00F400EE" w:rsidRPr="005648AD">
            <w:rPr>
              <w:rFonts w:ascii="Arial" w:hAnsi="Arial" w:cs="Arial"/>
              <w:szCs w:val="22"/>
            </w:rPr>
            <w:fldChar w:fldCharType="end"/>
          </w:r>
        </w:sdtContent>
      </w:sdt>
      <w:r w:rsidR="00F400EE" w:rsidRPr="005648AD">
        <w:rPr>
          <w:rFonts w:ascii="Arial" w:hAnsi="Arial" w:cs="Arial"/>
          <w:szCs w:val="22"/>
        </w:rPr>
        <w:t>.</w:t>
      </w:r>
    </w:p>
    <w:p w14:paraId="35F6B14F" w14:textId="3EF4F0ED" w:rsidR="00967C33" w:rsidRPr="005648AD" w:rsidRDefault="00967C33" w:rsidP="00967C33">
      <w:pPr>
        <w:rPr>
          <w:rFonts w:ascii="Arial" w:hAnsi="Arial" w:cs="Arial"/>
          <w:szCs w:val="22"/>
        </w:rPr>
      </w:pPr>
      <w:r w:rsidRPr="005648AD">
        <w:rPr>
          <w:rFonts w:ascii="Arial" w:hAnsi="Arial" w:cs="Arial"/>
          <w:szCs w:val="22"/>
        </w:rPr>
        <w:t xml:space="preserve"> Expansionary monetary policy is implemented through – </w:t>
      </w:r>
    </w:p>
    <w:p w14:paraId="53FD0062" w14:textId="5851938B" w:rsidR="00967C33" w:rsidRPr="005648AD" w:rsidRDefault="00967C33" w:rsidP="00996D08">
      <w:pPr>
        <w:spacing w:after="0" w:line="240" w:lineRule="auto"/>
        <w:ind w:firstLine="720"/>
        <w:rPr>
          <w:rFonts w:ascii="Arial" w:hAnsi="Arial" w:cs="Arial"/>
          <w:szCs w:val="22"/>
        </w:rPr>
      </w:pPr>
      <w:r w:rsidRPr="005648AD">
        <w:rPr>
          <w:rFonts w:ascii="Arial" w:hAnsi="Arial" w:cs="Arial"/>
          <w:szCs w:val="22"/>
        </w:rPr>
        <w:lastRenderedPageBreak/>
        <w:t>(i) Open market sales</w:t>
      </w:r>
      <w:r w:rsidR="005D1330" w:rsidRPr="005648AD">
        <w:rPr>
          <w:rStyle w:val="FootnoteReference"/>
          <w:rFonts w:ascii="Arial" w:hAnsi="Arial" w:cs="Arial"/>
          <w:szCs w:val="22"/>
        </w:rPr>
        <w:footnoteReference w:id="4"/>
      </w:r>
      <w:r w:rsidRPr="005648AD">
        <w:rPr>
          <w:rFonts w:ascii="Arial" w:hAnsi="Arial" w:cs="Arial"/>
          <w:szCs w:val="22"/>
        </w:rPr>
        <w:t xml:space="preserve"> </w:t>
      </w:r>
    </w:p>
    <w:p w14:paraId="2C04A3E4" w14:textId="28DBA85B" w:rsidR="00967C33" w:rsidRPr="005648AD" w:rsidRDefault="00967C33" w:rsidP="00996D08">
      <w:pPr>
        <w:spacing w:after="0" w:line="240" w:lineRule="auto"/>
        <w:ind w:firstLine="720"/>
        <w:rPr>
          <w:rFonts w:ascii="Arial" w:hAnsi="Arial" w:cs="Arial"/>
          <w:szCs w:val="22"/>
        </w:rPr>
      </w:pPr>
      <w:r w:rsidRPr="005648AD">
        <w:rPr>
          <w:rFonts w:ascii="Arial" w:hAnsi="Arial" w:cs="Arial"/>
          <w:szCs w:val="22"/>
        </w:rPr>
        <w:t>(ii) Increasing reserve requirement</w:t>
      </w:r>
    </w:p>
    <w:p w14:paraId="49103812" w14:textId="73D0F3E8" w:rsidR="00967C33" w:rsidRPr="005648AD" w:rsidRDefault="00967C33" w:rsidP="00996D08">
      <w:pPr>
        <w:spacing w:after="0" w:line="240" w:lineRule="auto"/>
        <w:ind w:firstLine="720"/>
        <w:rPr>
          <w:rFonts w:ascii="Arial" w:hAnsi="Arial" w:cs="Arial"/>
          <w:szCs w:val="22"/>
        </w:rPr>
      </w:pPr>
      <w:r w:rsidRPr="005648AD">
        <w:rPr>
          <w:rFonts w:ascii="Arial" w:hAnsi="Arial" w:cs="Arial"/>
          <w:szCs w:val="22"/>
        </w:rPr>
        <w:t xml:space="preserve">(iii) Increasing discount rate  </w:t>
      </w:r>
    </w:p>
    <w:p w14:paraId="6EC20061" w14:textId="77777777" w:rsidR="00BE6FC5" w:rsidRPr="005648AD" w:rsidRDefault="00BE6FC5" w:rsidP="001921F4">
      <w:pPr>
        <w:jc w:val="center"/>
        <w:rPr>
          <w:rFonts w:ascii="Arial" w:hAnsi="Arial" w:cs="Arial"/>
          <w:b/>
          <w:bCs/>
          <w:color w:val="2E74B5" w:themeColor="accent5" w:themeShade="BF"/>
          <w:szCs w:val="22"/>
        </w:rPr>
      </w:pPr>
    </w:p>
    <w:p w14:paraId="070A5B5E" w14:textId="6DBD1DC7" w:rsidR="00A001C0" w:rsidRPr="005648AD" w:rsidRDefault="00A001C0" w:rsidP="005648AD">
      <w:pPr>
        <w:jc w:val="center"/>
        <w:rPr>
          <w:rFonts w:ascii="Arial" w:hAnsi="Arial" w:cs="Arial"/>
          <w:b/>
          <w:bCs/>
          <w:color w:val="2E74B5" w:themeColor="accent5" w:themeShade="BF"/>
          <w:szCs w:val="22"/>
        </w:rPr>
      </w:pPr>
      <w:r w:rsidRPr="005648AD">
        <w:rPr>
          <w:rFonts w:ascii="Arial" w:hAnsi="Arial" w:cs="Arial"/>
          <w:b/>
          <w:bCs/>
          <w:color w:val="2E74B5" w:themeColor="accent5" w:themeShade="BF"/>
          <w:szCs w:val="22"/>
        </w:rPr>
        <w:t xml:space="preserve">Monetary </w:t>
      </w:r>
      <w:r w:rsidR="00A76F7B" w:rsidRPr="005648AD">
        <w:rPr>
          <w:rFonts w:ascii="Arial" w:hAnsi="Arial" w:cs="Arial"/>
          <w:b/>
          <w:bCs/>
          <w:color w:val="2E74B5" w:themeColor="accent5" w:themeShade="BF"/>
          <w:szCs w:val="22"/>
        </w:rPr>
        <w:t>P</w:t>
      </w:r>
      <w:r w:rsidRPr="005648AD">
        <w:rPr>
          <w:rFonts w:ascii="Arial" w:hAnsi="Arial" w:cs="Arial"/>
          <w:b/>
          <w:bCs/>
          <w:color w:val="2E74B5" w:themeColor="accent5" w:themeShade="BF"/>
          <w:szCs w:val="22"/>
        </w:rPr>
        <w:t>olicy Responses of Federal Reserve System During COVID -19</w:t>
      </w:r>
    </w:p>
    <w:p w14:paraId="73BAF09E" w14:textId="273DE986" w:rsidR="005648AD" w:rsidRPr="005648AD" w:rsidRDefault="00BE6FC5" w:rsidP="005648AD">
      <w:pPr>
        <w:ind w:firstLine="720"/>
        <w:rPr>
          <w:rFonts w:ascii="Arial" w:hAnsi="Arial" w:cs="Arial"/>
          <w:szCs w:val="22"/>
        </w:rPr>
      </w:pPr>
      <w:r w:rsidRPr="005648AD">
        <w:rPr>
          <w:rFonts w:ascii="Arial" w:hAnsi="Arial" w:cs="Arial"/>
          <w:szCs w:val="22"/>
        </w:rPr>
        <w:t>COVID-19</w:t>
      </w:r>
      <w:r w:rsidR="005E40A2" w:rsidRPr="005648AD">
        <w:rPr>
          <w:rFonts w:ascii="Arial" w:hAnsi="Arial" w:cs="Arial"/>
          <w:szCs w:val="22"/>
        </w:rPr>
        <w:t xml:space="preserve"> </w:t>
      </w:r>
      <w:r w:rsidR="0024750E" w:rsidRPr="005648AD">
        <w:rPr>
          <w:rFonts w:ascii="Arial" w:hAnsi="Arial" w:cs="Arial"/>
          <w:szCs w:val="22"/>
        </w:rPr>
        <w:t xml:space="preserve">pandemic </w:t>
      </w:r>
      <w:r w:rsidR="007A2D62" w:rsidRPr="005648AD">
        <w:rPr>
          <w:rFonts w:ascii="Arial" w:hAnsi="Arial" w:cs="Arial"/>
          <w:szCs w:val="22"/>
        </w:rPr>
        <w:t xml:space="preserve">has </w:t>
      </w:r>
      <w:r w:rsidRPr="005648AD">
        <w:rPr>
          <w:rFonts w:ascii="Arial" w:hAnsi="Arial" w:cs="Arial"/>
          <w:szCs w:val="22"/>
        </w:rPr>
        <w:t xml:space="preserve">triggered a deep downturn </w:t>
      </w:r>
      <w:r w:rsidR="007A2D62" w:rsidRPr="005648AD">
        <w:rPr>
          <w:rFonts w:ascii="Arial" w:hAnsi="Arial" w:cs="Arial"/>
          <w:szCs w:val="22"/>
        </w:rPr>
        <w:t xml:space="preserve">for US economy. </w:t>
      </w:r>
      <w:r w:rsidRPr="005648AD">
        <w:rPr>
          <w:rFonts w:ascii="Arial" w:hAnsi="Arial" w:cs="Arial"/>
          <w:szCs w:val="22"/>
        </w:rPr>
        <w:t xml:space="preserve">Federal Reserve System </w:t>
      </w:r>
      <w:r w:rsidR="007A2D62" w:rsidRPr="005648AD">
        <w:rPr>
          <w:rFonts w:ascii="Arial" w:hAnsi="Arial" w:cs="Arial"/>
          <w:szCs w:val="22"/>
        </w:rPr>
        <w:t>has stepped in with a broad array of monetary policy responses to limit macroeconomic damage from the pandemic.</w:t>
      </w:r>
      <w:r w:rsidR="00FE709D" w:rsidRPr="005648AD">
        <w:rPr>
          <w:rFonts w:ascii="Arial" w:hAnsi="Arial" w:cs="Arial"/>
          <w:szCs w:val="22"/>
        </w:rPr>
        <w:t xml:space="preserve"> These include </w:t>
      </w:r>
      <w:r w:rsidR="005648AD" w:rsidRPr="005648AD">
        <w:rPr>
          <w:rFonts w:ascii="Arial" w:hAnsi="Arial" w:cs="Arial"/>
          <w:szCs w:val="22"/>
        </w:rPr>
        <w:t>–</w:t>
      </w:r>
      <w:r w:rsidR="00FE709D" w:rsidRPr="005648AD">
        <w:rPr>
          <w:rFonts w:ascii="Arial" w:hAnsi="Arial" w:cs="Arial"/>
          <w:szCs w:val="22"/>
        </w:rPr>
        <w:t xml:space="preserve"> </w:t>
      </w:r>
    </w:p>
    <w:p w14:paraId="726F2F9A" w14:textId="77777777" w:rsidR="005648AD" w:rsidRDefault="00B60FC6" w:rsidP="005648AD">
      <w:pPr>
        <w:ind w:firstLine="720"/>
        <w:rPr>
          <w:rFonts w:ascii="Arial" w:hAnsi="Arial" w:cs="Arial"/>
          <w:szCs w:val="22"/>
        </w:rPr>
      </w:pPr>
      <w:r w:rsidRPr="005648AD">
        <w:rPr>
          <w:rFonts w:ascii="Arial" w:hAnsi="Arial" w:cs="Arial"/>
          <w:szCs w:val="22"/>
        </w:rPr>
        <w:t xml:space="preserve">(a) Open market purchases: </w:t>
      </w:r>
      <w:r w:rsidRPr="005648AD">
        <w:rPr>
          <w:rFonts w:ascii="Arial" w:eastAsia="Times New Roman" w:hAnsi="Arial" w:cs="Arial"/>
          <w:szCs w:val="22"/>
          <w:lang w:bidi="ar-SA"/>
        </w:rPr>
        <w:t>On March 15, the Fed announced to buy treasury securities of at least USD 500 Billion and government-guaranteed mortgage-backed securities (MBS) of USD 200 Billion and completed buy by March 23</w:t>
      </w:r>
      <w:sdt>
        <w:sdtPr>
          <w:rPr>
            <w:rFonts w:ascii="Arial" w:eastAsia="Times New Roman" w:hAnsi="Arial" w:cs="Arial"/>
            <w:szCs w:val="22"/>
            <w:lang w:bidi="ar-SA"/>
          </w:rPr>
          <w:id w:val="831494672"/>
          <w:citation/>
        </w:sdtPr>
        <w:sdtContent>
          <w:r w:rsidR="008914F1" w:rsidRPr="005648AD">
            <w:rPr>
              <w:rFonts w:ascii="Arial" w:eastAsia="Times New Roman" w:hAnsi="Arial" w:cs="Arial"/>
              <w:szCs w:val="22"/>
              <w:lang w:bidi="ar-SA"/>
            </w:rPr>
            <w:fldChar w:fldCharType="begin"/>
          </w:r>
          <w:r w:rsidR="008914F1" w:rsidRPr="005648AD">
            <w:rPr>
              <w:rFonts w:ascii="Arial" w:eastAsia="Times New Roman" w:hAnsi="Arial" w:cs="Arial"/>
              <w:szCs w:val="22"/>
              <w:lang w:bidi="ar-SA"/>
            </w:rPr>
            <w:instrText xml:space="preserve"> CITATION Mer211 \l 1033 </w:instrText>
          </w:r>
          <w:r w:rsidR="008914F1" w:rsidRPr="005648AD">
            <w:rPr>
              <w:rFonts w:ascii="Arial" w:eastAsia="Times New Roman" w:hAnsi="Arial" w:cs="Arial"/>
              <w:szCs w:val="22"/>
              <w:lang w:bidi="ar-SA"/>
            </w:rPr>
            <w:fldChar w:fldCharType="separate"/>
          </w:r>
          <w:r w:rsidR="008914F1" w:rsidRPr="005648AD">
            <w:rPr>
              <w:rFonts w:ascii="Arial" w:eastAsia="Times New Roman" w:hAnsi="Arial" w:cs="Arial"/>
              <w:noProof/>
              <w:szCs w:val="22"/>
              <w:lang w:bidi="ar-SA"/>
            </w:rPr>
            <w:t xml:space="preserve"> (Meraw, 2021)</w:t>
          </w:r>
          <w:r w:rsidR="008914F1" w:rsidRPr="005648AD">
            <w:rPr>
              <w:rFonts w:ascii="Arial" w:eastAsia="Times New Roman" w:hAnsi="Arial" w:cs="Arial"/>
              <w:szCs w:val="22"/>
              <w:lang w:bidi="ar-SA"/>
            </w:rPr>
            <w:fldChar w:fldCharType="end"/>
          </w:r>
        </w:sdtContent>
      </w:sdt>
      <w:r w:rsidRPr="005648AD">
        <w:rPr>
          <w:rFonts w:ascii="Arial" w:eastAsia="Times New Roman" w:hAnsi="Arial" w:cs="Arial"/>
          <w:szCs w:val="22"/>
          <w:lang w:bidi="ar-SA"/>
        </w:rPr>
        <w:t>.</w:t>
      </w:r>
      <w:r w:rsidRPr="006316CF">
        <w:rPr>
          <w:rFonts w:ascii="Arial" w:eastAsia="Times New Roman" w:hAnsi="Arial" w:cs="Arial"/>
          <w:szCs w:val="22"/>
          <w:lang w:bidi="ar-SA"/>
        </w:rPr>
        <w:t xml:space="preserve"> </w:t>
      </w:r>
      <w:r w:rsidRPr="005648AD">
        <w:rPr>
          <w:rFonts w:ascii="Arial" w:eastAsia="Times New Roman" w:hAnsi="Arial" w:cs="Arial"/>
          <w:szCs w:val="22"/>
          <w:lang w:bidi="ar-SA"/>
        </w:rPr>
        <w:t>Again on June 10 it declared to buy USD 80 Billion worth treasuries and USD 40 Billion worth residential and commercial MBS within a moth.</w:t>
      </w:r>
      <w:r w:rsidRPr="006316CF">
        <w:rPr>
          <w:rFonts w:ascii="Arial" w:eastAsia="Times New Roman" w:hAnsi="Arial" w:cs="Arial"/>
          <w:szCs w:val="22"/>
          <w:lang w:bidi="ar-SA"/>
        </w:rPr>
        <w:t xml:space="preserve"> </w:t>
      </w:r>
      <w:r w:rsidRPr="005648AD">
        <w:rPr>
          <w:rFonts w:ascii="Arial" w:eastAsia="Times New Roman" w:hAnsi="Arial" w:cs="Arial"/>
          <w:szCs w:val="22"/>
          <w:lang w:bidi="ar-SA"/>
        </w:rPr>
        <w:t>Fed’s portfolio of securities grew from USD 3.9 Trillion to USD 6.6 Trillion between March to December of 2020</w:t>
      </w:r>
      <w:sdt>
        <w:sdtPr>
          <w:rPr>
            <w:rFonts w:ascii="Arial" w:eastAsia="Times New Roman" w:hAnsi="Arial" w:cs="Arial"/>
            <w:szCs w:val="22"/>
            <w:lang w:bidi="ar-SA"/>
          </w:rPr>
          <w:id w:val="-27802287"/>
          <w:citation/>
        </w:sdtPr>
        <w:sdtContent>
          <w:r w:rsidR="00444A84" w:rsidRPr="005648AD">
            <w:rPr>
              <w:rFonts w:ascii="Arial" w:eastAsia="Times New Roman" w:hAnsi="Arial" w:cs="Arial"/>
              <w:szCs w:val="22"/>
              <w:lang w:bidi="ar-SA"/>
            </w:rPr>
            <w:fldChar w:fldCharType="begin"/>
          </w:r>
          <w:r w:rsidR="00444A84" w:rsidRPr="005648AD">
            <w:rPr>
              <w:rFonts w:ascii="Arial" w:eastAsia="Times New Roman" w:hAnsi="Arial" w:cs="Arial"/>
              <w:szCs w:val="22"/>
              <w:lang w:bidi="ar-SA"/>
            </w:rPr>
            <w:instrText xml:space="preserve"> CITATION Mer211 \l 1033 </w:instrText>
          </w:r>
          <w:r w:rsidR="00444A84" w:rsidRPr="005648AD">
            <w:rPr>
              <w:rFonts w:ascii="Arial" w:eastAsia="Times New Roman" w:hAnsi="Arial" w:cs="Arial"/>
              <w:szCs w:val="22"/>
              <w:lang w:bidi="ar-SA"/>
            </w:rPr>
            <w:fldChar w:fldCharType="separate"/>
          </w:r>
          <w:r w:rsidR="00444A84" w:rsidRPr="005648AD">
            <w:rPr>
              <w:rFonts w:ascii="Arial" w:eastAsia="Times New Roman" w:hAnsi="Arial" w:cs="Arial"/>
              <w:noProof/>
              <w:szCs w:val="22"/>
              <w:lang w:bidi="ar-SA"/>
            </w:rPr>
            <w:t xml:space="preserve"> (Meraw, 2021)</w:t>
          </w:r>
          <w:r w:rsidR="00444A84" w:rsidRPr="005648AD">
            <w:rPr>
              <w:rFonts w:ascii="Arial" w:eastAsia="Times New Roman" w:hAnsi="Arial" w:cs="Arial"/>
              <w:szCs w:val="22"/>
              <w:lang w:bidi="ar-SA"/>
            </w:rPr>
            <w:fldChar w:fldCharType="end"/>
          </w:r>
        </w:sdtContent>
      </w:sdt>
      <w:r w:rsidRPr="005648AD">
        <w:rPr>
          <w:rFonts w:ascii="Arial" w:eastAsia="Times New Roman" w:hAnsi="Arial" w:cs="Arial"/>
          <w:szCs w:val="22"/>
          <w:lang w:bidi="ar-SA"/>
        </w:rPr>
        <w:t xml:space="preserve">. </w:t>
      </w:r>
      <w:r w:rsidRPr="005648AD">
        <w:rPr>
          <w:rFonts w:ascii="Arial" w:hAnsi="Arial" w:cs="Arial"/>
          <w:szCs w:val="22"/>
        </w:rPr>
        <w:t xml:space="preserve">Treasury and MBS markets have become </w:t>
      </w:r>
      <w:r w:rsidRPr="005648AD">
        <w:rPr>
          <w:rFonts w:ascii="Arial" w:eastAsia="Times New Roman" w:hAnsi="Arial" w:cs="Arial"/>
          <w:color w:val="101010"/>
          <w:szCs w:val="22"/>
        </w:rPr>
        <w:t>dysfunctional since beginning of the outbreak. Fed through its open market purchases aimed to restore smooth functioning of credit market and promote aggregate demand. Through purchasing of treasury and MBS securities it injected more money in the banking system and allowed banks and financial institutions to provide more credits.</w:t>
      </w:r>
      <w:r w:rsidRPr="005648AD">
        <w:rPr>
          <w:rFonts w:ascii="Arial" w:eastAsia="Times New Roman" w:hAnsi="Arial" w:cs="Arial"/>
          <w:szCs w:val="22"/>
          <w:lang w:bidi="ar-SA"/>
        </w:rPr>
        <w:t xml:space="preserve"> </w:t>
      </w:r>
      <w:r w:rsidRPr="005648AD">
        <w:rPr>
          <w:rFonts w:ascii="Arial" w:eastAsia="Times New Roman" w:hAnsi="Arial" w:cs="Arial"/>
          <w:color w:val="101010"/>
          <w:szCs w:val="22"/>
        </w:rPr>
        <w:t xml:space="preserve">Increased loanable funds has resulted in expansion of credits and advances, aggregate demand (business investments and consumer spending) in the economy. </w:t>
      </w:r>
    </w:p>
    <w:p w14:paraId="5C5A515E" w14:textId="77777777" w:rsidR="005648AD" w:rsidRDefault="00631305" w:rsidP="005648AD">
      <w:pPr>
        <w:ind w:firstLine="720"/>
        <w:rPr>
          <w:rFonts w:ascii="Arial" w:hAnsi="Arial" w:cs="Arial"/>
          <w:szCs w:val="22"/>
        </w:rPr>
      </w:pPr>
      <w:r w:rsidRPr="00941416">
        <w:rPr>
          <w:rFonts w:ascii="Arial" w:hAnsi="Arial" w:cs="Arial"/>
        </w:rPr>
        <w:t xml:space="preserve">(b) </w:t>
      </w:r>
      <w:r w:rsidR="00244DB2" w:rsidRPr="00941416">
        <w:rPr>
          <w:rFonts w:ascii="Arial" w:hAnsi="Arial" w:cs="Arial"/>
        </w:rPr>
        <w:t xml:space="preserve">Decreasing policy interest rate: </w:t>
      </w:r>
      <w:r w:rsidRPr="00941416">
        <w:rPr>
          <w:rFonts w:ascii="Arial" w:hAnsi="Arial" w:cs="Arial"/>
        </w:rPr>
        <w:t>The Federal Reserve lowered target federal fund rate</w:t>
      </w:r>
      <w:r w:rsidRPr="00941416">
        <w:rPr>
          <w:rStyle w:val="FootnoteReference"/>
          <w:rFonts w:ascii="Arial" w:hAnsi="Arial" w:cs="Arial"/>
        </w:rPr>
        <w:footnoteReference w:id="5"/>
      </w:r>
      <w:r w:rsidRPr="00941416">
        <w:rPr>
          <w:rFonts w:ascii="Arial" w:hAnsi="Arial" w:cs="Arial"/>
        </w:rPr>
        <w:t xml:space="preserve"> by 150 basis points and brought it to a range of 0% - 0.25% on 3 March 2020</w:t>
      </w:r>
      <w:sdt>
        <w:sdtPr>
          <w:rPr>
            <w:rFonts w:ascii="Arial" w:hAnsi="Arial" w:cs="Arial"/>
          </w:rPr>
          <w:id w:val="-1859568647"/>
          <w:citation/>
        </w:sdtPr>
        <w:sdtContent>
          <w:r w:rsidR="00034DB6" w:rsidRPr="00941416">
            <w:rPr>
              <w:rFonts w:ascii="Arial" w:hAnsi="Arial" w:cs="Arial"/>
            </w:rPr>
            <w:fldChar w:fldCharType="begin"/>
          </w:r>
          <w:r w:rsidR="00034DB6" w:rsidRPr="00941416">
            <w:rPr>
              <w:rFonts w:ascii="Arial" w:hAnsi="Arial" w:cs="Arial"/>
            </w:rPr>
            <w:instrText xml:space="preserve"> CITATION Hus20 \l 1033 </w:instrText>
          </w:r>
          <w:r w:rsidR="00034DB6" w:rsidRPr="00941416">
            <w:rPr>
              <w:rFonts w:ascii="Arial" w:hAnsi="Arial" w:cs="Arial"/>
            </w:rPr>
            <w:fldChar w:fldCharType="separate"/>
          </w:r>
          <w:r w:rsidR="00034DB6" w:rsidRPr="00941416">
            <w:rPr>
              <w:rFonts w:ascii="Arial" w:hAnsi="Arial" w:cs="Arial"/>
              <w:noProof/>
            </w:rPr>
            <w:t xml:space="preserve"> (Hussain, 2020)</w:t>
          </w:r>
          <w:r w:rsidR="00034DB6" w:rsidRPr="00941416">
            <w:rPr>
              <w:rFonts w:ascii="Arial" w:hAnsi="Arial" w:cs="Arial"/>
            </w:rPr>
            <w:fldChar w:fldCharType="end"/>
          </w:r>
        </w:sdtContent>
      </w:sdt>
      <w:r w:rsidRPr="00941416">
        <w:rPr>
          <w:rFonts w:ascii="Arial" w:hAnsi="Arial" w:cs="Arial"/>
        </w:rPr>
        <w:t xml:space="preserve">. Lowering of the federal fund rate cased to reduced cost of borrowing (mortgages, auto loans, home loans, and other loans) and reduced the market interest rate. Reduced market interest rate has expanded overnight and term REPOs, discount window lending, SWAP lines, </w:t>
      </w:r>
      <w:r w:rsidRPr="00941416">
        <w:rPr>
          <w:rFonts w:ascii="Arial" w:hAnsi="Arial" w:cs="Arial"/>
        </w:rPr>
        <w:t xml:space="preserve">and more maturity FX operations, </w:t>
      </w:r>
      <w:r w:rsidRPr="00941416">
        <w:rPr>
          <w:rFonts w:ascii="Arial" w:hAnsi="Arial" w:cs="Arial"/>
        </w:rPr>
        <w:t>and helped to inject more loans and advances in the economy</w:t>
      </w:r>
      <w:sdt>
        <w:sdtPr>
          <w:rPr>
            <w:rFonts w:ascii="Arial" w:hAnsi="Arial" w:cs="Arial"/>
          </w:rPr>
          <w:id w:val="174381443"/>
          <w:citation/>
        </w:sdtPr>
        <w:sdtContent>
          <w:r w:rsidR="00034DB6" w:rsidRPr="00941416">
            <w:rPr>
              <w:rFonts w:ascii="Arial" w:hAnsi="Arial" w:cs="Arial"/>
            </w:rPr>
            <w:fldChar w:fldCharType="begin"/>
          </w:r>
          <w:r w:rsidR="00034DB6" w:rsidRPr="00941416">
            <w:rPr>
              <w:rFonts w:ascii="Arial" w:hAnsi="Arial" w:cs="Arial"/>
            </w:rPr>
            <w:instrText xml:space="preserve"> CITATION Int21 \l 1033 </w:instrText>
          </w:r>
          <w:r w:rsidR="00034DB6" w:rsidRPr="00941416">
            <w:rPr>
              <w:rFonts w:ascii="Arial" w:hAnsi="Arial" w:cs="Arial"/>
            </w:rPr>
            <w:fldChar w:fldCharType="separate"/>
          </w:r>
          <w:r w:rsidR="00034DB6" w:rsidRPr="00941416">
            <w:rPr>
              <w:rFonts w:ascii="Arial" w:hAnsi="Arial" w:cs="Arial"/>
              <w:noProof/>
            </w:rPr>
            <w:t xml:space="preserve"> (International Monetary Fund, 2021)</w:t>
          </w:r>
          <w:r w:rsidR="00034DB6" w:rsidRPr="00941416">
            <w:rPr>
              <w:rFonts w:ascii="Arial" w:hAnsi="Arial" w:cs="Arial"/>
            </w:rPr>
            <w:fldChar w:fldCharType="end"/>
          </w:r>
        </w:sdtContent>
      </w:sdt>
      <w:r w:rsidRPr="00941416">
        <w:rPr>
          <w:rFonts w:ascii="Arial" w:hAnsi="Arial" w:cs="Arial"/>
        </w:rPr>
        <w:t>. This in-turn has helped to increase business investments and consumer spending (attributed by more borrowing by businesses and consumers).</w:t>
      </w:r>
    </w:p>
    <w:p w14:paraId="277C6E9A" w14:textId="77777777" w:rsidR="005648AD" w:rsidRDefault="00C76D12" w:rsidP="005648AD">
      <w:pPr>
        <w:ind w:firstLine="720"/>
        <w:rPr>
          <w:rFonts w:ascii="Arial" w:hAnsi="Arial" w:cs="Arial"/>
          <w:szCs w:val="22"/>
        </w:rPr>
      </w:pPr>
      <w:r w:rsidRPr="00941416">
        <w:rPr>
          <w:rFonts w:ascii="Arial" w:hAnsi="Arial" w:cs="Arial"/>
        </w:rPr>
        <w:t>(c) Introducing programs and facilities: The Fed introduced many facilities for banks and financial institutions to support credit flow in the market. These facilities include (i) CPFF</w:t>
      </w:r>
      <w:r w:rsidRPr="00941416">
        <w:rPr>
          <w:rStyle w:val="FootnoteReference"/>
          <w:rFonts w:ascii="Arial" w:hAnsi="Arial" w:cs="Arial"/>
        </w:rPr>
        <w:footnoteReference w:id="6"/>
      </w:r>
      <w:r w:rsidRPr="00941416">
        <w:rPr>
          <w:rFonts w:ascii="Arial" w:hAnsi="Arial" w:cs="Arial"/>
        </w:rPr>
        <w:t xml:space="preserve"> to facilitate issuance of commercial securities by companies and municipal users, (ii) PDCF</w:t>
      </w:r>
      <w:r w:rsidRPr="00941416">
        <w:rPr>
          <w:rStyle w:val="FootnoteReference"/>
          <w:rFonts w:ascii="Arial" w:hAnsi="Arial" w:cs="Arial"/>
        </w:rPr>
        <w:footnoteReference w:id="7"/>
      </w:r>
      <w:r w:rsidRPr="00941416">
        <w:rPr>
          <w:rFonts w:ascii="Arial" w:hAnsi="Arial" w:cs="Arial"/>
        </w:rPr>
        <w:t xml:space="preserve"> to provide credits, collateralized by investment grade securities, to primary dealers, (iii) MMLF</w:t>
      </w:r>
      <w:r w:rsidRPr="00941416">
        <w:rPr>
          <w:rStyle w:val="FootnoteReference"/>
          <w:rFonts w:ascii="Arial" w:hAnsi="Arial" w:cs="Arial"/>
        </w:rPr>
        <w:footnoteReference w:id="8"/>
      </w:r>
      <w:r w:rsidRPr="00941416">
        <w:rPr>
          <w:rFonts w:ascii="Arial" w:hAnsi="Arial" w:cs="Arial"/>
        </w:rPr>
        <w:t xml:space="preserve"> to provide credits to depository institutions for purchasing assets from prime money market funds, (iv) PMCCF</w:t>
      </w:r>
      <w:r w:rsidRPr="00941416">
        <w:rPr>
          <w:rStyle w:val="FootnoteReference"/>
          <w:rFonts w:ascii="Arial" w:hAnsi="Arial" w:cs="Arial"/>
        </w:rPr>
        <w:footnoteReference w:id="9"/>
      </w:r>
      <w:r w:rsidRPr="00941416">
        <w:rPr>
          <w:rFonts w:ascii="Arial" w:hAnsi="Arial" w:cs="Arial"/>
        </w:rPr>
        <w:t xml:space="preserve"> to purchase new bonds from companies, (v) SMCCF</w:t>
      </w:r>
      <w:r w:rsidRPr="00941416">
        <w:rPr>
          <w:rStyle w:val="FootnoteReference"/>
          <w:rFonts w:ascii="Arial" w:hAnsi="Arial" w:cs="Arial"/>
        </w:rPr>
        <w:footnoteReference w:id="10"/>
      </w:r>
      <w:r w:rsidRPr="00941416">
        <w:rPr>
          <w:rFonts w:ascii="Arial" w:hAnsi="Arial" w:cs="Arial"/>
        </w:rPr>
        <w:t xml:space="preserve"> to </w:t>
      </w:r>
      <w:r w:rsidRPr="00941416">
        <w:rPr>
          <w:rFonts w:ascii="Arial" w:hAnsi="Arial" w:cs="Arial"/>
        </w:rPr>
        <w:lastRenderedPageBreak/>
        <w:t>provide liquidity for outstanding corporate bonds, (vi) TASLF</w:t>
      </w:r>
      <w:r w:rsidRPr="00941416">
        <w:rPr>
          <w:rStyle w:val="FootnoteReference"/>
          <w:rFonts w:ascii="Arial" w:hAnsi="Arial" w:cs="Arial"/>
        </w:rPr>
        <w:footnoteReference w:id="11"/>
      </w:r>
      <w:r w:rsidRPr="00941416">
        <w:rPr>
          <w:rFonts w:ascii="Arial" w:hAnsi="Arial" w:cs="Arial"/>
        </w:rPr>
        <w:t xml:space="preserve"> to enable the issuance of ABS backed by credit card loans, student loans, auto loan, and others, (vii) PPPLF</w:t>
      </w:r>
      <w:r w:rsidRPr="00941416">
        <w:rPr>
          <w:rStyle w:val="FootnoteReference"/>
          <w:rFonts w:ascii="Arial" w:hAnsi="Arial" w:cs="Arial"/>
        </w:rPr>
        <w:footnoteReference w:id="12"/>
      </w:r>
      <w:r w:rsidRPr="00941416">
        <w:rPr>
          <w:rFonts w:ascii="Arial" w:hAnsi="Arial" w:cs="Arial"/>
        </w:rPr>
        <w:t xml:space="preserve"> to provide liquidity financial institutions that originate credits and advances under PPP</w:t>
      </w:r>
      <w:r w:rsidRPr="00941416">
        <w:rPr>
          <w:rStyle w:val="FootnoteReference"/>
          <w:rFonts w:ascii="Arial" w:hAnsi="Arial" w:cs="Arial"/>
        </w:rPr>
        <w:footnoteReference w:id="13"/>
      </w:r>
      <w:r w:rsidRPr="00941416">
        <w:rPr>
          <w:rFonts w:ascii="Arial" w:hAnsi="Arial" w:cs="Arial"/>
        </w:rPr>
        <w:t xml:space="preserve"> of Small Business Administration, (viii) MSLP</w:t>
      </w:r>
      <w:r w:rsidRPr="00941416">
        <w:rPr>
          <w:rStyle w:val="FootnoteReference"/>
          <w:rFonts w:ascii="Arial" w:hAnsi="Arial" w:cs="Arial"/>
        </w:rPr>
        <w:footnoteReference w:id="14"/>
      </w:r>
      <w:r w:rsidRPr="00941416">
        <w:rPr>
          <w:rFonts w:ascii="Arial" w:hAnsi="Arial" w:cs="Arial"/>
        </w:rPr>
        <w:t xml:space="preserve"> to purchase new or expanded loans to small and mid-sized businesses, and (x) MLF</w:t>
      </w:r>
      <w:r w:rsidRPr="00941416">
        <w:rPr>
          <w:rStyle w:val="FootnoteReference"/>
          <w:rFonts w:ascii="Arial" w:hAnsi="Arial" w:cs="Arial"/>
        </w:rPr>
        <w:footnoteReference w:id="15"/>
      </w:r>
      <w:r w:rsidRPr="00941416">
        <w:rPr>
          <w:rFonts w:ascii="Arial" w:hAnsi="Arial" w:cs="Arial"/>
        </w:rPr>
        <w:t xml:space="preserve"> to purchase short-term notes directly from state and local governments</w:t>
      </w:r>
      <w:sdt>
        <w:sdtPr>
          <w:rPr>
            <w:rFonts w:ascii="Arial" w:hAnsi="Arial" w:cs="Arial"/>
          </w:rPr>
          <w:id w:val="-724753272"/>
          <w:citation/>
        </w:sdtPr>
        <w:sdtContent>
          <w:r w:rsidR="00034DB6" w:rsidRPr="00941416">
            <w:rPr>
              <w:rFonts w:ascii="Arial" w:hAnsi="Arial" w:cs="Arial"/>
            </w:rPr>
            <w:fldChar w:fldCharType="begin"/>
          </w:r>
          <w:r w:rsidR="00034DB6" w:rsidRPr="00941416">
            <w:rPr>
              <w:rFonts w:ascii="Arial" w:hAnsi="Arial" w:cs="Arial"/>
            </w:rPr>
            <w:instrText xml:space="preserve"> CITATION Int21 \l 1033 </w:instrText>
          </w:r>
          <w:r w:rsidR="00034DB6" w:rsidRPr="00941416">
            <w:rPr>
              <w:rFonts w:ascii="Arial" w:hAnsi="Arial" w:cs="Arial"/>
            </w:rPr>
            <w:fldChar w:fldCharType="separate"/>
          </w:r>
          <w:r w:rsidR="00034DB6" w:rsidRPr="00941416">
            <w:rPr>
              <w:rFonts w:ascii="Arial" w:hAnsi="Arial" w:cs="Arial"/>
              <w:noProof/>
            </w:rPr>
            <w:t xml:space="preserve"> (International Monetary Fund, 2021)</w:t>
          </w:r>
          <w:r w:rsidR="00034DB6" w:rsidRPr="00941416">
            <w:rPr>
              <w:rFonts w:ascii="Arial" w:hAnsi="Arial" w:cs="Arial"/>
            </w:rPr>
            <w:fldChar w:fldCharType="end"/>
          </w:r>
        </w:sdtContent>
      </w:sdt>
      <w:r w:rsidRPr="00941416">
        <w:rPr>
          <w:rFonts w:ascii="Arial" w:hAnsi="Arial" w:cs="Arial"/>
        </w:rPr>
        <w:t xml:space="preserve">. These facilities have enabled banks and financial institutions to increase credits and advances flows and recover businesses confidences. </w:t>
      </w:r>
    </w:p>
    <w:p w14:paraId="02D36A95" w14:textId="6BABDA31" w:rsidR="00A001C0" w:rsidRPr="005648AD" w:rsidRDefault="009D6BED" w:rsidP="005648AD">
      <w:pPr>
        <w:ind w:firstLine="720"/>
        <w:rPr>
          <w:rFonts w:ascii="Arial" w:hAnsi="Arial" w:cs="Arial"/>
          <w:szCs w:val="22"/>
        </w:rPr>
      </w:pPr>
      <w:r w:rsidRPr="00941416">
        <w:rPr>
          <w:rFonts w:ascii="Arial" w:eastAsia="Times New Roman" w:hAnsi="Arial" w:cs="Arial"/>
          <w:sz w:val="24"/>
          <w:szCs w:val="24"/>
        </w:rPr>
        <w:t>(d) Supervisory actions: The Fed has encouraged depository institutions to utilize capital and liquidity buffers for lending and work constructively with borrowers (affected by COVID-19).</w:t>
      </w:r>
      <w:r w:rsidRPr="00082D5E">
        <w:rPr>
          <w:rFonts w:ascii="Arial" w:eastAsia="Times New Roman" w:hAnsi="Arial" w:cs="Arial"/>
          <w:sz w:val="24"/>
          <w:szCs w:val="24"/>
        </w:rPr>
        <w:t xml:space="preserve"> </w:t>
      </w:r>
      <w:r w:rsidRPr="00941416">
        <w:rPr>
          <w:rFonts w:ascii="Arial" w:eastAsia="Times New Roman" w:hAnsi="Arial" w:cs="Arial"/>
          <w:sz w:val="24"/>
          <w:szCs w:val="24"/>
        </w:rPr>
        <w:t>Other actions include offering regulatory reporting relief and non-classification of troubled debt restructuring.</w:t>
      </w:r>
      <w:r w:rsidRPr="00082D5E">
        <w:rPr>
          <w:rFonts w:ascii="Arial" w:eastAsia="Times New Roman" w:hAnsi="Arial" w:cs="Arial"/>
          <w:sz w:val="24"/>
          <w:szCs w:val="24"/>
        </w:rPr>
        <w:t xml:space="preserve"> </w:t>
      </w:r>
      <w:r w:rsidRPr="00941416">
        <w:rPr>
          <w:rFonts w:ascii="Arial" w:eastAsia="Times New Roman" w:hAnsi="Arial" w:cs="Arial"/>
          <w:sz w:val="24"/>
          <w:szCs w:val="24"/>
        </w:rPr>
        <w:t>These have helped to protect the credit market from moving to a critical situation during an economic crisis caused by pandemic.</w:t>
      </w:r>
      <w:r w:rsidRPr="00082D5E">
        <w:rPr>
          <w:rFonts w:ascii="Arial" w:eastAsia="Times New Roman" w:hAnsi="Arial" w:cs="Arial"/>
          <w:sz w:val="24"/>
          <w:szCs w:val="24"/>
        </w:rPr>
        <w:t xml:space="preserve"> </w:t>
      </w:r>
    </w:p>
    <w:p w14:paraId="0C83F85C" w14:textId="41D7F0BF" w:rsidR="00A001C0" w:rsidRPr="00941416" w:rsidRDefault="00A001C0" w:rsidP="00A001C0">
      <w:pPr>
        <w:jc w:val="center"/>
        <w:rPr>
          <w:rFonts w:ascii="Arial" w:hAnsi="Arial" w:cs="Arial"/>
          <w:b/>
          <w:bCs/>
          <w:color w:val="2E74B5" w:themeColor="accent5" w:themeShade="BF"/>
        </w:rPr>
      </w:pPr>
      <w:r w:rsidRPr="00941416">
        <w:rPr>
          <w:rFonts w:ascii="Arial" w:hAnsi="Arial" w:cs="Arial"/>
          <w:b/>
          <w:bCs/>
          <w:color w:val="2E74B5" w:themeColor="accent5" w:themeShade="BF"/>
        </w:rPr>
        <w:t xml:space="preserve">Conclusion </w:t>
      </w:r>
    </w:p>
    <w:p w14:paraId="2730467D" w14:textId="732363B1" w:rsidR="00941416" w:rsidRPr="005648AD" w:rsidRDefault="00941416" w:rsidP="005648AD">
      <w:pPr>
        <w:ind w:firstLine="720"/>
        <w:rPr>
          <w:rFonts w:ascii="Arial" w:hAnsi="Arial" w:cs="Arial"/>
          <w:szCs w:val="22"/>
        </w:rPr>
        <w:sectPr w:rsidR="00941416" w:rsidRPr="005648AD" w:rsidSect="00941416">
          <w:headerReference w:type="default" r:id="rId8"/>
          <w:footerReference w:type="default" r:id="rId9"/>
          <w:pgSz w:w="11904" w:h="16840"/>
          <w:pgMar w:top="1440" w:right="1440" w:bottom="1440" w:left="1440" w:header="180" w:footer="720" w:gutter="0"/>
          <w:cols w:space="720"/>
          <w:docGrid w:linePitch="299"/>
        </w:sectPr>
      </w:pPr>
      <w:r w:rsidRPr="005648AD">
        <w:rPr>
          <w:rFonts w:ascii="Arial" w:hAnsi="Arial" w:cs="Arial"/>
          <w:szCs w:val="22"/>
        </w:rPr>
        <w:t>Monetary policy responses of the Fed to limit macroeconomic damage from the pandemic include open market purchases (purchases of treasury securities and MBS), lowering of market policy interest rate (lowering target federal fund rate by 150 basis points), Introducing programs and facilities (CPFF, PDCF, MMLF, PMCCF, SMCCF, TASLF, PPPLF, MSLP, and MLF), and  supervisory actions  (</w:t>
      </w:r>
      <w:r w:rsidRPr="005648AD">
        <w:rPr>
          <w:rFonts w:ascii="Arial" w:eastAsia="Times New Roman" w:hAnsi="Arial" w:cs="Arial"/>
          <w:szCs w:val="22"/>
        </w:rPr>
        <w:t>encouraging to utilize capital and liquidity buffers for lending and work constructively with borrowers, offering regulatory reporting relief, allowing non-classification of troubled debt restructuring)</w:t>
      </w:r>
    </w:p>
    <w:p w14:paraId="431E0E9D" w14:textId="77777777" w:rsidR="005648AD" w:rsidRPr="005648AD" w:rsidRDefault="005648AD" w:rsidP="00A001C0">
      <w:pPr>
        <w:rPr>
          <w:rFonts w:ascii="Arial" w:hAnsi="Arial" w:cs="Arial"/>
          <w:sz w:val="2"/>
          <w:szCs w:val="2"/>
        </w:rPr>
      </w:pPr>
    </w:p>
    <w:sdt>
      <w:sdtPr>
        <w:rPr>
          <w:rFonts w:ascii="Arial" w:eastAsiaTheme="minorHAnsi" w:hAnsi="Arial" w:cs="Arial"/>
          <w:color w:val="auto"/>
          <w:sz w:val="22"/>
          <w:szCs w:val="28"/>
          <w:lang w:bidi="bn-BD"/>
        </w:rPr>
        <w:id w:val="1798255668"/>
        <w:docPartObj>
          <w:docPartGallery w:val="Bibliographies"/>
          <w:docPartUnique/>
        </w:docPartObj>
      </w:sdtPr>
      <w:sdtEndPr/>
      <w:sdtContent>
        <w:p w14:paraId="22C3BB12" w14:textId="4FA48272" w:rsidR="00D00D1B" w:rsidRPr="00941416" w:rsidRDefault="00D00D1B" w:rsidP="00D00D1B">
          <w:pPr>
            <w:pStyle w:val="Heading1"/>
            <w:jc w:val="center"/>
            <w:rPr>
              <w:rFonts w:ascii="Arial" w:hAnsi="Arial" w:cs="Arial"/>
              <w:b/>
              <w:bCs/>
              <w:color w:val="2E74B5" w:themeColor="accent5" w:themeShade="BF"/>
              <w:sz w:val="24"/>
              <w:szCs w:val="24"/>
            </w:rPr>
          </w:pPr>
          <w:r w:rsidRPr="00941416">
            <w:rPr>
              <w:rFonts w:ascii="Arial" w:hAnsi="Arial" w:cs="Arial"/>
              <w:b/>
              <w:bCs/>
              <w:color w:val="2E74B5" w:themeColor="accent5" w:themeShade="BF"/>
              <w:sz w:val="24"/>
              <w:szCs w:val="24"/>
            </w:rPr>
            <w:t>References</w:t>
          </w:r>
        </w:p>
        <w:p w14:paraId="752D33E4" w14:textId="77777777" w:rsidR="00D00D1B" w:rsidRPr="00941416" w:rsidRDefault="00D00D1B" w:rsidP="00D00D1B">
          <w:pPr>
            <w:rPr>
              <w:rFonts w:ascii="Arial" w:hAnsi="Arial" w:cs="Arial"/>
              <w:sz w:val="10"/>
              <w:szCs w:val="10"/>
              <w:lang w:bidi="ar-SA"/>
            </w:rPr>
          </w:pPr>
        </w:p>
        <w:sdt>
          <w:sdtPr>
            <w:rPr>
              <w:rFonts w:ascii="Arial" w:hAnsi="Arial" w:cs="Arial"/>
              <w:szCs w:val="22"/>
            </w:rPr>
            <w:id w:val="-573587230"/>
            <w:bibliography/>
          </w:sdtPr>
          <w:sdtEndPr>
            <w:rPr>
              <w:szCs w:val="28"/>
            </w:rPr>
          </w:sdtEndPr>
          <w:sdtContent>
            <w:p w14:paraId="6BA0F7C6" w14:textId="0116DE0C" w:rsidR="00D00D1B" w:rsidRPr="00941416" w:rsidRDefault="00D00D1B" w:rsidP="00D00D1B">
              <w:pPr>
                <w:pStyle w:val="Bibliography"/>
                <w:ind w:left="720" w:hanging="720"/>
                <w:rPr>
                  <w:rFonts w:ascii="Arial" w:hAnsi="Arial" w:cs="Arial"/>
                  <w:noProof/>
                  <w:szCs w:val="22"/>
                </w:rPr>
              </w:pPr>
              <w:r w:rsidRPr="00941416">
                <w:rPr>
                  <w:rFonts w:ascii="Arial" w:hAnsi="Arial" w:cs="Arial"/>
                  <w:szCs w:val="22"/>
                </w:rPr>
                <w:fldChar w:fldCharType="begin"/>
              </w:r>
              <w:r w:rsidRPr="00941416">
                <w:rPr>
                  <w:rFonts w:ascii="Arial" w:hAnsi="Arial" w:cs="Arial"/>
                  <w:szCs w:val="22"/>
                </w:rPr>
                <w:instrText xml:space="preserve"> BIBLIOGRAPHY </w:instrText>
              </w:r>
              <w:r w:rsidRPr="00941416">
                <w:rPr>
                  <w:rFonts w:ascii="Arial" w:hAnsi="Arial" w:cs="Arial"/>
                  <w:szCs w:val="22"/>
                </w:rPr>
                <w:fldChar w:fldCharType="separate"/>
              </w:r>
              <w:r w:rsidRPr="00941416">
                <w:rPr>
                  <w:rFonts w:ascii="Arial" w:hAnsi="Arial" w:cs="Arial"/>
                  <w:noProof/>
                  <w:szCs w:val="22"/>
                </w:rPr>
                <w:t>Boyes, W., &amp; Melvin, S</w:t>
              </w:r>
              <w:r w:rsidRPr="00941416">
                <w:rPr>
                  <w:rFonts w:ascii="Arial" w:hAnsi="Arial" w:cs="Arial"/>
                  <w:noProof/>
                  <w:szCs w:val="22"/>
                  <w:cs/>
                </w:rPr>
                <w:t>‎</w:t>
              </w:r>
              <w:r w:rsidRPr="00941416">
                <w:rPr>
                  <w:rFonts w:ascii="Arial" w:hAnsi="Arial" w:cs="Arial"/>
                  <w:noProof/>
                  <w:szCs w:val="22"/>
                </w:rPr>
                <w:t xml:space="preserve">. (2015). </w:t>
              </w:r>
              <w:r w:rsidRPr="00941416">
                <w:rPr>
                  <w:rFonts w:ascii="Arial" w:hAnsi="Arial" w:cs="Arial"/>
                  <w:i/>
                  <w:iCs/>
                  <w:noProof/>
                  <w:szCs w:val="22"/>
                </w:rPr>
                <w:t>Macroeconomics.</w:t>
              </w:r>
              <w:r w:rsidRPr="00941416">
                <w:rPr>
                  <w:rFonts w:ascii="Arial" w:hAnsi="Arial" w:cs="Arial"/>
                  <w:noProof/>
                  <w:szCs w:val="22"/>
                </w:rPr>
                <w:t xml:space="preserve"> Boston, Massachusetts, United States: Cengage Learning Edition .</w:t>
              </w:r>
            </w:p>
            <w:p w14:paraId="194E53F4" w14:textId="77777777" w:rsidR="00D00D1B" w:rsidRPr="00941416" w:rsidRDefault="00D00D1B" w:rsidP="00D00D1B">
              <w:pPr>
                <w:pStyle w:val="Bibliography"/>
                <w:ind w:left="720" w:hanging="720"/>
                <w:rPr>
                  <w:rFonts w:ascii="Arial" w:hAnsi="Arial" w:cs="Arial"/>
                  <w:noProof/>
                  <w:szCs w:val="22"/>
                </w:rPr>
              </w:pPr>
              <w:r w:rsidRPr="00941416">
                <w:rPr>
                  <w:rFonts w:ascii="Arial" w:hAnsi="Arial" w:cs="Arial"/>
                  <w:noProof/>
                  <w:szCs w:val="22"/>
                </w:rPr>
                <w:t xml:space="preserve">Bullard, J. (2020, November 10). </w:t>
              </w:r>
              <w:r w:rsidRPr="00941416">
                <w:rPr>
                  <w:rFonts w:ascii="Arial" w:hAnsi="Arial" w:cs="Arial"/>
                  <w:i/>
                  <w:iCs/>
                  <w:noProof/>
                  <w:szCs w:val="22"/>
                </w:rPr>
                <w:t>Federal Reserve Bank of ST. LOUIS</w:t>
              </w:r>
              <w:r w:rsidRPr="00941416">
                <w:rPr>
                  <w:rFonts w:ascii="Arial" w:hAnsi="Arial" w:cs="Arial"/>
                  <w:noProof/>
                  <w:szCs w:val="22"/>
                </w:rPr>
                <w:t>. Retrieved March 26, 2021, from Monetary Policy and Fiscal Policy Responses to the COVID-19 Crisis: https://www.stlouisfed.org/publications/regional-economist/fourth-quarter-2020/monetary-policy-fiscal-policy-responses-covid-crisis</w:t>
              </w:r>
            </w:p>
            <w:p w14:paraId="6CF77634" w14:textId="752B1427" w:rsidR="00D00D1B" w:rsidRPr="00941416" w:rsidRDefault="00D00D1B" w:rsidP="00D00D1B">
              <w:pPr>
                <w:pStyle w:val="Bibliography"/>
                <w:ind w:left="720" w:hanging="720"/>
                <w:rPr>
                  <w:rFonts w:ascii="Arial" w:hAnsi="Arial" w:cs="Arial"/>
                  <w:noProof/>
                  <w:szCs w:val="22"/>
                </w:rPr>
              </w:pPr>
              <w:r w:rsidRPr="00941416">
                <w:rPr>
                  <w:rFonts w:ascii="Arial" w:hAnsi="Arial" w:cs="Arial"/>
                  <w:noProof/>
                  <w:szCs w:val="22"/>
                </w:rPr>
                <w:t xml:space="preserve">Dornbusch, R., Fischer, </w:t>
              </w:r>
              <w:r w:rsidRPr="00941416">
                <w:rPr>
                  <w:rFonts w:ascii="Arial" w:hAnsi="Arial" w:cs="Arial"/>
                  <w:noProof/>
                  <w:szCs w:val="22"/>
                  <w:cs/>
                </w:rPr>
                <w:t>‎</w:t>
              </w:r>
              <w:r w:rsidRPr="00941416">
                <w:rPr>
                  <w:rFonts w:ascii="Arial" w:hAnsi="Arial" w:cs="Arial"/>
                  <w:noProof/>
                  <w:szCs w:val="22"/>
                </w:rPr>
                <w:t>T., &amp; Startz, S</w:t>
              </w:r>
              <w:r w:rsidRPr="00941416">
                <w:rPr>
                  <w:rFonts w:ascii="Arial" w:hAnsi="Arial" w:cs="Arial"/>
                  <w:noProof/>
                  <w:szCs w:val="22"/>
                  <w:cs/>
                </w:rPr>
                <w:t>‎</w:t>
              </w:r>
              <w:r w:rsidRPr="00941416">
                <w:rPr>
                  <w:rFonts w:ascii="Arial" w:hAnsi="Arial" w:cs="Arial"/>
                  <w:noProof/>
                  <w:szCs w:val="22"/>
                </w:rPr>
                <w:t xml:space="preserve">. (2017). </w:t>
              </w:r>
              <w:r w:rsidRPr="00941416">
                <w:rPr>
                  <w:rFonts w:ascii="Arial" w:hAnsi="Arial" w:cs="Arial"/>
                  <w:i/>
                  <w:iCs/>
                  <w:noProof/>
                  <w:szCs w:val="22"/>
                </w:rPr>
                <w:t>Macroeconomics.</w:t>
              </w:r>
              <w:r w:rsidRPr="00941416">
                <w:rPr>
                  <w:rFonts w:ascii="Arial" w:hAnsi="Arial" w:cs="Arial"/>
                  <w:noProof/>
                  <w:szCs w:val="22"/>
                </w:rPr>
                <w:t xml:space="preserve"> Pennsylvania Plaza, New York City, United States: McGraw-Hill Education.</w:t>
              </w:r>
            </w:p>
            <w:p w14:paraId="6C7E9C6D" w14:textId="76049565" w:rsidR="00D00D1B" w:rsidRPr="00941416" w:rsidRDefault="00D00D1B" w:rsidP="00D00D1B">
              <w:pPr>
                <w:pStyle w:val="Bibliography"/>
                <w:ind w:left="720" w:hanging="720"/>
                <w:rPr>
                  <w:rFonts w:ascii="Arial" w:hAnsi="Arial" w:cs="Arial"/>
                  <w:noProof/>
                  <w:szCs w:val="22"/>
                </w:rPr>
              </w:pPr>
              <w:r w:rsidRPr="00941416">
                <w:rPr>
                  <w:rFonts w:ascii="Arial" w:hAnsi="Arial" w:cs="Arial"/>
                  <w:noProof/>
                  <w:szCs w:val="22"/>
                </w:rPr>
                <w:t>Greenlaw, S. A., Shapiro, L</w:t>
              </w:r>
              <w:r w:rsidRPr="00941416">
                <w:rPr>
                  <w:rFonts w:ascii="Arial" w:hAnsi="Arial" w:cs="Arial"/>
                  <w:noProof/>
                  <w:szCs w:val="22"/>
                  <w:cs/>
                </w:rPr>
                <w:t>‎</w:t>
              </w:r>
              <w:r w:rsidRPr="00941416">
                <w:rPr>
                  <w:rFonts w:ascii="Arial" w:hAnsi="Arial" w:cs="Arial"/>
                  <w:noProof/>
                  <w:szCs w:val="22"/>
                </w:rPr>
                <w:t xml:space="preserve">., &amp; Taylor, </w:t>
              </w:r>
              <w:r w:rsidRPr="00941416">
                <w:rPr>
                  <w:rFonts w:ascii="Arial" w:hAnsi="Arial" w:cs="Arial"/>
                  <w:noProof/>
                  <w:szCs w:val="22"/>
                  <w:cs/>
                </w:rPr>
                <w:t>‎</w:t>
              </w:r>
              <w:r w:rsidRPr="00941416">
                <w:rPr>
                  <w:rFonts w:ascii="Arial" w:hAnsi="Arial" w:cs="Arial"/>
                  <w:noProof/>
                  <w:szCs w:val="22"/>
                </w:rPr>
                <w:t xml:space="preserve">S. (2017). </w:t>
              </w:r>
              <w:r w:rsidRPr="00941416">
                <w:rPr>
                  <w:rFonts w:ascii="Arial" w:hAnsi="Arial" w:cs="Arial"/>
                  <w:i/>
                  <w:iCs/>
                  <w:noProof/>
                  <w:szCs w:val="22"/>
                </w:rPr>
                <w:t>Principles of Microeconomics (Second Edition) .</w:t>
              </w:r>
              <w:r w:rsidRPr="00941416">
                <w:rPr>
                  <w:rFonts w:ascii="Arial" w:hAnsi="Arial" w:cs="Arial"/>
                  <w:noProof/>
                  <w:szCs w:val="22"/>
                </w:rPr>
                <w:t xml:space="preserve"> 6100 Main Street MS-375. Houston, United States : OpenStax.</w:t>
              </w:r>
            </w:p>
            <w:p w14:paraId="50440565" w14:textId="77777777" w:rsidR="00D00D1B" w:rsidRPr="00941416" w:rsidRDefault="00D00D1B" w:rsidP="00D00D1B">
              <w:pPr>
                <w:pStyle w:val="Bibliography"/>
                <w:ind w:left="720" w:hanging="720"/>
                <w:rPr>
                  <w:rFonts w:ascii="Arial" w:hAnsi="Arial" w:cs="Arial"/>
                  <w:noProof/>
                  <w:szCs w:val="22"/>
                </w:rPr>
              </w:pPr>
              <w:r w:rsidRPr="00941416">
                <w:rPr>
                  <w:rFonts w:ascii="Arial" w:hAnsi="Arial" w:cs="Arial"/>
                  <w:noProof/>
                  <w:szCs w:val="22"/>
                </w:rPr>
                <w:t xml:space="preserve">Hussain, A. (2020, October 6). </w:t>
              </w:r>
              <w:r w:rsidRPr="00941416">
                <w:rPr>
                  <w:rFonts w:ascii="Arial" w:hAnsi="Arial" w:cs="Arial"/>
                  <w:i/>
                  <w:iCs/>
                  <w:noProof/>
                  <w:szCs w:val="22"/>
                </w:rPr>
                <w:t>Business Insider</w:t>
              </w:r>
              <w:r w:rsidRPr="00941416">
                <w:rPr>
                  <w:rFonts w:ascii="Arial" w:hAnsi="Arial" w:cs="Arial"/>
                  <w:noProof/>
                  <w:szCs w:val="22"/>
                </w:rPr>
                <w:t>. Retrieved March 26, 2021, from How the Federal Reserve uses expansionary monetary policy to stimulate growth during an economic downturn: https://www.businessinsider.com/what-is-expansionary-monetary-policy</w:t>
              </w:r>
            </w:p>
            <w:p w14:paraId="5C8FE103" w14:textId="77777777" w:rsidR="00D00D1B" w:rsidRPr="00941416" w:rsidRDefault="00D00D1B" w:rsidP="00D00D1B">
              <w:pPr>
                <w:pStyle w:val="Bibliography"/>
                <w:ind w:left="720" w:hanging="720"/>
                <w:rPr>
                  <w:rFonts w:ascii="Arial" w:hAnsi="Arial" w:cs="Arial"/>
                  <w:noProof/>
                  <w:szCs w:val="22"/>
                </w:rPr>
              </w:pPr>
              <w:r w:rsidRPr="00941416">
                <w:rPr>
                  <w:rFonts w:ascii="Arial" w:hAnsi="Arial" w:cs="Arial"/>
                  <w:i/>
                  <w:iCs/>
                  <w:noProof/>
                  <w:szCs w:val="22"/>
                </w:rPr>
                <w:t>International Monetary Fund</w:t>
              </w:r>
              <w:r w:rsidRPr="00941416">
                <w:rPr>
                  <w:rFonts w:ascii="Arial" w:hAnsi="Arial" w:cs="Arial"/>
                  <w:noProof/>
                  <w:szCs w:val="22"/>
                </w:rPr>
                <w:t>. (2021). Retrieved March 27, 2021, from Policy Responses to COVID-19: https://www.imf.org/en/Topics/imf-and-covid19/Policy-Responses-to-COVID-19#U</w:t>
              </w:r>
            </w:p>
            <w:p w14:paraId="16B80A75" w14:textId="77777777" w:rsidR="00D00D1B" w:rsidRPr="00941416" w:rsidRDefault="00D00D1B" w:rsidP="00D00D1B">
              <w:pPr>
                <w:pStyle w:val="Bibliography"/>
                <w:ind w:left="720" w:hanging="720"/>
                <w:rPr>
                  <w:rFonts w:ascii="Arial" w:hAnsi="Arial" w:cs="Arial"/>
                  <w:noProof/>
                  <w:szCs w:val="22"/>
                </w:rPr>
              </w:pPr>
              <w:r w:rsidRPr="00941416">
                <w:rPr>
                  <w:rFonts w:ascii="Arial" w:hAnsi="Arial" w:cs="Arial"/>
                  <w:noProof/>
                  <w:szCs w:val="22"/>
                </w:rPr>
                <w:t xml:space="preserve">Meraw, S. (2021). </w:t>
              </w:r>
              <w:r w:rsidRPr="00941416">
                <w:rPr>
                  <w:rFonts w:ascii="Arial" w:hAnsi="Arial" w:cs="Arial"/>
                  <w:i/>
                  <w:iCs/>
                  <w:noProof/>
                  <w:szCs w:val="22"/>
                </w:rPr>
                <w:t>Brookings</w:t>
              </w:r>
              <w:r w:rsidRPr="00941416">
                <w:rPr>
                  <w:rFonts w:ascii="Arial" w:hAnsi="Arial" w:cs="Arial"/>
                  <w:noProof/>
                  <w:szCs w:val="22"/>
                </w:rPr>
                <w:t>. Retrieved March 26, 2021, from What’s the Fed doing in response to the COVID-19 crisis? What more could it do?: https://www.brookings.edu/research/fed-response-to-covid19/</w:t>
              </w:r>
            </w:p>
            <w:p w14:paraId="32D9DD80" w14:textId="145CFDDB" w:rsidR="00DE12C1" w:rsidRPr="00941416" w:rsidRDefault="00D00D1B" w:rsidP="00A001C0">
              <w:pPr>
                <w:rPr>
                  <w:rFonts w:ascii="Arial" w:hAnsi="Arial" w:cs="Arial"/>
                </w:rPr>
              </w:pPr>
              <w:r w:rsidRPr="00941416">
                <w:rPr>
                  <w:rFonts w:ascii="Arial" w:hAnsi="Arial" w:cs="Arial"/>
                  <w:b/>
                  <w:bCs/>
                  <w:noProof/>
                  <w:szCs w:val="22"/>
                </w:rPr>
                <w:fldChar w:fldCharType="end"/>
              </w:r>
            </w:p>
          </w:sdtContent>
        </w:sdt>
      </w:sdtContent>
    </w:sdt>
    <w:p w14:paraId="195C38B8" w14:textId="77777777" w:rsidR="00DE12C1" w:rsidRPr="00941416" w:rsidRDefault="00DE12C1" w:rsidP="00DE12C1">
      <w:pPr>
        <w:jc w:val="center"/>
        <w:rPr>
          <w:rFonts w:ascii="Arial" w:hAnsi="Arial" w:cs="Arial"/>
          <w:b/>
          <w:bCs/>
          <w:sz w:val="4"/>
          <w:szCs w:val="4"/>
        </w:rPr>
      </w:pPr>
    </w:p>
    <w:p w14:paraId="5D893AC5" w14:textId="5E590D33" w:rsidR="00DE12C1" w:rsidRPr="00941416" w:rsidRDefault="00DE12C1" w:rsidP="00DE12C1">
      <w:pPr>
        <w:jc w:val="center"/>
        <w:rPr>
          <w:rFonts w:ascii="Arial" w:hAnsi="Arial" w:cs="Arial"/>
          <w:b/>
          <w:bCs/>
          <w:sz w:val="30"/>
          <w:szCs w:val="30"/>
        </w:rPr>
      </w:pPr>
      <w:bookmarkStart w:id="0" w:name="_GoBack"/>
      <w:bookmarkEnd w:id="0"/>
      <w:r w:rsidRPr="00941416">
        <w:rPr>
          <w:rFonts w:ascii="Arial" w:hAnsi="Arial" w:cs="Arial"/>
          <w:b/>
          <w:bCs/>
          <w:sz w:val="30"/>
          <w:szCs w:val="30"/>
        </w:rPr>
        <w:t xml:space="preserve">***** </w:t>
      </w:r>
    </w:p>
    <w:sectPr w:rsidR="00DE12C1" w:rsidRPr="009414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D6CFBB" w14:textId="77777777" w:rsidR="00DC34DD" w:rsidRDefault="00DC34DD" w:rsidP="005D1330">
      <w:pPr>
        <w:spacing w:after="0" w:line="240" w:lineRule="auto"/>
      </w:pPr>
      <w:r>
        <w:separator/>
      </w:r>
    </w:p>
  </w:endnote>
  <w:endnote w:type="continuationSeparator" w:id="0">
    <w:p w14:paraId="1E8D0597" w14:textId="77777777" w:rsidR="00DC34DD" w:rsidRDefault="00DC34DD" w:rsidP="005D13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rinda">
    <w:altName w:val="SolaimanLipi"/>
    <w:panose1 w:val="00000400000000000000"/>
    <w:charset w:val="01"/>
    <w:family w:val="roman"/>
    <w:notTrueType/>
    <w:pitch w:val="variable"/>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82248B" w14:textId="77777777" w:rsidR="00941416" w:rsidRDefault="00941416">
    <w:pPr>
      <w:spacing w:line="200" w:lineRule="exact"/>
      <w:rPr>
        <w:sz w:val="20"/>
        <w:szCs w:val="20"/>
      </w:rPr>
    </w:pPr>
    <w:r>
      <w:rPr>
        <w:noProof/>
        <w:szCs w:val="22"/>
        <w:lang w:bidi="ar-SA"/>
      </w:rPr>
      <mc:AlternateContent>
        <mc:Choice Requires="wps">
          <w:drawing>
            <wp:anchor distT="0" distB="0" distL="114300" distR="114300" simplePos="0" relativeHeight="251659264" behindDoc="1" locked="0" layoutInCell="1" allowOverlap="1" wp14:anchorId="54D6097F" wp14:editId="32373FEE">
              <wp:simplePos x="0" y="0"/>
              <wp:positionH relativeFrom="page">
                <wp:posOffset>3584575</wp:posOffset>
              </wp:positionH>
              <wp:positionV relativeFrom="page">
                <wp:posOffset>10246360</wp:posOffset>
              </wp:positionV>
              <wp:extent cx="560705" cy="144145"/>
              <wp:effectExtent l="3175" t="0" r="0" b="12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705"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0CE50F" w14:textId="77777777" w:rsidR="00941416" w:rsidRPr="0076397E" w:rsidRDefault="00941416">
                          <w:pPr>
                            <w:pStyle w:val="BodyText"/>
                            <w:spacing w:line="209" w:lineRule="exact"/>
                            <w:rPr>
                              <w:rFonts w:eastAsia="Calibri" w:cs="Times New Roman"/>
                              <w:sz w:val="16"/>
                              <w:szCs w:val="16"/>
                            </w:rPr>
                          </w:pPr>
                          <w:r w:rsidRPr="0076397E">
                            <w:rPr>
                              <w:rFonts w:eastAsia="Calibri" w:cs="Times New Roman"/>
                              <w:spacing w:val="-1"/>
                              <w:w w:val="105"/>
                              <w:sz w:val="16"/>
                              <w:szCs w:val="16"/>
                            </w:rPr>
                            <w:t>Pa</w:t>
                          </w:r>
                          <w:r w:rsidRPr="0076397E">
                            <w:rPr>
                              <w:rFonts w:eastAsia="Calibri" w:cs="Times New Roman"/>
                              <w:w w:val="105"/>
                              <w:sz w:val="16"/>
                              <w:szCs w:val="16"/>
                            </w:rPr>
                            <w:t>ge</w:t>
                          </w:r>
                          <w:r w:rsidRPr="0076397E">
                            <w:rPr>
                              <w:rFonts w:eastAsia="Calibri" w:cs="Times New Roman"/>
                              <w:spacing w:val="-4"/>
                              <w:w w:val="105"/>
                              <w:sz w:val="16"/>
                              <w:szCs w:val="16"/>
                            </w:rPr>
                            <w:t xml:space="preserve"> </w:t>
                          </w:r>
                          <w:r w:rsidRPr="0076397E">
                            <w:rPr>
                              <w:rFonts w:cs="Times New Roman"/>
                              <w:sz w:val="16"/>
                              <w:szCs w:val="16"/>
                            </w:rPr>
                            <w:fldChar w:fldCharType="begin"/>
                          </w:r>
                          <w:r w:rsidRPr="0076397E">
                            <w:rPr>
                              <w:rFonts w:eastAsia="Calibri" w:cs="Times New Roman"/>
                              <w:w w:val="105"/>
                              <w:sz w:val="16"/>
                              <w:szCs w:val="16"/>
                            </w:rPr>
                            <w:instrText xml:space="preserve"> PAGE </w:instrText>
                          </w:r>
                          <w:r w:rsidRPr="0076397E">
                            <w:rPr>
                              <w:rFonts w:cs="Times New Roman"/>
                              <w:sz w:val="16"/>
                              <w:szCs w:val="16"/>
                            </w:rPr>
                            <w:fldChar w:fldCharType="separate"/>
                          </w:r>
                          <w:r w:rsidR="001A1B46">
                            <w:rPr>
                              <w:rFonts w:eastAsia="Calibri" w:cs="Times New Roman"/>
                              <w:noProof/>
                              <w:w w:val="105"/>
                              <w:sz w:val="16"/>
                              <w:szCs w:val="16"/>
                            </w:rPr>
                            <w:t>4</w:t>
                          </w:r>
                          <w:r w:rsidRPr="0076397E">
                            <w:rPr>
                              <w:rFonts w:cs="Times New Roman"/>
                              <w:sz w:val="16"/>
                              <w:szCs w:val="16"/>
                            </w:rPr>
                            <w:fldChar w:fldCharType="end"/>
                          </w:r>
                          <w:r w:rsidRPr="0076397E">
                            <w:rPr>
                              <w:rFonts w:eastAsia="Calibri" w:cs="Times New Roman"/>
                              <w:spacing w:val="-3"/>
                              <w:w w:val="105"/>
                              <w:sz w:val="16"/>
                              <w:szCs w:val="16"/>
                            </w:rPr>
                            <w:t xml:space="preserve"> </w:t>
                          </w:r>
                          <w:r w:rsidRPr="0076397E">
                            <w:rPr>
                              <w:rFonts w:eastAsia="Calibri" w:cs="Times New Roman"/>
                              <w:w w:val="105"/>
                              <w:sz w:val="16"/>
                              <w:szCs w:val="16"/>
                            </w:rPr>
                            <w:t>of</w:t>
                          </w:r>
                          <w:r w:rsidRPr="0076397E">
                            <w:rPr>
                              <w:rFonts w:eastAsia="Calibri" w:cs="Times New Roman"/>
                              <w:spacing w:val="-4"/>
                              <w:w w:val="105"/>
                              <w:sz w:val="16"/>
                              <w:szCs w:val="16"/>
                            </w:rPr>
                            <w:t xml:space="preserve"> </w:t>
                          </w:r>
                          <w:r w:rsidRPr="0076397E">
                            <w:rPr>
                              <w:rFonts w:eastAsia="Calibri" w:cs="Times New Roman"/>
                              <w:w w:val="105"/>
                              <w:sz w:val="16"/>
                              <w:szCs w:val="16"/>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D6097F" id="_x0000_t202" coordsize="21600,21600" o:spt="202" path="m,l,21600r21600,l21600,xe">
              <v:stroke joinstyle="miter"/>
              <v:path gradientshapeok="t" o:connecttype="rect"/>
            </v:shapetype>
            <v:shape id="Text Box 2" o:spid="_x0000_s1026" type="#_x0000_t202" style="position:absolute;margin-left:282.25pt;margin-top:806.8pt;width:44.15pt;height:11.3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" filled="f" stroked="f">
              <v:textbox inset="0,0,0,0">
                <w:txbxContent>
                  <w:p w14:paraId="020CE50F" w14:textId="77777777" w:rsidR="00941416" w:rsidRPr="0076397E" w:rsidRDefault="00941416">
                    <w:pPr>
                      <w:pStyle w:val="BodyText"/>
                      <w:spacing w:line="209" w:lineRule="exact"/>
                      <w:rPr>
                        <w:rFonts w:eastAsia="Calibri" w:cs="Times New Roman"/>
                        <w:sz w:val="16"/>
                        <w:szCs w:val="16"/>
                      </w:rPr>
                    </w:pPr>
                    <w:r w:rsidRPr="0076397E">
                      <w:rPr>
                        <w:rFonts w:eastAsia="Calibri" w:cs="Times New Roman"/>
                        <w:spacing w:val="-1"/>
                        <w:w w:val="105"/>
                        <w:sz w:val="16"/>
                        <w:szCs w:val="16"/>
                      </w:rPr>
                      <w:t>Pa</w:t>
                    </w:r>
                    <w:r w:rsidRPr="0076397E">
                      <w:rPr>
                        <w:rFonts w:eastAsia="Calibri" w:cs="Times New Roman"/>
                        <w:w w:val="105"/>
                        <w:sz w:val="16"/>
                        <w:szCs w:val="16"/>
                      </w:rPr>
                      <w:t>ge</w:t>
                    </w:r>
                    <w:r w:rsidRPr="0076397E">
                      <w:rPr>
                        <w:rFonts w:eastAsia="Calibri" w:cs="Times New Roman"/>
                        <w:spacing w:val="-4"/>
                        <w:w w:val="105"/>
                        <w:sz w:val="16"/>
                        <w:szCs w:val="16"/>
                      </w:rPr>
                      <w:t xml:space="preserve"> </w:t>
                    </w:r>
                    <w:r w:rsidRPr="0076397E">
                      <w:rPr>
                        <w:rFonts w:cs="Times New Roman"/>
                        <w:sz w:val="16"/>
                        <w:szCs w:val="16"/>
                      </w:rPr>
                      <w:fldChar w:fldCharType="begin"/>
                    </w:r>
                    <w:r w:rsidRPr="0076397E">
                      <w:rPr>
                        <w:rFonts w:eastAsia="Calibri" w:cs="Times New Roman"/>
                        <w:w w:val="105"/>
                        <w:sz w:val="16"/>
                        <w:szCs w:val="16"/>
                      </w:rPr>
                      <w:instrText xml:space="preserve"> PAGE </w:instrText>
                    </w:r>
                    <w:r w:rsidRPr="0076397E">
                      <w:rPr>
                        <w:rFonts w:cs="Times New Roman"/>
                        <w:sz w:val="16"/>
                        <w:szCs w:val="16"/>
                      </w:rPr>
                      <w:fldChar w:fldCharType="separate"/>
                    </w:r>
                    <w:r w:rsidR="001A1B46">
                      <w:rPr>
                        <w:rFonts w:eastAsia="Calibri" w:cs="Times New Roman"/>
                        <w:noProof/>
                        <w:w w:val="105"/>
                        <w:sz w:val="16"/>
                        <w:szCs w:val="16"/>
                      </w:rPr>
                      <w:t>4</w:t>
                    </w:r>
                    <w:r w:rsidRPr="0076397E">
                      <w:rPr>
                        <w:rFonts w:cs="Times New Roman"/>
                        <w:sz w:val="16"/>
                        <w:szCs w:val="16"/>
                      </w:rPr>
                      <w:fldChar w:fldCharType="end"/>
                    </w:r>
                    <w:r w:rsidRPr="0076397E">
                      <w:rPr>
                        <w:rFonts w:eastAsia="Calibri" w:cs="Times New Roman"/>
                        <w:spacing w:val="-3"/>
                        <w:w w:val="105"/>
                        <w:sz w:val="16"/>
                        <w:szCs w:val="16"/>
                      </w:rPr>
                      <w:t xml:space="preserve"> </w:t>
                    </w:r>
                    <w:r w:rsidRPr="0076397E">
                      <w:rPr>
                        <w:rFonts w:eastAsia="Calibri" w:cs="Times New Roman"/>
                        <w:w w:val="105"/>
                        <w:sz w:val="16"/>
                        <w:szCs w:val="16"/>
                      </w:rPr>
                      <w:t>of</w:t>
                    </w:r>
                    <w:r w:rsidRPr="0076397E">
                      <w:rPr>
                        <w:rFonts w:eastAsia="Calibri" w:cs="Times New Roman"/>
                        <w:spacing w:val="-4"/>
                        <w:w w:val="105"/>
                        <w:sz w:val="16"/>
                        <w:szCs w:val="16"/>
                      </w:rPr>
                      <w:t xml:space="preserve"> </w:t>
                    </w:r>
                    <w:r w:rsidRPr="0076397E">
                      <w:rPr>
                        <w:rFonts w:eastAsia="Calibri" w:cs="Times New Roman"/>
                        <w:w w:val="105"/>
                        <w:sz w:val="16"/>
                        <w:szCs w:val="16"/>
                      </w:rPr>
                      <w:t>2</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C92193" w14:textId="77777777" w:rsidR="00DC34DD" w:rsidRDefault="00DC34DD" w:rsidP="005D1330">
      <w:pPr>
        <w:spacing w:after="0" w:line="240" w:lineRule="auto"/>
      </w:pPr>
      <w:r>
        <w:separator/>
      </w:r>
    </w:p>
  </w:footnote>
  <w:footnote w:type="continuationSeparator" w:id="0">
    <w:p w14:paraId="547E7891" w14:textId="77777777" w:rsidR="00DC34DD" w:rsidRDefault="00DC34DD" w:rsidP="005D1330">
      <w:pPr>
        <w:spacing w:after="0" w:line="240" w:lineRule="auto"/>
      </w:pPr>
      <w:r>
        <w:continuationSeparator/>
      </w:r>
    </w:p>
  </w:footnote>
  <w:footnote w:id="1">
    <w:p w14:paraId="7D8B0AA8" w14:textId="3F2EA090" w:rsidR="005D1330" w:rsidRDefault="005D1330">
      <w:pPr>
        <w:pStyle w:val="FootnoteText"/>
        <w:rPr>
          <w:rFonts w:ascii="Arial" w:hAnsi="Arial" w:cs="Arial"/>
          <w:sz w:val="18"/>
          <w:szCs w:val="18"/>
        </w:rPr>
      </w:pPr>
      <w:r w:rsidRPr="00EB7F02">
        <w:rPr>
          <w:rStyle w:val="FootnoteReference"/>
          <w:rFonts w:ascii="Arial" w:hAnsi="Arial" w:cs="Arial"/>
          <w:sz w:val="18"/>
          <w:szCs w:val="18"/>
        </w:rPr>
        <w:footnoteRef/>
      </w:r>
      <w:r w:rsidRPr="00EB7F02">
        <w:rPr>
          <w:rFonts w:ascii="Arial" w:hAnsi="Arial" w:cs="Arial"/>
          <w:sz w:val="18"/>
          <w:szCs w:val="18"/>
        </w:rPr>
        <w:t xml:space="preserve"> Open market purchases: </w:t>
      </w:r>
      <w:r w:rsidR="00DD1A08" w:rsidRPr="00EB7F02">
        <w:rPr>
          <w:rFonts w:ascii="Arial" w:hAnsi="Arial" w:cs="Arial"/>
          <w:sz w:val="18"/>
          <w:szCs w:val="18"/>
        </w:rPr>
        <w:t>Open market purchases involve with purchasing of government securities (Government Bonds, Government T-Bills, etc.) by Central Bank to increase money supply in the economy and decrease interest rate</w:t>
      </w:r>
      <w:sdt>
        <w:sdtPr>
          <w:rPr>
            <w:rFonts w:ascii="Arial" w:hAnsi="Arial" w:cs="Arial"/>
            <w:sz w:val="18"/>
            <w:szCs w:val="18"/>
          </w:rPr>
          <w:id w:val="-182050921"/>
          <w:citation/>
        </w:sdtPr>
        <w:sdtEndPr/>
        <w:sdtContent>
          <w:r w:rsidR="00F400EE" w:rsidRPr="00EB7F02">
            <w:rPr>
              <w:rFonts w:ascii="Arial" w:hAnsi="Arial" w:cs="Arial"/>
              <w:sz w:val="18"/>
              <w:szCs w:val="18"/>
            </w:rPr>
            <w:fldChar w:fldCharType="begin"/>
          </w:r>
          <w:r w:rsidR="00F400EE" w:rsidRPr="00EB7F02">
            <w:rPr>
              <w:rFonts w:ascii="Arial" w:hAnsi="Arial" w:cs="Arial"/>
              <w:sz w:val="18"/>
              <w:szCs w:val="18"/>
            </w:rPr>
            <w:instrText xml:space="preserve"> CITATION Ste17 \l 1033 </w:instrText>
          </w:r>
          <w:r w:rsidR="00F400EE" w:rsidRPr="00EB7F02">
            <w:rPr>
              <w:rFonts w:ascii="Arial" w:hAnsi="Arial" w:cs="Arial"/>
              <w:sz w:val="18"/>
              <w:szCs w:val="18"/>
            </w:rPr>
            <w:fldChar w:fldCharType="separate"/>
          </w:r>
          <w:r w:rsidR="00F400EE" w:rsidRPr="00EB7F02">
            <w:rPr>
              <w:rFonts w:ascii="Arial" w:hAnsi="Arial" w:cs="Arial"/>
              <w:noProof/>
              <w:sz w:val="18"/>
              <w:szCs w:val="18"/>
            </w:rPr>
            <w:t xml:space="preserve"> (Greenlaw, Shapiro, &amp; Taylor, 2017)</w:t>
          </w:r>
          <w:r w:rsidR="00F400EE" w:rsidRPr="00EB7F02">
            <w:rPr>
              <w:rFonts w:ascii="Arial" w:hAnsi="Arial" w:cs="Arial"/>
              <w:sz w:val="18"/>
              <w:szCs w:val="18"/>
            </w:rPr>
            <w:fldChar w:fldCharType="end"/>
          </w:r>
        </w:sdtContent>
      </w:sdt>
      <w:r w:rsidR="00DD1A08" w:rsidRPr="00EB7F02">
        <w:rPr>
          <w:rFonts w:ascii="Arial" w:hAnsi="Arial" w:cs="Arial"/>
          <w:sz w:val="18"/>
          <w:szCs w:val="18"/>
        </w:rPr>
        <w:t xml:space="preserve">. </w:t>
      </w:r>
    </w:p>
    <w:p w14:paraId="7AD289BA" w14:textId="77777777" w:rsidR="00EB7F02" w:rsidRPr="00EB7F02" w:rsidRDefault="00EB7F02">
      <w:pPr>
        <w:pStyle w:val="FootnoteText"/>
        <w:rPr>
          <w:rFonts w:ascii="Arial" w:hAnsi="Arial" w:cs="Arial"/>
          <w:sz w:val="18"/>
          <w:szCs w:val="18"/>
        </w:rPr>
      </w:pPr>
    </w:p>
  </w:footnote>
  <w:footnote w:id="2">
    <w:p w14:paraId="221820E0" w14:textId="76E9DE57" w:rsidR="00DD1A08" w:rsidRDefault="00DD1A08">
      <w:pPr>
        <w:pStyle w:val="FootnoteText"/>
        <w:rPr>
          <w:rFonts w:ascii="Arial" w:hAnsi="Arial" w:cs="Arial"/>
          <w:sz w:val="18"/>
          <w:szCs w:val="18"/>
        </w:rPr>
      </w:pPr>
      <w:r w:rsidRPr="00EB7F02">
        <w:rPr>
          <w:rStyle w:val="FootnoteReference"/>
          <w:rFonts w:ascii="Arial" w:hAnsi="Arial" w:cs="Arial"/>
          <w:sz w:val="18"/>
          <w:szCs w:val="18"/>
        </w:rPr>
        <w:footnoteRef/>
      </w:r>
      <w:r w:rsidRPr="00EB7F02">
        <w:rPr>
          <w:rFonts w:ascii="Arial" w:hAnsi="Arial" w:cs="Arial"/>
          <w:sz w:val="18"/>
          <w:szCs w:val="18"/>
        </w:rPr>
        <w:t xml:space="preserve"> Reserve requirement: Reverse requirement is the minimum amount of reserve </w:t>
      </w:r>
      <w:r w:rsidR="006D101B" w:rsidRPr="00EB7F02">
        <w:rPr>
          <w:rFonts w:ascii="Arial" w:hAnsi="Arial" w:cs="Arial"/>
          <w:sz w:val="18"/>
          <w:szCs w:val="18"/>
        </w:rPr>
        <w:t xml:space="preserve">(a specified percentage of deposit liabilities) </w:t>
      </w:r>
      <w:r w:rsidRPr="00EB7F02">
        <w:rPr>
          <w:rFonts w:ascii="Arial" w:hAnsi="Arial" w:cs="Arial"/>
          <w:sz w:val="18"/>
          <w:szCs w:val="18"/>
        </w:rPr>
        <w:t>h</w:t>
      </w:r>
      <w:r w:rsidR="006D101B" w:rsidRPr="00EB7F02">
        <w:rPr>
          <w:rFonts w:ascii="Arial" w:hAnsi="Arial" w:cs="Arial"/>
          <w:sz w:val="18"/>
          <w:szCs w:val="18"/>
        </w:rPr>
        <w:t>e</w:t>
      </w:r>
      <w:r w:rsidRPr="00EB7F02">
        <w:rPr>
          <w:rFonts w:ascii="Arial" w:hAnsi="Arial" w:cs="Arial"/>
          <w:sz w:val="18"/>
          <w:szCs w:val="18"/>
        </w:rPr>
        <w:t xml:space="preserve">ld with Central Bank by </w:t>
      </w:r>
      <w:r w:rsidR="006D101B" w:rsidRPr="00EB7F02">
        <w:rPr>
          <w:rFonts w:ascii="Arial" w:hAnsi="Arial" w:cs="Arial"/>
          <w:sz w:val="18"/>
          <w:szCs w:val="18"/>
        </w:rPr>
        <w:t>commercial banks and other financial institutions</w:t>
      </w:r>
      <w:sdt>
        <w:sdtPr>
          <w:rPr>
            <w:rFonts w:ascii="Arial" w:hAnsi="Arial" w:cs="Arial"/>
            <w:sz w:val="18"/>
            <w:szCs w:val="18"/>
          </w:rPr>
          <w:id w:val="1589654802"/>
          <w:citation/>
        </w:sdtPr>
        <w:sdtEndPr/>
        <w:sdtContent>
          <w:r w:rsidR="00F400EE" w:rsidRPr="00EB7F02">
            <w:rPr>
              <w:rFonts w:ascii="Arial" w:hAnsi="Arial" w:cs="Arial"/>
              <w:sz w:val="18"/>
              <w:szCs w:val="18"/>
            </w:rPr>
            <w:fldChar w:fldCharType="begin"/>
          </w:r>
          <w:r w:rsidR="00F400EE" w:rsidRPr="00EB7F02">
            <w:rPr>
              <w:rFonts w:ascii="Arial" w:hAnsi="Arial" w:cs="Arial"/>
              <w:sz w:val="18"/>
              <w:szCs w:val="18"/>
            </w:rPr>
            <w:instrText xml:space="preserve"> CITATION Rud17 \l 1033 </w:instrText>
          </w:r>
          <w:r w:rsidR="00F400EE" w:rsidRPr="00EB7F02">
            <w:rPr>
              <w:rFonts w:ascii="Arial" w:hAnsi="Arial" w:cs="Arial"/>
              <w:sz w:val="18"/>
              <w:szCs w:val="18"/>
            </w:rPr>
            <w:fldChar w:fldCharType="separate"/>
          </w:r>
          <w:r w:rsidR="00F400EE" w:rsidRPr="00EB7F02">
            <w:rPr>
              <w:rFonts w:ascii="Arial" w:hAnsi="Arial" w:cs="Arial"/>
              <w:noProof/>
              <w:sz w:val="18"/>
              <w:szCs w:val="18"/>
            </w:rPr>
            <w:t xml:space="preserve"> (Dornbusch, Fischer, &amp; Startz, 2017)</w:t>
          </w:r>
          <w:r w:rsidR="00F400EE" w:rsidRPr="00EB7F02">
            <w:rPr>
              <w:rFonts w:ascii="Arial" w:hAnsi="Arial" w:cs="Arial"/>
              <w:sz w:val="18"/>
              <w:szCs w:val="18"/>
            </w:rPr>
            <w:fldChar w:fldCharType="end"/>
          </w:r>
        </w:sdtContent>
      </w:sdt>
      <w:r w:rsidR="006D101B" w:rsidRPr="00EB7F02">
        <w:rPr>
          <w:rFonts w:ascii="Arial" w:hAnsi="Arial" w:cs="Arial"/>
          <w:sz w:val="18"/>
          <w:szCs w:val="18"/>
        </w:rPr>
        <w:t xml:space="preserve">.  </w:t>
      </w:r>
    </w:p>
    <w:p w14:paraId="0503B488" w14:textId="77777777" w:rsidR="00EB7F02" w:rsidRPr="00EB7F02" w:rsidRDefault="00EB7F02">
      <w:pPr>
        <w:pStyle w:val="FootnoteText"/>
        <w:rPr>
          <w:rFonts w:ascii="Arial" w:hAnsi="Arial" w:cs="Arial"/>
          <w:sz w:val="18"/>
          <w:szCs w:val="18"/>
        </w:rPr>
      </w:pPr>
    </w:p>
  </w:footnote>
  <w:footnote w:id="3">
    <w:p w14:paraId="00FA7880" w14:textId="188AF35A" w:rsidR="005D1330" w:rsidRDefault="005D1330">
      <w:pPr>
        <w:pStyle w:val="FootnoteText"/>
        <w:rPr>
          <w:rFonts w:ascii="Arial" w:hAnsi="Arial" w:cs="Arial"/>
          <w:sz w:val="18"/>
          <w:szCs w:val="18"/>
        </w:rPr>
      </w:pPr>
      <w:r w:rsidRPr="00EB7F02">
        <w:rPr>
          <w:rStyle w:val="FootnoteReference"/>
          <w:rFonts w:ascii="Arial" w:hAnsi="Arial" w:cs="Arial"/>
          <w:sz w:val="18"/>
          <w:szCs w:val="18"/>
        </w:rPr>
        <w:footnoteRef/>
      </w:r>
      <w:r w:rsidRPr="00EB7F02">
        <w:rPr>
          <w:rFonts w:ascii="Arial" w:hAnsi="Arial" w:cs="Arial"/>
          <w:sz w:val="18"/>
          <w:szCs w:val="18"/>
        </w:rPr>
        <w:t xml:space="preserve"> Discount rate: </w:t>
      </w:r>
      <w:r w:rsidR="00DD1A08" w:rsidRPr="00EB7F02">
        <w:rPr>
          <w:rFonts w:ascii="Arial" w:hAnsi="Arial" w:cs="Arial"/>
          <w:sz w:val="18"/>
          <w:szCs w:val="18"/>
        </w:rPr>
        <w:t>Discount rate is the interest rate charged by Central Bank on loans and advances to commercial banks and other financial institutions</w:t>
      </w:r>
      <w:sdt>
        <w:sdtPr>
          <w:rPr>
            <w:rFonts w:ascii="Arial" w:hAnsi="Arial" w:cs="Arial"/>
            <w:sz w:val="18"/>
            <w:szCs w:val="18"/>
          </w:rPr>
          <w:id w:val="-2030718857"/>
          <w:citation/>
        </w:sdtPr>
        <w:sdtEndPr/>
        <w:sdtContent>
          <w:r w:rsidR="00F400EE" w:rsidRPr="00EB7F02">
            <w:rPr>
              <w:rFonts w:ascii="Arial" w:hAnsi="Arial" w:cs="Arial"/>
              <w:sz w:val="18"/>
              <w:szCs w:val="18"/>
            </w:rPr>
            <w:fldChar w:fldCharType="begin"/>
          </w:r>
          <w:r w:rsidR="00F400EE" w:rsidRPr="00EB7F02">
            <w:rPr>
              <w:rFonts w:ascii="Arial" w:hAnsi="Arial" w:cs="Arial"/>
              <w:sz w:val="18"/>
              <w:szCs w:val="18"/>
            </w:rPr>
            <w:instrText xml:space="preserve"> CITATION Ste17 \l 1033 </w:instrText>
          </w:r>
          <w:r w:rsidR="00F400EE" w:rsidRPr="00EB7F02">
            <w:rPr>
              <w:rFonts w:ascii="Arial" w:hAnsi="Arial" w:cs="Arial"/>
              <w:sz w:val="18"/>
              <w:szCs w:val="18"/>
            </w:rPr>
            <w:fldChar w:fldCharType="separate"/>
          </w:r>
          <w:r w:rsidR="00F400EE" w:rsidRPr="00EB7F02">
            <w:rPr>
              <w:rFonts w:ascii="Arial" w:hAnsi="Arial" w:cs="Arial"/>
              <w:noProof/>
              <w:sz w:val="18"/>
              <w:szCs w:val="18"/>
            </w:rPr>
            <w:t xml:space="preserve"> (Greenlaw, Shapiro, &amp; Taylor, 2017)</w:t>
          </w:r>
          <w:r w:rsidR="00F400EE" w:rsidRPr="00EB7F02">
            <w:rPr>
              <w:rFonts w:ascii="Arial" w:hAnsi="Arial" w:cs="Arial"/>
              <w:sz w:val="18"/>
              <w:szCs w:val="18"/>
            </w:rPr>
            <w:fldChar w:fldCharType="end"/>
          </w:r>
        </w:sdtContent>
      </w:sdt>
      <w:r w:rsidR="00DD1A08" w:rsidRPr="00EB7F02">
        <w:rPr>
          <w:rFonts w:ascii="Arial" w:hAnsi="Arial" w:cs="Arial"/>
          <w:sz w:val="18"/>
          <w:szCs w:val="18"/>
        </w:rPr>
        <w:t xml:space="preserve">. </w:t>
      </w:r>
    </w:p>
    <w:p w14:paraId="25A68017" w14:textId="77777777" w:rsidR="00EB7F02" w:rsidRPr="00EB7F02" w:rsidRDefault="00EB7F02">
      <w:pPr>
        <w:pStyle w:val="FootnoteText"/>
        <w:rPr>
          <w:rFonts w:ascii="Arial" w:hAnsi="Arial" w:cs="Arial"/>
          <w:sz w:val="18"/>
          <w:szCs w:val="18"/>
        </w:rPr>
      </w:pPr>
    </w:p>
  </w:footnote>
  <w:footnote w:id="4">
    <w:p w14:paraId="77940AA8" w14:textId="3EFCE9B1" w:rsidR="00DD1A08" w:rsidRPr="005648AD" w:rsidRDefault="005D1330" w:rsidP="00DD1A08">
      <w:pPr>
        <w:pStyle w:val="FootnoteText"/>
        <w:rPr>
          <w:rFonts w:ascii="Arial" w:hAnsi="Arial" w:cs="Arial"/>
          <w:color w:val="000000" w:themeColor="text1"/>
          <w:sz w:val="18"/>
          <w:szCs w:val="18"/>
        </w:rPr>
      </w:pPr>
      <w:r w:rsidRPr="005648AD">
        <w:rPr>
          <w:rStyle w:val="FootnoteReference"/>
          <w:rFonts w:ascii="Arial" w:hAnsi="Arial" w:cs="Arial"/>
          <w:color w:val="000000" w:themeColor="text1"/>
          <w:sz w:val="18"/>
          <w:szCs w:val="18"/>
        </w:rPr>
        <w:footnoteRef/>
      </w:r>
      <w:r w:rsidRPr="005648AD">
        <w:rPr>
          <w:rFonts w:ascii="Arial" w:hAnsi="Arial" w:cs="Arial"/>
          <w:color w:val="000000" w:themeColor="text1"/>
          <w:sz w:val="18"/>
          <w:szCs w:val="18"/>
        </w:rPr>
        <w:t xml:space="preserve"> Open market sales: </w:t>
      </w:r>
      <w:r w:rsidR="00DD1A08" w:rsidRPr="005648AD">
        <w:rPr>
          <w:rFonts w:ascii="Arial" w:hAnsi="Arial" w:cs="Arial"/>
          <w:color w:val="000000" w:themeColor="text1"/>
          <w:sz w:val="18"/>
          <w:szCs w:val="18"/>
        </w:rPr>
        <w:t>Open market sales involve with selling of government securities (Government Bonds, Government T-Bills, etc.) by Central Bank to decrease money supply in the economy and increase interest rate</w:t>
      </w:r>
      <w:sdt>
        <w:sdtPr>
          <w:rPr>
            <w:rFonts w:ascii="Arial" w:hAnsi="Arial" w:cs="Arial"/>
            <w:color w:val="000000" w:themeColor="text1"/>
            <w:sz w:val="18"/>
            <w:szCs w:val="18"/>
          </w:rPr>
          <w:id w:val="-1114430921"/>
          <w:citation/>
        </w:sdtPr>
        <w:sdtEndPr/>
        <w:sdtContent>
          <w:r w:rsidR="00F400EE" w:rsidRPr="005648AD">
            <w:rPr>
              <w:rFonts w:ascii="Arial" w:hAnsi="Arial" w:cs="Arial"/>
              <w:color w:val="000000" w:themeColor="text1"/>
              <w:sz w:val="18"/>
              <w:szCs w:val="18"/>
            </w:rPr>
            <w:fldChar w:fldCharType="begin"/>
          </w:r>
          <w:r w:rsidR="00F400EE" w:rsidRPr="005648AD">
            <w:rPr>
              <w:rFonts w:ascii="Arial" w:hAnsi="Arial" w:cs="Arial"/>
              <w:color w:val="000000" w:themeColor="text1"/>
              <w:sz w:val="18"/>
              <w:szCs w:val="18"/>
            </w:rPr>
            <w:instrText xml:space="preserve"> CITATION Wil15 \l 1033 </w:instrText>
          </w:r>
          <w:r w:rsidR="00F400EE" w:rsidRPr="005648AD">
            <w:rPr>
              <w:rFonts w:ascii="Arial" w:hAnsi="Arial" w:cs="Arial"/>
              <w:color w:val="000000" w:themeColor="text1"/>
              <w:sz w:val="18"/>
              <w:szCs w:val="18"/>
            </w:rPr>
            <w:fldChar w:fldCharType="separate"/>
          </w:r>
          <w:r w:rsidR="00F400EE" w:rsidRPr="005648AD">
            <w:rPr>
              <w:rFonts w:ascii="Arial" w:hAnsi="Arial" w:cs="Arial"/>
              <w:noProof/>
              <w:color w:val="000000" w:themeColor="text1"/>
              <w:sz w:val="18"/>
              <w:szCs w:val="18"/>
            </w:rPr>
            <w:t xml:space="preserve"> (Boyes &amp; Melvin, 2015)</w:t>
          </w:r>
          <w:r w:rsidR="00F400EE" w:rsidRPr="005648AD">
            <w:rPr>
              <w:rFonts w:ascii="Arial" w:hAnsi="Arial" w:cs="Arial"/>
              <w:color w:val="000000" w:themeColor="text1"/>
              <w:sz w:val="18"/>
              <w:szCs w:val="18"/>
            </w:rPr>
            <w:fldChar w:fldCharType="end"/>
          </w:r>
        </w:sdtContent>
      </w:sdt>
      <w:r w:rsidR="00DD1A08" w:rsidRPr="005648AD">
        <w:rPr>
          <w:rFonts w:ascii="Arial" w:hAnsi="Arial" w:cs="Arial"/>
          <w:color w:val="000000" w:themeColor="text1"/>
          <w:sz w:val="18"/>
          <w:szCs w:val="18"/>
        </w:rPr>
        <w:t xml:space="preserve">. </w:t>
      </w:r>
    </w:p>
    <w:p w14:paraId="4C963062" w14:textId="0569BFE1" w:rsidR="005D1330" w:rsidRPr="005648AD" w:rsidRDefault="005D1330">
      <w:pPr>
        <w:pStyle w:val="FootnoteText"/>
        <w:rPr>
          <w:rFonts w:ascii="Arial" w:hAnsi="Arial" w:cs="Arial"/>
          <w:color w:val="000000" w:themeColor="text1"/>
          <w:sz w:val="18"/>
          <w:szCs w:val="18"/>
        </w:rPr>
      </w:pPr>
    </w:p>
  </w:footnote>
  <w:footnote w:id="5">
    <w:p w14:paraId="0E7C9EBD" w14:textId="77777777" w:rsidR="00631305" w:rsidRPr="005648AD" w:rsidRDefault="00631305" w:rsidP="00631305">
      <w:pPr>
        <w:pStyle w:val="FootnoteText"/>
        <w:rPr>
          <w:rFonts w:ascii="Arial" w:hAnsi="Arial" w:cs="Arial"/>
          <w:color w:val="000000" w:themeColor="text1"/>
          <w:sz w:val="18"/>
          <w:szCs w:val="18"/>
        </w:rPr>
      </w:pPr>
      <w:r w:rsidRPr="005648AD">
        <w:rPr>
          <w:rStyle w:val="FootnoteReference"/>
          <w:rFonts w:ascii="Arial" w:hAnsi="Arial" w:cs="Arial"/>
          <w:color w:val="000000" w:themeColor="text1"/>
          <w:sz w:val="18"/>
          <w:szCs w:val="18"/>
        </w:rPr>
        <w:footnoteRef/>
      </w:r>
      <w:r w:rsidRPr="005648AD">
        <w:rPr>
          <w:rFonts w:ascii="Arial" w:hAnsi="Arial" w:cs="Arial"/>
          <w:color w:val="000000" w:themeColor="text1"/>
          <w:sz w:val="18"/>
          <w:szCs w:val="18"/>
        </w:rPr>
        <w:t xml:space="preserve"> Federal fund rate: Federal fund rate is the interest rate at which banks and depository institutions lend and borrow money each other</w:t>
      </w:r>
      <w:sdt>
        <w:sdtPr>
          <w:rPr>
            <w:rFonts w:ascii="Arial" w:hAnsi="Arial" w:cs="Arial"/>
            <w:color w:val="000000" w:themeColor="text1"/>
            <w:sz w:val="18"/>
            <w:szCs w:val="18"/>
          </w:rPr>
          <w:id w:val="-1177966934"/>
          <w:citation/>
        </w:sdtPr>
        <w:sdtContent>
          <w:r w:rsidRPr="005648AD">
            <w:rPr>
              <w:rFonts w:ascii="Arial" w:hAnsi="Arial" w:cs="Arial"/>
              <w:color w:val="000000" w:themeColor="text1"/>
              <w:sz w:val="18"/>
              <w:szCs w:val="18"/>
            </w:rPr>
            <w:fldChar w:fldCharType="begin"/>
          </w:r>
          <w:r w:rsidRPr="005648AD">
            <w:rPr>
              <w:rFonts w:ascii="Arial" w:hAnsi="Arial" w:cs="Arial"/>
              <w:color w:val="000000" w:themeColor="text1"/>
              <w:sz w:val="18"/>
              <w:szCs w:val="18"/>
            </w:rPr>
            <w:instrText xml:space="preserve"> CITATION Wil15 \l 1033 </w:instrText>
          </w:r>
          <w:r w:rsidRPr="005648AD">
            <w:rPr>
              <w:rFonts w:ascii="Arial" w:hAnsi="Arial" w:cs="Arial"/>
              <w:color w:val="000000" w:themeColor="text1"/>
              <w:sz w:val="18"/>
              <w:szCs w:val="18"/>
            </w:rPr>
            <w:fldChar w:fldCharType="separate"/>
          </w:r>
          <w:r w:rsidRPr="005648AD">
            <w:rPr>
              <w:rFonts w:ascii="Arial" w:hAnsi="Arial" w:cs="Arial"/>
              <w:noProof/>
              <w:color w:val="000000" w:themeColor="text1"/>
              <w:sz w:val="18"/>
              <w:szCs w:val="18"/>
            </w:rPr>
            <w:t xml:space="preserve"> (Boyes &amp; Melvin, 2015)</w:t>
          </w:r>
          <w:r w:rsidRPr="005648AD">
            <w:rPr>
              <w:rFonts w:ascii="Arial" w:hAnsi="Arial" w:cs="Arial"/>
              <w:color w:val="000000" w:themeColor="text1"/>
              <w:sz w:val="18"/>
              <w:szCs w:val="18"/>
            </w:rPr>
            <w:fldChar w:fldCharType="end"/>
          </w:r>
        </w:sdtContent>
      </w:sdt>
      <w:r w:rsidRPr="005648AD">
        <w:rPr>
          <w:rFonts w:ascii="Arial" w:hAnsi="Arial" w:cs="Arial"/>
          <w:color w:val="000000" w:themeColor="text1"/>
          <w:sz w:val="18"/>
          <w:szCs w:val="18"/>
        </w:rPr>
        <w:t xml:space="preserve">. </w:t>
      </w:r>
    </w:p>
    <w:p w14:paraId="37519F70" w14:textId="77777777" w:rsidR="005648AD" w:rsidRPr="005648AD" w:rsidRDefault="005648AD" w:rsidP="00631305">
      <w:pPr>
        <w:pStyle w:val="FootnoteText"/>
        <w:rPr>
          <w:rFonts w:ascii="Arial" w:hAnsi="Arial" w:cs="Arial"/>
          <w:color w:val="000000" w:themeColor="text1"/>
          <w:sz w:val="18"/>
          <w:szCs w:val="18"/>
        </w:rPr>
      </w:pPr>
    </w:p>
  </w:footnote>
  <w:footnote w:id="6">
    <w:p w14:paraId="4DD0E8BF" w14:textId="77777777" w:rsidR="00C76D12" w:rsidRPr="005648AD" w:rsidRDefault="00C76D12" w:rsidP="00C76D12">
      <w:pPr>
        <w:pStyle w:val="FootnoteText"/>
        <w:rPr>
          <w:rFonts w:ascii="Arial" w:hAnsi="Arial" w:cs="Arial"/>
          <w:color w:val="000000" w:themeColor="text1"/>
          <w:sz w:val="18"/>
          <w:szCs w:val="18"/>
        </w:rPr>
      </w:pPr>
      <w:r w:rsidRPr="005648AD">
        <w:rPr>
          <w:rStyle w:val="FootnoteReference"/>
          <w:rFonts w:ascii="Arial" w:hAnsi="Arial" w:cs="Arial"/>
          <w:color w:val="000000" w:themeColor="text1"/>
          <w:sz w:val="18"/>
          <w:szCs w:val="18"/>
        </w:rPr>
        <w:footnoteRef/>
      </w:r>
      <w:r w:rsidRPr="005648AD">
        <w:rPr>
          <w:rFonts w:ascii="Arial" w:hAnsi="Arial" w:cs="Arial"/>
          <w:color w:val="000000" w:themeColor="text1"/>
          <w:sz w:val="18"/>
          <w:szCs w:val="18"/>
        </w:rPr>
        <w:t xml:space="preserve"> CPFF: Commercial Paper Funding Facility </w:t>
      </w:r>
    </w:p>
    <w:p w14:paraId="7FE5CD21" w14:textId="77777777" w:rsidR="005648AD" w:rsidRPr="005648AD" w:rsidRDefault="005648AD" w:rsidP="00C76D12">
      <w:pPr>
        <w:pStyle w:val="FootnoteText"/>
        <w:rPr>
          <w:rFonts w:ascii="Arial" w:hAnsi="Arial" w:cs="Arial"/>
          <w:color w:val="000000" w:themeColor="text1"/>
          <w:sz w:val="18"/>
          <w:szCs w:val="18"/>
        </w:rPr>
      </w:pPr>
    </w:p>
  </w:footnote>
  <w:footnote w:id="7">
    <w:p w14:paraId="627DC293" w14:textId="77777777" w:rsidR="00C76D12" w:rsidRPr="005648AD" w:rsidRDefault="00C76D12" w:rsidP="00C76D12">
      <w:pPr>
        <w:pStyle w:val="FootnoteText"/>
        <w:rPr>
          <w:rFonts w:ascii="Arial" w:hAnsi="Arial" w:cs="Arial"/>
          <w:color w:val="000000" w:themeColor="text1"/>
          <w:sz w:val="18"/>
          <w:szCs w:val="18"/>
        </w:rPr>
      </w:pPr>
      <w:r w:rsidRPr="005648AD">
        <w:rPr>
          <w:rStyle w:val="FootnoteReference"/>
          <w:rFonts w:ascii="Arial" w:hAnsi="Arial" w:cs="Arial"/>
          <w:color w:val="000000" w:themeColor="text1"/>
          <w:sz w:val="18"/>
          <w:szCs w:val="18"/>
        </w:rPr>
        <w:footnoteRef/>
      </w:r>
      <w:r w:rsidRPr="005648AD">
        <w:rPr>
          <w:rFonts w:ascii="Arial" w:hAnsi="Arial" w:cs="Arial"/>
          <w:color w:val="000000" w:themeColor="text1"/>
          <w:sz w:val="18"/>
          <w:szCs w:val="18"/>
        </w:rPr>
        <w:t xml:space="preserve"> PDCF: </w:t>
      </w:r>
      <w:r w:rsidRPr="005648AD">
        <w:rPr>
          <w:rStyle w:val="Emphasis"/>
          <w:rFonts w:ascii="Arial" w:hAnsi="Arial" w:cs="Arial"/>
          <w:i w:val="0"/>
          <w:color w:val="000000" w:themeColor="text1"/>
          <w:sz w:val="18"/>
          <w:szCs w:val="18"/>
        </w:rPr>
        <w:t>Primary Dealer Credit Facility</w:t>
      </w:r>
      <w:r w:rsidRPr="005648AD">
        <w:rPr>
          <w:rFonts w:ascii="Arial" w:hAnsi="Arial" w:cs="Arial"/>
          <w:color w:val="000000" w:themeColor="text1"/>
          <w:sz w:val="18"/>
          <w:szCs w:val="18"/>
        </w:rPr>
        <w:t> </w:t>
      </w:r>
    </w:p>
    <w:p w14:paraId="2DFB7755" w14:textId="77777777" w:rsidR="005648AD" w:rsidRPr="005648AD" w:rsidRDefault="005648AD" w:rsidP="00C76D12">
      <w:pPr>
        <w:pStyle w:val="FootnoteText"/>
        <w:rPr>
          <w:rFonts w:ascii="Arial" w:hAnsi="Arial" w:cs="Arial"/>
          <w:color w:val="000000" w:themeColor="text1"/>
          <w:sz w:val="18"/>
          <w:szCs w:val="18"/>
        </w:rPr>
      </w:pPr>
    </w:p>
  </w:footnote>
  <w:footnote w:id="8">
    <w:p w14:paraId="0D9E5D6B" w14:textId="77777777" w:rsidR="00C76D12" w:rsidRPr="005648AD" w:rsidRDefault="00C76D12" w:rsidP="00C76D12">
      <w:pPr>
        <w:pStyle w:val="FootnoteText"/>
        <w:rPr>
          <w:rStyle w:val="Emphasis"/>
          <w:rFonts w:ascii="Arial" w:hAnsi="Arial" w:cs="Arial"/>
          <w:i w:val="0"/>
          <w:color w:val="000000" w:themeColor="text1"/>
          <w:sz w:val="18"/>
          <w:szCs w:val="18"/>
        </w:rPr>
      </w:pPr>
      <w:r w:rsidRPr="005648AD">
        <w:rPr>
          <w:rStyle w:val="FootnoteReference"/>
          <w:rFonts w:ascii="Arial" w:hAnsi="Arial" w:cs="Arial"/>
          <w:color w:val="000000" w:themeColor="text1"/>
          <w:sz w:val="18"/>
          <w:szCs w:val="18"/>
        </w:rPr>
        <w:footnoteRef/>
      </w:r>
      <w:r w:rsidRPr="005648AD">
        <w:rPr>
          <w:rFonts w:ascii="Arial" w:hAnsi="Arial" w:cs="Arial"/>
          <w:color w:val="000000" w:themeColor="text1"/>
          <w:sz w:val="18"/>
          <w:szCs w:val="18"/>
        </w:rPr>
        <w:t xml:space="preserve"> MMLF: </w:t>
      </w:r>
      <w:r w:rsidRPr="005648AD">
        <w:rPr>
          <w:rStyle w:val="Emphasis"/>
          <w:rFonts w:ascii="Arial" w:hAnsi="Arial" w:cs="Arial"/>
          <w:i w:val="0"/>
          <w:color w:val="000000" w:themeColor="text1"/>
          <w:sz w:val="18"/>
          <w:szCs w:val="18"/>
        </w:rPr>
        <w:t>Money Market Mutual Fund Liquidity Facility</w:t>
      </w:r>
    </w:p>
    <w:p w14:paraId="231DB399" w14:textId="77777777" w:rsidR="005648AD" w:rsidRPr="005648AD" w:rsidRDefault="005648AD" w:rsidP="00C76D12">
      <w:pPr>
        <w:pStyle w:val="FootnoteText"/>
        <w:rPr>
          <w:rFonts w:ascii="Arial" w:hAnsi="Arial" w:cs="Arial"/>
          <w:color w:val="000000" w:themeColor="text1"/>
          <w:sz w:val="18"/>
          <w:szCs w:val="18"/>
        </w:rPr>
      </w:pPr>
    </w:p>
  </w:footnote>
  <w:footnote w:id="9">
    <w:p w14:paraId="0F728773" w14:textId="77777777" w:rsidR="00C76D12" w:rsidRPr="005648AD" w:rsidRDefault="00C76D12" w:rsidP="00C76D12">
      <w:pPr>
        <w:pStyle w:val="FootnoteText"/>
        <w:rPr>
          <w:rStyle w:val="Emphasis"/>
          <w:rFonts w:ascii="Arial" w:hAnsi="Arial" w:cs="Arial"/>
          <w:color w:val="000000" w:themeColor="text1"/>
          <w:sz w:val="18"/>
          <w:szCs w:val="18"/>
        </w:rPr>
      </w:pPr>
      <w:r w:rsidRPr="005648AD">
        <w:rPr>
          <w:rStyle w:val="FootnoteReference"/>
          <w:rFonts w:ascii="Arial" w:hAnsi="Arial" w:cs="Arial"/>
          <w:color w:val="000000" w:themeColor="text1"/>
          <w:sz w:val="18"/>
          <w:szCs w:val="18"/>
        </w:rPr>
        <w:footnoteRef/>
      </w:r>
      <w:r w:rsidRPr="005648AD">
        <w:rPr>
          <w:rFonts w:ascii="Arial" w:hAnsi="Arial" w:cs="Arial"/>
          <w:color w:val="000000" w:themeColor="text1"/>
          <w:sz w:val="18"/>
          <w:szCs w:val="18"/>
        </w:rPr>
        <w:t xml:space="preserve"> PMCCF: </w:t>
      </w:r>
      <w:r w:rsidRPr="005648AD">
        <w:rPr>
          <w:rStyle w:val="Emphasis"/>
          <w:rFonts w:ascii="Arial" w:hAnsi="Arial" w:cs="Arial"/>
          <w:i w:val="0"/>
          <w:color w:val="000000" w:themeColor="text1"/>
          <w:sz w:val="18"/>
          <w:szCs w:val="18"/>
        </w:rPr>
        <w:t>Primary Market Corporate Credit Facility</w:t>
      </w:r>
      <w:r w:rsidRPr="005648AD">
        <w:rPr>
          <w:rStyle w:val="Emphasis"/>
          <w:rFonts w:ascii="Arial" w:hAnsi="Arial" w:cs="Arial"/>
          <w:color w:val="000000" w:themeColor="text1"/>
          <w:sz w:val="18"/>
          <w:szCs w:val="18"/>
        </w:rPr>
        <w:t> </w:t>
      </w:r>
    </w:p>
    <w:p w14:paraId="457FC581" w14:textId="77777777" w:rsidR="005648AD" w:rsidRPr="005648AD" w:rsidRDefault="005648AD" w:rsidP="00C76D12">
      <w:pPr>
        <w:pStyle w:val="FootnoteText"/>
        <w:rPr>
          <w:rFonts w:ascii="Arial" w:hAnsi="Arial" w:cs="Arial"/>
          <w:color w:val="000000" w:themeColor="text1"/>
          <w:sz w:val="18"/>
          <w:szCs w:val="18"/>
        </w:rPr>
      </w:pPr>
    </w:p>
  </w:footnote>
  <w:footnote w:id="10">
    <w:p w14:paraId="37C2F562" w14:textId="77777777" w:rsidR="00C76D12" w:rsidRPr="005648AD" w:rsidRDefault="00C76D12" w:rsidP="00C76D12">
      <w:pPr>
        <w:pStyle w:val="FootnoteText"/>
        <w:rPr>
          <w:rFonts w:ascii="Arial" w:hAnsi="Arial" w:cs="Arial"/>
          <w:sz w:val="18"/>
          <w:szCs w:val="18"/>
        </w:rPr>
      </w:pPr>
      <w:r w:rsidRPr="005648AD">
        <w:rPr>
          <w:rStyle w:val="FootnoteReference"/>
          <w:rFonts w:ascii="Arial" w:hAnsi="Arial" w:cs="Arial"/>
          <w:color w:val="000000" w:themeColor="text1"/>
          <w:sz w:val="18"/>
          <w:szCs w:val="18"/>
        </w:rPr>
        <w:footnoteRef/>
      </w:r>
      <w:r w:rsidRPr="005648AD">
        <w:rPr>
          <w:rFonts w:ascii="Arial" w:hAnsi="Arial" w:cs="Arial"/>
          <w:color w:val="000000" w:themeColor="text1"/>
          <w:sz w:val="18"/>
          <w:szCs w:val="18"/>
        </w:rPr>
        <w:t xml:space="preserve"> SMCCF: </w:t>
      </w:r>
      <w:r w:rsidRPr="005648AD">
        <w:rPr>
          <w:rStyle w:val="Emphasis"/>
          <w:rFonts w:ascii="Arial" w:hAnsi="Arial" w:cs="Arial"/>
          <w:i w:val="0"/>
          <w:color w:val="000000" w:themeColor="text1"/>
          <w:sz w:val="18"/>
          <w:szCs w:val="18"/>
        </w:rPr>
        <w:t>Secondary Market Corporate Credit Facility</w:t>
      </w:r>
      <w:r w:rsidRPr="005648AD">
        <w:rPr>
          <w:rStyle w:val="Emphasis"/>
          <w:rFonts w:ascii="Arial" w:hAnsi="Arial" w:cs="Arial"/>
          <w:color w:val="000000" w:themeColor="text1"/>
          <w:sz w:val="18"/>
          <w:szCs w:val="18"/>
        </w:rPr>
        <w:t> </w:t>
      </w:r>
    </w:p>
  </w:footnote>
  <w:footnote w:id="11">
    <w:p w14:paraId="4D4C89B1" w14:textId="77777777" w:rsidR="00C76D12" w:rsidRDefault="00C76D12" w:rsidP="00C76D12">
      <w:pPr>
        <w:pStyle w:val="FootnoteText"/>
        <w:rPr>
          <w:rStyle w:val="Emphasis"/>
          <w:rFonts w:ascii="Arial" w:hAnsi="Arial" w:cs="Arial"/>
          <w:color w:val="000000" w:themeColor="text1"/>
          <w:sz w:val="18"/>
          <w:szCs w:val="18"/>
        </w:rPr>
      </w:pPr>
      <w:r w:rsidRPr="005648AD">
        <w:rPr>
          <w:rStyle w:val="FootnoteReference"/>
          <w:rFonts w:ascii="Arial" w:hAnsi="Arial" w:cs="Arial"/>
          <w:color w:val="000000" w:themeColor="text1"/>
          <w:sz w:val="18"/>
          <w:szCs w:val="18"/>
        </w:rPr>
        <w:footnoteRef/>
      </w:r>
      <w:r w:rsidRPr="005648AD">
        <w:rPr>
          <w:rFonts w:ascii="Arial" w:hAnsi="Arial" w:cs="Arial"/>
          <w:color w:val="000000" w:themeColor="text1"/>
          <w:sz w:val="18"/>
          <w:szCs w:val="18"/>
        </w:rPr>
        <w:t xml:space="preserve"> TASLF: </w:t>
      </w:r>
      <w:r w:rsidRPr="005648AD">
        <w:rPr>
          <w:rStyle w:val="Emphasis"/>
          <w:rFonts w:ascii="Arial" w:hAnsi="Arial" w:cs="Arial"/>
          <w:i w:val="0"/>
          <w:color w:val="000000" w:themeColor="text1"/>
          <w:sz w:val="18"/>
          <w:szCs w:val="18"/>
        </w:rPr>
        <w:t>Term Asset-Backed Securities Loan Facility</w:t>
      </w:r>
      <w:r w:rsidRPr="005648AD">
        <w:rPr>
          <w:rStyle w:val="Emphasis"/>
          <w:rFonts w:ascii="Arial" w:hAnsi="Arial" w:cs="Arial"/>
          <w:color w:val="000000" w:themeColor="text1"/>
          <w:sz w:val="18"/>
          <w:szCs w:val="18"/>
        </w:rPr>
        <w:t> </w:t>
      </w:r>
    </w:p>
    <w:p w14:paraId="23F04E5F" w14:textId="77777777" w:rsidR="005648AD" w:rsidRPr="005648AD" w:rsidRDefault="005648AD" w:rsidP="00C76D12">
      <w:pPr>
        <w:pStyle w:val="FootnoteText"/>
        <w:rPr>
          <w:rFonts w:ascii="Arial" w:hAnsi="Arial" w:cs="Arial"/>
          <w:color w:val="000000" w:themeColor="text1"/>
          <w:sz w:val="18"/>
          <w:szCs w:val="18"/>
        </w:rPr>
      </w:pPr>
    </w:p>
  </w:footnote>
  <w:footnote w:id="12">
    <w:p w14:paraId="0C4B2405" w14:textId="77777777" w:rsidR="00C76D12" w:rsidRDefault="00C76D12" w:rsidP="00C76D12">
      <w:pPr>
        <w:pStyle w:val="FootnoteText"/>
        <w:rPr>
          <w:rStyle w:val="Emphasis"/>
          <w:rFonts w:ascii="Arial" w:hAnsi="Arial" w:cs="Arial"/>
          <w:i w:val="0"/>
          <w:color w:val="000000" w:themeColor="text1"/>
          <w:sz w:val="18"/>
          <w:szCs w:val="18"/>
        </w:rPr>
      </w:pPr>
      <w:r w:rsidRPr="005648AD">
        <w:rPr>
          <w:rStyle w:val="FootnoteReference"/>
          <w:rFonts w:ascii="Arial" w:hAnsi="Arial" w:cs="Arial"/>
          <w:color w:val="000000" w:themeColor="text1"/>
          <w:sz w:val="18"/>
          <w:szCs w:val="18"/>
        </w:rPr>
        <w:footnoteRef/>
      </w:r>
      <w:r w:rsidRPr="005648AD">
        <w:rPr>
          <w:rFonts w:ascii="Arial" w:hAnsi="Arial" w:cs="Arial"/>
          <w:color w:val="000000" w:themeColor="text1"/>
          <w:sz w:val="18"/>
          <w:szCs w:val="18"/>
        </w:rPr>
        <w:t xml:space="preserve"> PPPLF: </w:t>
      </w:r>
      <w:r w:rsidRPr="005648AD">
        <w:rPr>
          <w:rStyle w:val="Emphasis"/>
          <w:rFonts w:ascii="Arial" w:hAnsi="Arial" w:cs="Arial"/>
          <w:i w:val="0"/>
          <w:color w:val="000000" w:themeColor="text1"/>
          <w:sz w:val="18"/>
          <w:szCs w:val="18"/>
        </w:rPr>
        <w:t>Paycheck Protection Program Liquidity Facility</w:t>
      </w:r>
    </w:p>
    <w:p w14:paraId="54FB6861" w14:textId="77777777" w:rsidR="005648AD" w:rsidRPr="005648AD" w:rsidRDefault="005648AD" w:rsidP="00C76D12">
      <w:pPr>
        <w:pStyle w:val="FootnoteText"/>
        <w:rPr>
          <w:rFonts w:ascii="Arial" w:hAnsi="Arial" w:cs="Arial"/>
          <w:color w:val="000000" w:themeColor="text1"/>
          <w:sz w:val="18"/>
          <w:szCs w:val="18"/>
        </w:rPr>
      </w:pPr>
    </w:p>
  </w:footnote>
  <w:footnote w:id="13">
    <w:p w14:paraId="39B189B1" w14:textId="77777777" w:rsidR="00C76D12" w:rsidRDefault="00C76D12" w:rsidP="00C76D12">
      <w:pPr>
        <w:pStyle w:val="FootnoteText"/>
        <w:rPr>
          <w:rFonts w:ascii="Arial" w:hAnsi="Arial" w:cs="Arial"/>
          <w:color w:val="000000" w:themeColor="text1"/>
          <w:sz w:val="18"/>
          <w:szCs w:val="18"/>
        </w:rPr>
      </w:pPr>
      <w:r w:rsidRPr="005648AD">
        <w:rPr>
          <w:rStyle w:val="FootnoteReference"/>
          <w:rFonts w:ascii="Arial" w:hAnsi="Arial" w:cs="Arial"/>
          <w:color w:val="000000" w:themeColor="text1"/>
          <w:sz w:val="18"/>
          <w:szCs w:val="18"/>
        </w:rPr>
        <w:footnoteRef/>
      </w:r>
      <w:r w:rsidRPr="005648AD">
        <w:rPr>
          <w:rFonts w:ascii="Arial" w:hAnsi="Arial" w:cs="Arial"/>
          <w:color w:val="000000" w:themeColor="text1"/>
          <w:sz w:val="18"/>
          <w:szCs w:val="18"/>
        </w:rPr>
        <w:t xml:space="preserve"> PPP: Paycheck Protection Program </w:t>
      </w:r>
    </w:p>
    <w:p w14:paraId="4BE03139" w14:textId="77777777" w:rsidR="005648AD" w:rsidRPr="005648AD" w:rsidRDefault="005648AD" w:rsidP="00C76D12">
      <w:pPr>
        <w:pStyle w:val="FootnoteText"/>
        <w:rPr>
          <w:rFonts w:ascii="Arial" w:hAnsi="Arial" w:cs="Arial"/>
          <w:color w:val="000000" w:themeColor="text1"/>
          <w:sz w:val="18"/>
          <w:szCs w:val="18"/>
        </w:rPr>
      </w:pPr>
    </w:p>
  </w:footnote>
  <w:footnote w:id="14">
    <w:p w14:paraId="6AFC15C7" w14:textId="77777777" w:rsidR="00C76D12" w:rsidRDefault="00C76D12" w:rsidP="00C76D12">
      <w:pPr>
        <w:pStyle w:val="FootnoteText"/>
        <w:rPr>
          <w:rFonts w:ascii="Arial" w:hAnsi="Arial" w:cs="Arial"/>
          <w:color w:val="000000" w:themeColor="text1"/>
          <w:sz w:val="18"/>
          <w:szCs w:val="18"/>
        </w:rPr>
      </w:pPr>
      <w:r w:rsidRPr="005648AD">
        <w:rPr>
          <w:rStyle w:val="FootnoteReference"/>
          <w:rFonts w:ascii="Arial" w:hAnsi="Arial" w:cs="Arial"/>
          <w:color w:val="000000" w:themeColor="text1"/>
          <w:sz w:val="18"/>
          <w:szCs w:val="18"/>
        </w:rPr>
        <w:footnoteRef/>
      </w:r>
      <w:r w:rsidRPr="005648AD">
        <w:rPr>
          <w:rFonts w:ascii="Arial" w:hAnsi="Arial" w:cs="Arial"/>
          <w:color w:val="000000" w:themeColor="text1"/>
          <w:sz w:val="18"/>
          <w:szCs w:val="18"/>
        </w:rPr>
        <w:t xml:space="preserve"> MSLP: </w:t>
      </w:r>
      <w:r w:rsidRPr="005648AD">
        <w:rPr>
          <w:rStyle w:val="Emphasis"/>
          <w:rFonts w:ascii="Arial" w:hAnsi="Arial" w:cs="Arial"/>
          <w:i w:val="0"/>
          <w:color w:val="000000" w:themeColor="text1"/>
          <w:sz w:val="18"/>
          <w:szCs w:val="18"/>
        </w:rPr>
        <w:t>Main Street Lending Program</w:t>
      </w:r>
      <w:r w:rsidRPr="005648AD">
        <w:rPr>
          <w:rFonts w:ascii="Arial" w:hAnsi="Arial" w:cs="Arial"/>
          <w:color w:val="000000" w:themeColor="text1"/>
          <w:sz w:val="18"/>
          <w:szCs w:val="18"/>
        </w:rPr>
        <w:t> </w:t>
      </w:r>
    </w:p>
    <w:p w14:paraId="72CD2554" w14:textId="77777777" w:rsidR="005648AD" w:rsidRPr="005648AD" w:rsidRDefault="005648AD" w:rsidP="00C76D12">
      <w:pPr>
        <w:pStyle w:val="FootnoteText"/>
        <w:rPr>
          <w:rFonts w:ascii="Arial" w:hAnsi="Arial" w:cs="Arial"/>
          <w:color w:val="000000" w:themeColor="text1"/>
          <w:sz w:val="18"/>
          <w:szCs w:val="18"/>
        </w:rPr>
      </w:pPr>
    </w:p>
  </w:footnote>
  <w:footnote w:id="15">
    <w:p w14:paraId="63DC6243" w14:textId="77777777" w:rsidR="00C76D12" w:rsidRDefault="00C76D12" w:rsidP="00C76D12">
      <w:pPr>
        <w:pStyle w:val="FootnoteText"/>
      </w:pPr>
      <w:r w:rsidRPr="005648AD">
        <w:rPr>
          <w:rStyle w:val="FootnoteReference"/>
          <w:rFonts w:ascii="Arial" w:hAnsi="Arial" w:cs="Arial"/>
          <w:color w:val="000000" w:themeColor="text1"/>
          <w:sz w:val="18"/>
          <w:szCs w:val="18"/>
        </w:rPr>
        <w:footnoteRef/>
      </w:r>
      <w:r w:rsidRPr="005648AD">
        <w:rPr>
          <w:rFonts w:ascii="Arial" w:hAnsi="Arial" w:cs="Arial"/>
          <w:color w:val="000000" w:themeColor="text1"/>
          <w:sz w:val="18"/>
          <w:szCs w:val="18"/>
        </w:rPr>
        <w:t xml:space="preserve"> MLF: Municipal Liquidity Facility</w:t>
      </w:r>
      <w:r w:rsidRPr="005648AD">
        <w:rPr>
          <w:color w:val="000000" w:themeColor="text1"/>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BC140A" w14:textId="77777777" w:rsidR="00941416" w:rsidRPr="00582484" w:rsidRDefault="00941416" w:rsidP="00161306">
    <w:pPr>
      <w:pStyle w:val="Header"/>
      <w:ind w:right="604"/>
      <w:jc w:val="right"/>
      <w:rPr>
        <w:sz w:val="16"/>
        <w:szCs w:val="16"/>
      </w:rPr>
    </w:pPr>
  </w:p>
  <w:p w14:paraId="2159A831" w14:textId="77777777" w:rsidR="00941416" w:rsidRDefault="00941416" w:rsidP="00A25A14">
    <w:pPr>
      <w:pStyle w:val="Header"/>
      <w:ind w:right="604"/>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43C7F52"/>
    <w:multiLevelType w:val="multilevel"/>
    <w:tmpl w:val="8ED62DC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nsid w:val="55D808FB"/>
    <w:multiLevelType w:val="multilevel"/>
    <w:tmpl w:val="5C9A0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5FC5"/>
    <w:rsid w:val="000074DF"/>
    <w:rsid w:val="00034DB6"/>
    <w:rsid w:val="001921F4"/>
    <w:rsid w:val="001A1B46"/>
    <w:rsid w:val="00244DB2"/>
    <w:rsid w:val="0024750E"/>
    <w:rsid w:val="0027757C"/>
    <w:rsid w:val="00305831"/>
    <w:rsid w:val="003A035C"/>
    <w:rsid w:val="00444A84"/>
    <w:rsid w:val="00457CA4"/>
    <w:rsid w:val="004D2A01"/>
    <w:rsid w:val="00503CEC"/>
    <w:rsid w:val="00524B0D"/>
    <w:rsid w:val="00560BEA"/>
    <w:rsid w:val="005648AD"/>
    <w:rsid w:val="005D1330"/>
    <w:rsid w:val="005E40A2"/>
    <w:rsid w:val="00631305"/>
    <w:rsid w:val="006861CB"/>
    <w:rsid w:val="006C2B1B"/>
    <w:rsid w:val="006D101B"/>
    <w:rsid w:val="007221CA"/>
    <w:rsid w:val="007A2D62"/>
    <w:rsid w:val="008914F1"/>
    <w:rsid w:val="00891B46"/>
    <w:rsid w:val="00941416"/>
    <w:rsid w:val="00967C33"/>
    <w:rsid w:val="00996D08"/>
    <w:rsid w:val="009D6BED"/>
    <w:rsid w:val="009E37DF"/>
    <w:rsid w:val="00A001C0"/>
    <w:rsid w:val="00A76F7B"/>
    <w:rsid w:val="00A84E5C"/>
    <w:rsid w:val="00AA4DF2"/>
    <w:rsid w:val="00AC1456"/>
    <w:rsid w:val="00B60FC6"/>
    <w:rsid w:val="00B6675E"/>
    <w:rsid w:val="00BB664F"/>
    <w:rsid w:val="00BE6FC5"/>
    <w:rsid w:val="00C76D12"/>
    <w:rsid w:val="00CF79DC"/>
    <w:rsid w:val="00D00D1B"/>
    <w:rsid w:val="00D42FAC"/>
    <w:rsid w:val="00D4342D"/>
    <w:rsid w:val="00DB530A"/>
    <w:rsid w:val="00DC34DD"/>
    <w:rsid w:val="00DD1A08"/>
    <w:rsid w:val="00DE12C1"/>
    <w:rsid w:val="00E16BC0"/>
    <w:rsid w:val="00EB248D"/>
    <w:rsid w:val="00EB7F02"/>
    <w:rsid w:val="00F2784B"/>
    <w:rsid w:val="00F400EE"/>
    <w:rsid w:val="00FE709D"/>
    <w:rsid w:val="00FF5FC5"/>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CF1FC0"/>
  <w15:chartTrackingRefBased/>
  <w15:docId w15:val="{9029ECA2-0CCA-47BB-8D2C-EA8C5CF63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8"/>
        <w:lang w:val="en-US" w:eastAsia="en-US" w:bidi="bn-BD"/>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00D1B"/>
    <w:pPr>
      <w:keepNext/>
      <w:keepLines/>
      <w:spacing w:before="240" w:after="0"/>
      <w:outlineLvl w:val="0"/>
    </w:pPr>
    <w:rPr>
      <w:rFonts w:asciiTheme="majorHAnsi" w:eastAsiaTheme="majorEastAsia" w:hAnsiTheme="majorHAnsi" w:cstheme="majorBidi"/>
      <w:color w:val="2F5496" w:themeColor="accent1" w:themeShade="BF"/>
      <w:sz w:val="32"/>
      <w:szCs w:val="3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7C33"/>
    <w:pPr>
      <w:ind w:left="720"/>
      <w:contextualSpacing/>
    </w:pPr>
  </w:style>
  <w:style w:type="paragraph" w:styleId="FootnoteText">
    <w:name w:val="footnote text"/>
    <w:basedOn w:val="Normal"/>
    <w:link w:val="FootnoteTextChar"/>
    <w:uiPriority w:val="99"/>
    <w:semiHidden/>
    <w:unhideWhenUsed/>
    <w:rsid w:val="005D1330"/>
    <w:pPr>
      <w:spacing w:after="0" w:line="240" w:lineRule="auto"/>
    </w:pPr>
    <w:rPr>
      <w:sz w:val="20"/>
      <w:szCs w:val="25"/>
    </w:rPr>
  </w:style>
  <w:style w:type="character" w:customStyle="1" w:styleId="FootnoteTextChar">
    <w:name w:val="Footnote Text Char"/>
    <w:basedOn w:val="DefaultParagraphFont"/>
    <w:link w:val="FootnoteText"/>
    <w:uiPriority w:val="99"/>
    <w:semiHidden/>
    <w:rsid w:val="005D1330"/>
    <w:rPr>
      <w:sz w:val="20"/>
      <w:szCs w:val="25"/>
    </w:rPr>
  </w:style>
  <w:style w:type="character" w:styleId="FootnoteReference">
    <w:name w:val="footnote reference"/>
    <w:basedOn w:val="DefaultParagraphFont"/>
    <w:uiPriority w:val="99"/>
    <w:semiHidden/>
    <w:unhideWhenUsed/>
    <w:rsid w:val="005D1330"/>
    <w:rPr>
      <w:vertAlign w:val="superscript"/>
    </w:rPr>
  </w:style>
  <w:style w:type="character" w:styleId="Hyperlink">
    <w:name w:val="Hyperlink"/>
    <w:basedOn w:val="DefaultParagraphFont"/>
    <w:uiPriority w:val="99"/>
    <w:semiHidden/>
    <w:unhideWhenUsed/>
    <w:rsid w:val="00BE6FC5"/>
    <w:rPr>
      <w:color w:val="0000FF"/>
      <w:u w:val="single"/>
    </w:rPr>
  </w:style>
  <w:style w:type="paragraph" w:styleId="NormalWeb">
    <w:name w:val="Normal (Web)"/>
    <w:basedOn w:val="Normal"/>
    <w:uiPriority w:val="99"/>
    <w:semiHidden/>
    <w:unhideWhenUsed/>
    <w:rsid w:val="00DB530A"/>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B530A"/>
    <w:rPr>
      <w:i/>
      <w:iCs/>
    </w:rPr>
  </w:style>
  <w:style w:type="character" w:styleId="Strong">
    <w:name w:val="Strong"/>
    <w:basedOn w:val="DefaultParagraphFont"/>
    <w:uiPriority w:val="22"/>
    <w:qFormat/>
    <w:rsid w:val="004D2A01"/>
    <w:rPr>
      <w:b/>
      <w:bCs/>
    </w:rPr>
  </w:style>
  <w:style w:type="character" w:customStyle="1" w:styleId="Heading1Char">
    <w:name w:val="Heading 1 Char"/>
    <w:basedOn w:val="DefaultParagraphFont"/>
    <w:link w:val="Heading1"/>
    <w:uiPriority w:val="9"/>
    <w:rsid w:val="00D00D1B"/>
    <w:rPr>
      <w:rFonts w:asciiTheme="majorHAnsi" w:eastAsiaTheme="majorEastAsia" w:hAnsiTheme="majorHAnsi" w:cstheme="majorBidi"/>
      <w:color w:val="2F5496" w:themeColor="accent1" w:themeShade="BF"/>
      <w:sz w:val="32"/>
      <w:szCs w:val="32"/>
      <w:lang w:bidi="ar-SA"/>
    </w:rPr>
  </w:style>
  <w:style w:type="paragraph" w:styleId="Bibliography">
    <w:name w:val="Bibliography"/>
    <w:basedOn w:val="Normal"/>
    <w:next w:val="Normal"/>
    <w:uiPriority w:val="37"/>
    <w:unhideWhenUsed/>
    <w:rsid w:val="00D00D1B"/>
  </w:style>
  <w:style w:type="paragraph" w:styleId="BodyText">
    <w:name w:val="Body Text"/>
    <w:basedOn w:val="Normal"/>
    <w:link w:val="BodyTextChar"/>
    <w:uiPriority w:val="1"/>
    <w:qFormat/>
    <w:rsid w:val="00941416"/>
    <w:pPr>
      <w:widowControl w:val="0"/>
      <w:spacing w:after="0" w:line="240" w:lineRule="auto"/>
      <w:ind w:left="20"/>
    </w:pPr>
    <w:rPr>
      <w:rFonts w:ascii="Times New Roman" w:eastAsia="Times New Roman" w:hAnsi="Times New Roman"/>
      <w:sz w:val="18"/>
      <w:szCs w:val="18"/>
      <w:lang w:bidi="ar-SA"/>
    </w:rPr>
  </w:style>
  <w:style w:type="character" w:customStyle="1" w:styleId="BodyTextChar">
    <w:name w:val="Body Text Char"/>
    <w:basedOn w:val="DefaultParagraphFont"/>
    <w:link w:val="BodyText"/>
    <w:uiPriority w:val="1"/>
    <w:rsid w:val="00941416"/>
    <w:rPr>
      <w:rFonts w:ascii="Times New Roman" w:eastAsia="Times New Roman" w:hAnsi="Times New Roman"/>
      <w:sz w:val="18"/>
      <w:szCs w:val="18"/>
      <w:lang w:bidi="ar-SA"/>
    </w:rPr>
  </w:style>
  <w:style w:type="paragraph" w:styleId="Header">
    <w:name w:val="header"/>
    <w:basedOn w:val="Normal"/>
    <w:link w:val="HeaderChar"/>
    <w:uiPriority w:val="99"/>
    <w:unhideWhenUsed/>
    <w:rsid w:val="00941416"/>
    <w:pPr>
      <w:widowControl w:val="0"/>
      <w:tabs>
        <w:tab w:val="center" w:pos="4680"/>
        <w:tab w:val="right" w:pos="9360"/>
      </w:tabs>
      <w:spacing w:after="0" w:line="240" w:lineRule="auto"/>
    </w:pPr>
    <w:rPr>
      <w:szCs w:val="22"/>
      <w:lang w:bidi="ar-SA"/>
    </w:rPr>
  </w:style>
  <w:style w:type="character" w:customStyle="1" w:styleId="HeaderChar">
    <w:name w:val="Header Char"/>
    <w:basedOn w:val="DefaultParagraphFont"/>
    <w:link w:val="Header"/>
    <w:uiPriority w:val="99"/>
    <w:rsid w:val="00941416"/>
    <w:rPr>
      <w:szCs w:val="22"/>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47581">
      <w:bodyDiv w:val="1"/>
      <w:marLeft w:val="0"/>
      <w:marRight w:val="0"/>
      <w:marTop w:val="0"/>
      <w:marBottom w:val="0"/>
      <w:divBdr>
        <w:top w:val="none" w:sz="0" w:space="0" w:color="auto"/>
        <w:left w:val="none" w:sz="0" w:space="0" w:color="auto"/>
        <w:bottom w:val="none" w:sz="0" w:space="0" w:color="auto"/>
        <w:right w:val="none" w:sz="0" w:space="0" w:color="auto"/>
      </w:divBdr>
    </w:div>
    <w:div w:id="13305913">
      <w:bodyDiv w:val="1"/>
      <w:marLeft w:val="0"/>
      <w:marRight w:val="0"/>
      <w:marTop w:val="0"/>
      <w:marBottom w:val="0"/>
      <w:divBdr>
        <w:top w:val="none" w:sz="0" w:space="0" w:color="auto"/>
        <w:left w:val="none" w:sz="0" w:space="0" w:color="auto"/>
        <w:bottom w:val="none" w:sz="0" w:space="0" w:color="auto"/>
        <w:right w:val="none" w:sz="0" w:space="0" w:color="auto"/>
      </w:divBdr>
    </w:div>
    <w:div w:id="165825833">
      <w:bodyDiv w:val="1"/>
      <w:marLeft w:val="0"/>
      <w:marRight w:val="0"/>
      <w:marTop w:val="0"/>
      <w:marBottom w:val="0"/>
      <w:divBdr>
        <w:top w:val="none" w:sz="0" w:space="0" w:color="auto"/>
        <w:left w:val="none" w:sz="0" w:space="0" w:color="auto"/>
        <w:bottom w:val="none" w:sz="0" w:space="0" w:color="auto"/>
        <w:right w:val="none" w:sz="0" w:space="0" w:color="auto"/>
      </w:divBdr>
    </w:div>
    <w:div w:id="182867779">
      <w:bodyDiv w:val="1"/>
      <w:marLeft w:val="0"/>
      <w:marRight w:val="0"/>
      <w:marTop w:val="0"/>
      <w:marBottom w:val="0"/>
      <w:divBdr>
        <w:top w:val="none" w:sz="0" w:space="0" w:color="auto"/>
        <w:left w:val="none" w:sz="0" w:space="0" w:color="auto"/>
        <w:bottom w:val="none" w:sz="0" w:space="0" w:color="auto"/>
        <w:right w:val="none" w:sz="0" w:space="0" w:color="auto"/>
      </w:divBdr>
    </w:div>
    <w:div w:id="190724110">
      <w:bodyDiv w:val="1"/>
      <w:marLeft w:val="0"/>
      <w:marRight w:val="0"/>
      <w:marTop w:val="0"/>
      <w:marBottom w:val="0"/>
      <w:divBdr>
        <w:top w:val="none" w:sz="0" w:space="0" w:color="auto"/>
        <w:left w:val="none" w:sz="0" w:space="0" w:color="auto"/>
        <w:bottom w:val="none" w:sz="0" w:space="0" w:color="auto"/>
        <w:right w:val="none" w:sz="0" w:space="0" w:color="auto"/>
      </w:divBdr>
    </w:div>
    <w:div w:id="224029299">
      <w:bodyDiv w:val="1"/>
      <w:marLeft w:val="0"/>
      <w:marRight w:val="0"/>
      <w:marTop w:val="0"/>
      <w:marBottom w:val="0"/>
      <w:divBdr>
        <w:top w:val="none" w:sz="0" w:space="0" w:color="auto"/>
        <w:left w:val="none" w:sz="0" w:space="0" w:color="auto"/>
        <w:bottom w:val="none" w:sz="0" w:space="0" w:color="auto"/>
        <w:right w:val="none" w:sz="0" w:space="0" w:color="auto"/>
      </w:divBdr>
    </w:div>
    <w:div w:id="349642874">
      <w:bodyDiv w:val="1"/>
      <w:marLeft w:val="0"/>
      <w:marRight w:val="0"/>
      <w:marTop w:val="0"/>
      <w:marBottom w:val="0"/>
      <w:divBdr>
        <w:top w:val="none" w:sz="0" w:space="0" w:color="auto"/>
        <w:left w:val="none" w:sz="0" w:space="0" w:color="auto"/>
        <w:bottom w:val="none" w:sz="0" w:space="0" w:color="auto"/>
        <w:right w:val="none" w:sz="0" w:space="0" w:color="auto"/>
      </w:divBdr>
    </w:div>
    <w:div w:id="386419960">
      <w:bodyDiv w:val="1"/>
      <w:marLeft w:val="0"/>
      <w:marRight w:val="0"/>
      <w:marTop w:val="0"/>
      <w:marBottom w:val="0"/>
      <w:divBdr>
        <w:top w:val="none" w:sz="0" w:space="0" w:color="auto"/>
        <w:left w:val="none" w:sz="0" w:space="0" w:color="auto"/>
        <w:bottom w:val="none" w:sz="0" w:space="0" w:color="auto"/>
        <w:right w:val="none" w:sz="0" w:space="0" w:color="auto"/>
      </w:divBdr>
    </w:div>
    <w:div w:id="540047207">
      <w:bodyDiv w:val="1"/>
      <w:marLeft w:val="0"/>
      <w:marRight w:val="0"/>
      <w:marTop w:val="0"/>
      <w:marBottom w:val="0"/>
      <w:divBdr>
        <w:top w:val="none" w:sz="0" w:space="0" w:color="auto"/>
        <w:left w:val="none" w:sz="0" w:space="0" w:color="auto"/>
        <w:bottom w:val="none" w:sz="0" w:space="0" w:color="auto"/>
        <w:right w:val="none" w:sz="0" w:space="0" w:color="auto"/>
      </w:divBdr>
    </w:div>
    <w:div w:id="658273645">
      <w:bodyDiv w:val="1"/>
      <w:marLeft w:val="0"/>
      <w:marRight w:val="0"/>
      <w:marTop w:val="0"/>
      <w:marBottom w:val="0"/>
      <w:divBdr>
        <w:top w:val="none" w:sz="0" w:space="0" w:color="auto"/>
        <w:left w:val="none" w:sz="0" w:space="0" w:color="auto"/>
        <w:bottom w:val="none" w:sz="0" w:space="0" w:color="auto"/>
        <w:right w:val="none" w:sz="0" w:space="0" w:color="auto"/>
      </w:divBdr>
    </w:div>
    <w:div w:id="772897564">
      <w:bodyDiv w:val="1"/>
      <w:marLeft w:val="0"/>
      <w:marRight w:val="0"/>
      <w:marTop w:val="0"/>
      <w:marBottom w:val="0"/>
      <w:divBdr>
        <w:top w:val="none" w:sz="0" w:space="0" w:color="auto"/>
        <w:left w:val="none" w:sz="0" w:space="0" w:color="auto"/>
        <w:bottom w:val="none" w:sz="0" w:space="0" w:color="auto"/>
        <w:right w:val="none" w:sz="0" w:space="0" w:color="auto"/>
      </w:divBdr>
    </w:div>
    <w:div w:id="826820582">
      <w:bodyDiv w:val="1"/>
      <w:marLeft w:val="0"/>
      <w:marRight w:val="0"/>
      <w:marTop w:val="0"/>
      <w:marBottom w:val="0"/>
      <w:divBdr>
        <w:top w:val="none" w:sz="0" w:space="0" w:color="auto"/>
        <w:left w:val="none" w:sz="0" w:space="0" w:color="auto"/>
        <w:bottom w:val="none" w:sz="0" w:space="0" w:color="auto"/>
        <w:right w:val="none" w:sz="0" w:space="0" w:color="auto"/>
      </w:divBdr>
    </w:div>
    <w:div w:id="963578808">
      <w:bodyDiv w:val="1"/>
      <w:marLeft w:val="0"/>
      <w:marRight w:val="0"/>
      <w:marTop w:val="0"/>
      <w:marBottom w:val="0"/>
      <w:divBdr>
        <w:top w:val="none" w:sz="0" w:space="0" w:color="auto"/>
        <w:left w:val="none" w:sz="0" w:space="0" w:color="auto"/>
        <w:bottom w:val="none" w:sz="0" w:space="0" w:color="auto"/>
        <w:right w:val="none" w:sz="0" w:space="0" w:color="auto"/>
      </w:divBdr>
    </w:div>
    <w:div w:id="1012729528">
      <w:bodyDiv w:val="1"/>
      <w:marLeft w:val="0"/>
      <w:marRight w:val="0"/>
      <w:marTop w:val="0"/>
      <w:marBottom w:val="0"/>
      <w:divBdr>
        <w:top w:val="none" w:sz="0" w:space="0" w:color="auto"/>
        <w:left w:val="none" w:sz="0" w:space="0" w:color="auto"/>
        <w:bottom w:val="none" w:sz="0" w:space="0" w:color="auto"/>
        <w:right w:val="none" w:sz="0" w:space="0" w:color="auto"/>
      </w:divBdr>
    </w:div>
    <w:div w:id="1029257605">
      <w:bodyDiv w:val="1"/>
      <w:marLeft w:val="0"/>
      <w:marRight w:val="0"/>
      <w:marTop w:val="0"/>
      <w:marBottom w:val="0"/>
      <w:divBdr>
        <w:top w:val="none" w:sz="0" w:space="0" w:color="auto"/>
        <w:left w:val="none" w:sz="0" w:space="0" w:color="auto"/>
        <w:bottom w:val="none" w:sz="0" w:space="0" w:color="auto"/>
        <w:right w:val="none" w:sz="0" w:space="0" w:color="auto"/>
      </w:divBdr>
    </w:div>
    <w:div w:id="1035620324">
      <w:bodyDiv w:val="1"/>
      <w:marLeft w:val="0"/>
      <w:marRight w:val="0"/>
      <w:marTop w:val="0"/>
      <w:marBottom w:val="0"/>
      <w:divBdr>
        <w:top w:val="none" w:sz="0" w:space="0" w:color="auto"/>
        <w:left w:val="none" w:sz="0" w:space="0" w:color="auto"/>
        <w:bottom w:val="none" w:sz="0" w:space="0" w:color="auto"/>
        <w:right w:val="none" w:sz="0" w:space="0" w:color="auto"/>
      </w:divBdr>
    </w:div>
    <w:div w:id="1053892497">
      <w:bodyDiv w:val="1"/>
      <w:marLeft w:val="0"/>
      <w:marRight w:val="0"/>
      <w:marTop w:val="0"/>
      <w:marBottom w:val="0"/>
      <w:divBdr>
        <w:top w:val="none" w:sz="0" w:space="0" w:color="auto"/>
        <w:left w:val="none" w:sz="0" w:space="0" w:color="auto"/>
        <w:bottom w:val="none" w:sz="0" w:space="0" w:color="auto"/>
        <w:right w:val="none" w:sz="0" w:space="0" w:color="auto"/>
      </w:divBdr>
    </w:div>
    <w:div w:id="1308169111">
      <w:bodyDiv w:val="1"/>
      <w:marLeft w:val="0"/>
      <w:marRight w:val="0"/>
      <w:marTop w:val="0"/>
      <w:marBottom w:val="0"/>
      <w:divBdr>
        <w:top w:val="none" w:sz="0" w:space="0" w:color="auto"/>
        <w:left w:val="none" w:sz="0" w:space="0" w:color="auto"/>
        <w:bottom w:val="none" w:sz="0" w:space="0" w:color="auto"/>
        <w:right w:val="none" w:sz="0" w:space="0" w:color="auto"/>
      </w:divBdr>
    </w:div>
    <w:div w:id="1515421111">
      <w:bodyDiv w:val="1"/>
      <w:marLeft w:val="0"/>
      <w:marRight w:val="0"/>
      <w:marTop w:val="0"/>
      <w:marBottom w:val="0"/>
      <w:divBdr>
        <w:top w:val="none" w:sz="0" w:space="0" w:color="auto"/>
        <w:left w:val="none" w:sz="0" w:space="0" w:color="auto"/>
        <w:bottom w:val="none" w:sz="0" w:space="0" w:color="auto"/>
        <w:right w:val="none" w:sz="0" w:space="0" w:color="auto"/>
      </w:divBdr>
    </w:div>
    <w:div w:id="1739549308">
      <w:bodyDiv w:val="1"/>
      <w:marLeft w:val="0"/>
      <w:marRight w:val="0"/>
      <w:marTop w:val="0"/>
      <w:marBottom w:val="0"/>
      <w:divBdr>
        <w:top w:val="none" w:sz="0" w:space="0" w:color="auto"/>
        <w:left w:val="none" w:sz="0" w:space="0" w:color="auto"/>
        <w:bottom w:val="none" w:sz="0" w:space="0" w:color="auto"/>
        <w:right w:val="none" w:sz="0" w:space="0" w:color="auto"/>
      </w:divBdr>
    </w:div>
    <w:div w:id="1910649014">
      <w:bodyDiv w:val="1"/>
      <w:marLeft w:val="0"/>
      <w:marRight w:val="0"/>
      <w:marTop w:val="0"/>
      <w:marBottom w:val="0"/>
      <w:divBdr>
        <w:top w:val="none" w:sz="0" w:space="0" w:color="auto"/>
        <w:left w:val="none" w:sz="0" w:space="0" w:color="auto"/>
        <w:bottom w:val="none" w:sz="0" w:space="0" w:color="auto"/>
        <w:right w:val="none" w:sz="0" w:space="0" w:color="auto"/>
      </w:divBdr>
    </w:div>
    <w:div w:id="1978758818">
      <w:bodyDiv w:val="1"/>
      <w:marLeft w:val="0"/>
      <w:marRight w:val="0"/>
      <w:marTop w:val="0"/>
      <w:marBottom w:val="0"/>
      <w:divBdr>
        <w:top w:val="none" w:sz="0" w:space="0" w:color="auto"/>
        <w:left w:val="none" w:sz="0" w:space="0" w:color="auto"/>
        <w:bottom w:val="none" w:sz="0" w:space="0" w:color="auto"/>
        <w:right w:val="none" w:sz="0" w:space="0" w:color="auto"/>
      </w:divBdr>
    </w:div>
    <w:div w:id="1995643181">
      <w:bodyDiv w:val="1"/>
      <w:marLeft w:val="0"/>
      <w:marRight w:val="0"/>
      <w:marTop w:val="0"/>
      <w:marBottom w:val="0"/>
      <w:divBdr>
        <w:top w:val="none" w:sz="0" w:space="0" w:color="auto"/>
        <w:left w:val="none" w:sz="0" w:space="0" w:color="auto"/>
        <w:bottom w:val="none" w:sz="0" w:space="0" w:color="auto"/>
        <w:right w:val="none" w:sz="0" w:space="0" w:color="auto"/>
      </w:divBdr>
    </w:div>
    <w:div w:id="2042124572">
      <w:bodyDiv w:val="1"/>
      <w:marLeft w:val="0"/>
      <w:marRight w:val="0"/>
      <w:marTop w:val="0"/>
      <w:marBottom w:val="0"/>
      <w:divBdr>
        <w:top w:val="none" w:sz="0" w:space="0" w:color="auto"/>
        <w:left w:val="none" w:sz="0" w:space="0" w:color="auto"/>
        <w:bottom w:val="none" w:sz="0" w:space="0" w:color="auto"/>
        <w:right w:val="none" w:sz="0" w:space="0" w:color="auto"/>
      </w:divBdr>
    </w:div>
    <w:div w:id="2066904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Hus20</b:Tag>
    <b:SourceType>InternetSite</b:SourceType>
    <b:Guid>{03CCE0BF-B81B-4F1B-8B1C-C9F318687F20}</b:Guid>
    <b:Title>Business Insider</b:Title>
    <b:Year>2020</b:Year>
    <b:Author>
      <b:Author>
        <b:NameList>
          <b:Person>
            <b:Last>Hussain</b:Last>
            <b:First>Ali</b:First>
          </b:Person>
        </b:NameList>
      </b:Author>
    </b:Author>
    <b:InternetSiteTitle>How the Federal Reserve uses expansionary monetary policy to stimulate growth during an economic downturn</b:InternetSiteTitle>
    <b:Month>October</b:Month>
    <b:Day>6</b:Day>
    <b:URL>https://www.businessinsider.com/what-is-expansionary-monetary-policy</b:URL>
    <b:YearAccessed>2021</b:YearAccessed>
    <b:MonthAccessed>March</b:MonthAccessed>
    <b:DayAccessed>26</b:DayAccessed>
    <b:RefOrder>4</b:RefOrder>
  </b:Source>
  <b:Source>
    <b:Tag>Wil15</b:Tag>
    <b:SourceType>Book</b:SourceType>
    <b:Guid>{01EABE83-0DC4-4239-84BE-0AB18AF62073}</b:Guid>
    <b:Title>Macroeconomics</b:Title>
    <b:Year>2015</b:Year>
    <b:Author>
      <b:Author>
        <b:NameList>
          <b:Person>
            <b:Last>Boyes</b:Last>
            <b:First>William</b:First>
          </b:Person>
          <b:Person>
            <b:Last>Melvin</b:Last>
            <b:First>‎Michael</b:First>
          </b:Person>
        </b:NameList>
      </b:Author>
    </b:Author>
    <b:City>Boston, Massachusetts, United States</b:City>
    <b:Publisher>Cengage Learning Edition </b:Publisher>
    <b:RefOrder>6</b:RefOrder>
  </b:Source>
  <b:Source>
    <b:Tag>Ste17</b:Tag>
    <b:SourceType>Book</b:SourceType>
    <b:Guid>{0A83C0D7-26C0-46CF-B0F0-B06ACB266D66}</b:Guid>
    <b:Author>
      <b:Author>
        <b:NameList>
          <b:Person>
            <b:Last>Greenlaw</b:Last>
            <b:First>Steven</b:First>
            <b:Middle>A.</b:Middle>
          </b:Person>
          <b:Person>
            <b:Last>Shapiro</b:Last>
            <b:First>‎David</b:First>
          </b:Person>
          <b:Person>
            <b:Last>Taylor</b:Last>
            <b:First>‎Timothy</b:First>
          </b:Person>
        </b:NameList>
      </b:Author>
    </b:Author>
    <b:Title>Principles of Microeconomics (Second Edition) </b:Title>
    <b:Year>2017</b:Year>
    <b:City>6100 Main Street MS-375. Houston, United States </b:City>
    <b:Publisher>OpenStax</b:Publisher>
    <b:RefOrder>1</b:RefOrder>
  </b:Source>
  <b:Source>
    <b:Tag>Rud17</b:Tag>
    <b:SourceType>Book</b:SourceType>
    <b:Guid>{37A2F9D3-7C7D-4600-B4C3-F292F90B403B}</b:Guid>
    <b:Author>
      <b:Author>
        <b:NameList>
          <b:Person>
            <b:Last>Dornbusch</b:Last>
            <b:First>Rudiger</b:First>
          </b:Person>
          <b:Person>
            <b:Last>Fischer</b:Last>
            <b:First>‎Stanley</b:First>
          </b:Person>
          <b:Person>
            <b:Last>Startz</b:Last>
            <b:First>‎Richard</b:First>
          </b:Person>
        </b:NameList>
      </b:Author>
    </b:Author>
    <b:Title>Macroeconomics</b:Title>
    <b:Year>2017</b:Year>
    <b:City>Pennsylvania Plaza, New York City, United States</b:City>
    <b:Publisher>McGraw-Hill Education</b:Publisher>
    <b:RefOrder>2</b:RefOrder>
  </b:Source>
  <b:Source>
    <b:Tag>Int21</b:Tag>
    <b:SourceType>InternetSite</b:SourceType>
    <b:Guid>{C1BD5413-7058-4A25-9D7C-1C0EAE1D9068}</b:Guid>
    <b:Title>International Monetary Fund</b:Title>
    <b:Year>2021</b:Year>
    <b:InternetSiteTitle>Policy Responses to COVID-19</b:InternetSiteTitle>
    <b:URL>https://www.imf.org/en/Topics/imf-and-covid19/Policy-Responses-to-COVID-19#U</b:URL>
    <b:YearAccessed>2021</b:YearAccessed>
    <b:MonthAccessed>March </b:MonthAccessed>
    <b:DayAccessed>27</b:DayAccessed>
    <b:RefOrder>5</b:RefOrder>
  </b:Source>
  <b:Source>
    <b:Tag>Mer211</b:Tag>
    <b:SourceType>InternetSite</b:SourceType>
    <b:Guid>{3950464A-2DA8-4EE7-882D-5098EBD307D6}</b:Guid>
    <b:Author>
      <b:Author>
        <b:NameList>
          <b:Person>
            <b:Last>Meraw</b:Last>
            <b:First>Shannon</b:First>
          </b:Person>
        </b:NameList>
      </b:Author>
    </b:Author>
    <b:Title>Brookings</b:Title>
    <b:InternetSiteTitle>What’s the Fed doing in response to the COVID-19 crisis? What more could it do?</b:InternetSiteTitle>
    <b:Year>2021</b:Year>
    <b:URL>https://www.brookings.edu/research/fed-response-to-covid19/</b:URL>
    <b:YearAccessed>2021</b:YearAccessed>
    <b:MonthAccessed>March</b:MonthAccessed>
    <b:DayAccessed>26</b:DayAccessed>
    <b:RefOrder>3</b:RefOrder>
  </b:Source>
  <b:Source>
    <b:Tag>Bul20</b:Tag>
    <b:SourceType>InternetSite</b:SourceType>
    <b:Guid>{1618BA54-406F-48FE-BE62-95526B65D946}</b:Guid>
    <b:Author>
      <b:Author>
        <b:NameList>
          <b:Person>
            <b:Last>Bullard</b:Last>
            <b:First>James</b:First>
          </b:Person>
        </b:NameList>
      </b:Author>
    </b:Author>
    <b:Title>Federal Reserve Bank of ST. LOUIS</b:Title>
    <b:InternetSiteTitle>Monetary Policy and Fiscal Policy Responses to the COVID-19 Crisis</b:InternetSiteTitle>
    <b:Year>2020</b:Year>
    <b:Month>November</b:Month>
    <b:Day>10</b:Day>
    <b:URL>https://www.stlouisfed.org/publications/regional-economist/fourth-quarter-2020/monetary-policy-fiscal-policy-responses-covid-crisis</b:URL>
    <b:YearAccessed>2021</b:YearAccessed>
    <b:MonthAccessed>March</b:MonthAccessed>
    <b:DayAccessed>26</b:DayAccessed>
    <b:RefOrder>7</b:RefOrder>
  </b:Source>
</b:Sources>
</file>

<file path=customXml/itemProps1.xml><?xml version="1.0" encoding="utf-8"?>
<ds:datastoreItem xmlns:ds="http://schemas.openxmlformats.org/officeDocument/2006/customXml" ds:itemID="{B16A936B-98EC-4544-86E7-BCC1706771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1241</Words>
  <Characters>7075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salauddin morshed</dc:creator>
  <cp:keywords/>
  <dc:description/>
  <cp:lastModifiedBy>Salauddin Morshed</cp:lastModifiedBy>
  <cp:revision>2</cp:revision>
  <dcterms:created xsi:type="dcterms:W3CDTF">2021-03-28T06:16:00Z</dcterms:created>
  <dcterms:modified xsi:type="dcterms:W3CDTF">2021-03-28T06:16:00Z</dcterms:modified>
</cp:coreProperties>
</file>