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28EF" w:rsidRDefault="007928EF" w:rsidP="007E354C">
      <w:pPr>
        <w:spacing w:after="120"/>
        <w:jc w:val="center"/>
      </w:pPr>
    </w:p>
    <w:p w:rsidR="007928EF" w:rsidRDefault="007928EF" w:rsidP="007E354C">
      <w:pPr>
        <w:spacing w:after="120"/>
        <w:jc w:val="center"/>
      </w:pPr>
    </w:p>
    <w:p w:rsidR="007928EF" w:rsidRDefault="007928EF" w:rsidP="007E354C">
      <w:pPr>
        <w:spacing w:after="120"/>
        <w:jc w:val="center"/>
      </w:pPr>
    </w:p>
    <w:p w:rsidR="007928EF" w:rsidRDefault="007928EF" w:rsidP="007E354C">
      <w:pPr>
        <w:spacing w:after="120"/>
        <w:jc w:val="center"/>
      </w:pPr>
    </w:p>
    <w:p w:rsidR="007928EF" w:rsidRDefault="007928EF" w:rsidP="007E354C">
      <w:pPr>
        <w:spacing w:after="120"/>
        <w:jc w:val="center"/>
      </w:pPr>
    </w:p>
    <w:p w:rsidR="007928EF" w:rsidRDefault="007928EF" w:rsidP="007E354C">
      <w:pPr>
        <w:spacing w:after="120"/>
        <w:jc w:val="center"/>
      </w:pPr>
      <w:r w:rsidRPr="007928EF">
        <w:t>Miranda V. Arizona</w:t>
      </w:r>
    </w:p>
    <w:p w:rsidR="007928EF" w:rsidRDefault="007928EF" w:rsidP="007E354C">
      <w:pPr>
        <w:spacing w:after="120"/>
        <w:jc w:val="center"/>
      </w:pPr>
      <w:r>
        <w:t>Student</w:t>
      </w:r>
    </w:p>
    <w:p w:rsidR="007928EF" w:rsidRDefault="007928EF" w:rsidP="007E354C">
      <w:pPr>
        <w:spacing w:after="120"/>
        <w:jc w:val="center"/>
      </w:pPr>
      <w:r>
        <w:t>Institution</w:t>
      </w:r>
    </w:p>
    <w:p w:rsidR="007928EF" w:rsidRDefault="007928EF" w:rsidP="007E354C">
      <w:pPr>
        <w:spacing w:after="120"/>
        <w:jc w:val="center"/>
      </w:pPr>
      <w:r>
        <w:t>Class</w:t>
      </w:r>
    </w:p>
    <w:p w:rsidR="007928EF" w:rsidRDefault="007928EF" w:rsidP="007E354C">
      <w:pPr>
        <w:spacing w:after="120"/>
        <w:jc w:val="center"/>
      </w:pPr>
      <w:r>
        <w:t>Professor</w:t>
      </w:r>
    </w:p>
    <w:p w:rsidR="007928EF" w:rsidRDefault="007928EF" w:rsidP="007E354C">
      <w:pPr>
        <w:spacing w:after="120"/>
        <w:jc w:val="center"/>
      </w:pPr>
      <w:r>
        <w:t>Date</w:t>
      </w:r>
    </w:p>
    <w:p w:rsidR="007928EF" w:rsidRDefault="007928EF">
      <w:r>
        <w:br w:type="page"/>
      </w:r>
    </w:p>
    <w:p w:rsidR="00B6245A" w:rsidRDefault="00ED478C" w:rsidP="007E354C">
      <w:pPr>
        <w:spacing w:after="120"/>
        <w:jc w:val="center"/>
      </w:pPr>
      <w:r>
        <w:lastRenderedPageBreak/>
        <w:t>Miranda V. Arizona</w:t>
      </w:r>
    </w:p>
    <w:p w:rsidR="00C82648" w:rsidRPr="004374F7" w:rsidRDefault="004374F7" w:rsidP="007E354C">
      <w:pPr>
        <w:spacing w:after="120"/>
        <w:rPr>
          <w:b/>
        </w:rPr>
      </w:pPr>
      <w:r>
        <w:rPr>
          <w:b/>
        </w:rPr>
        <w:t>Introduction</w:t>
      </w:r>
    </w:p>
    <w:p w:rsidR="003F7B99" w:rsidRPr="003F7B99" w:rsidRDefault="003F7B99" w:rsidP="00CF3923">
      <w:pPr>
        <w:spacing w:after="120"/>
        <w:ind w:firstLine="720"/>
      </w:pPr>
      <w:r w:rsidRPr="003F7B99">
        <w:t xml:space="preserve">According to the United States constitution, every American citizen </w:t>
      </w:r>
      <w:bookmarkStart w:id="0" w:name="_GoBack"/>
      <w:bookmarkEnd w:id="0"/>
      <w:r w:rsidRPr="003F7B99">
        <w:t>is entitled to particular rights and privileges that allow them to be made aware of their rights during arrest, before custodial interrogation and during trials. The Supreme Court is the ultimate legal organ that handles challenging cases in the United States. The U.S. Supreme Court decision in Miranda V. Arizona addressed four various cases that entailed custodial interrogations. The four cases involved the defendants being questioned by the police officers, detectives and attorney in rooms cut off from the outside world (United States Court, n.d.). More surprisingly, the defendants were never given a full and effective warning regarding their rights at the beginning of the interrogation.</w:t>
      </w:r>
    </w:p>
    <w:p w:rsidR="003F7B99" w:rsidRPr="003F7B99" w:rsidRDefault="003F7B99" w:rsidP="007E354C">
      <w:pPr>
        <w:spacing w:after="120"/>
      </w:pPr>
      <w:r w:rsidRPr="003F7B99">
        <w:rPr>
          <w:b/>
          <w:bCs/>
        </w:rPr>
        <w:t>Facts of the Case</w:t>
      </w:r>
    </w:p>
    <w:p w:rsidR="003F7B99" w:rsidRPr="003F7B99" w:rsidRDefault="003F7B99" w:rsidP="00DD5938">
      <w:pPr>
        <w:spacing w:after="120"/>
        <w:ind w:firstLine="720"/>
      </w:pPr>
      <w:r w:rsidRPr="003F7B99">
        <w:t>In Miranda V. Arizona case, 384 U.S. 436 (1966), Ernesto Miranda was arrested by the Phoenix Police Department in Arizona based on the incidental evidence that linked him to the kidnapping and rape of an eighteen-year-old woman (Ulrich, 2013; United States Court, n.d.). The police interrogated Miranda for two hours, resulting in Miranda signing a confession form regarding the rape charge (Ulrich, 2013). However, he was not told of his right to counsel before being made to sign the form or before interrogation. Miranda had given an oral confession during the interrogation but was never told of his right to remain silent as his words would be used against him in the court.</w:t>
      </w:r>
    </w:p>
    <w:p w:rsidR="003F7B99" w:rsidRPr="003F7B99" w:rsidRDefault="003F7B99" w:rsidP="00DD5938">
      <w:pPr>
        <w:spacing w:after="120"/>
        <w:ind w:firstLine="720"/>
      </w:pPr>
      <w:r w:rsidRPr="003F7B99">
        <w:t>During the court trial, the prosecutors provided the signed confession as evidence regarding the rape case, but Miranda’s lawyer, Alvin Moore, asked the court to exclude the evidence since it was not voluntary in any way (United States Court, n.d.). However, the court overruled Moore’s objection and convicted Miranda of rape and kidnapping. He was sentenced to 20-30 years of imprisonment on each charge (Ulrich, 2013). The two sentences were to run concurrently. Moore filed an appeal for Miranda at the Supreme Court based on the claims that the confession was not voluntary and should have been excluded during the trial. The Supreme Court upheld the decision of the trial court to accept the confession in State V. Miranda, since Miranda did not request an attorney (Ulrich, 2013).</w:t>
      </w:r>
    </w:p>
    <w:p w:rsidR="003F7B99" w:rsidRPr="003F7B99" w:rsidRDefault="003F7B99" w:rsidP="00DD5938">
      <w:pPr>
        <w:spacing w:after="120"/>
        <w:ind w:firstLine="720"/>
      </w:pPr>
      <w:r w:rsidRPr="003F7B99">
        <w:t>On June 13, 1966, the Supreme Court issued a 5-4 decision in favor of Miranda (United States Court, n.d.). The decision overturned Miranda’s conviction and remanded the case back to the trial court for retrial. According to the Supreme Court, the police’s custodial interrogation was coercive and violated the defendant’s rights as an American citizen (United States Court, n.d.). Under the Fifth Amendment, “self-incrimination clause,” and Sixth Amendment “right to an attorney”, a suspect should be made aware of his rights prior to interrogation; otherwise, the confession is inadmissible (Allen, 2007).</w:t>
      </w:r>
    </w:p>
    <w:p w:rsidR="003F7B99" w:rsidRPr="003F7B99" w:rsidRDefault="003F7B99" w:rsidP="00DD5938">
      <w:pPr>
        <w:spacing w:after="120"/>
        <w:ind w:left="709" w:firstLine="11"/>
      </w:pPr>
      <w:r w:rsidRPr="003F7B99">
        <w:t>The person in custody must, prior to interrogation, be clearly informed that he has the right to remain silent and that anything he says will be used against him in court; he must be clearly informed that he has the right to consult with a lawyer and to have the lawyer with him during interrogation, and that, if he is indigent, a lawyer will be appointed to represent him.</w:t>
      </w:r>
    </w:p>
    <w:p w:rsidR="003F7B99" w:rsidRPr="003F7B99" w:rsidRDefault="003F7B99" w:rsidP="00DD5938">
      <w:pPr>
        <w:spacing w:after="120"/>
        <w:ind w:left="709" w:firstLine="11"/>
      </w:pPr>
      <w:r w:rsidRPr="003F7B99">
        <w:t>Suppose the individual indicates in any manner, at any time before or during questioning, that he wishes to remain silent. In that case, the interrogation must cease ... If the individual states that he wants an attorney, the interrogation must cease until an attorney is present. At that time, the individual must have an opportunity to confer with the attorney and to have him present during any subsequent questioning.</w:t>
      </w:r>
    </w:p>
    <w:p w:rsidR="003F7B99" w:rsidRPr="003F7B99" w:rsidRDefault="003F7B99" w:rsidP="007E354C">
      <w:pPr>
        <w:spacing w:after="120"/>
      </w:pPr>
      <w:r w:rsidRPr="003F7B99">
        <w:t>Overturning of Miranda’s case by the Supreme Court subsequently led to Miranda warning and retrial development.</w:t>
      </w:r>
    </w:p>
    <w:p w:rsidR="003F7B99" w:rsidRPr="003F7B99" w:rsidRDefault="003F7B99" w:rsidP="007E354C">
      <w:pPr>
        <w:spacing w:after="120"/>
      </w:pPr>
      <w:r w:rsidRPr="003F7B99">
        <w:rPr>
          <w:b/>
          <w:bCs/>
        </w:rPr>
        <w:t>When was the case argued?</w:t>
      </w:r>
    </w:p>
    <w:p w:rsidR="003F7B99" w:rsidRPr="003F7B99" w:rsidRDefault="003F7B99" w:rsidP="007E354C">
      <w:pPr>
        <w:spacing w:after="120"/>
      </w:pPr>
      <w:r w:rsidRPr="003F7B99">
        <w:t>Miranda V. Arizona case was argued on February 28, March 1 and 2, 1966 (United States Court, n.d.).</w:t>
      </w:r>
    </w:p>
    <w:p w:rsidR="003F7B99" w:rsidRPr="003F7B99" w:rsidRDefault="003F7B99" w:rsidP="007E354C">
      <w:pPr>
        <w:spacing w:after="120"/>
      </w:pPr>
      <w:r w:rsidRPr="003F7B99">
        <w:t>The case was decided on June 13, 1966, on a 5-4 bench decision (Allen, 2007).</w:t>
      </w:r>
    </w:p>
    <w:p w:rsidR="003F7B99" w:rsidRPr="003F7B99" w:rsidRDefault="003F7B99" w:rsidP="007E354C">
      <w:pPr>
        <w:spacing w:after="120"/>
      </w:pPr>
      <w:r w:rsidRPr="003F7B99">
        <w:rPr>
          <w:b/>
          <w:bCs/>
        </w:rPr>
        <w:t>Lawyers that argued the case for each side</w:t>
      </w:r>
    </w:p>
    <w:p w:rsidR="003F7B99" w:rsidRPr="003F7B99" w:rsidRDefault="003F7B99" w:rsidP="00DD5938">
      <w:pPr>
        <w:spacing w:after="120"/>
        <w:ind w:firstLine="720"/>
      </w:pPr>
      <w:r w:rsidRPr="003F7B99">
        <w:t>The majority opinion was written by Chief Justice Earl Warren and the other four Justices: Black, Douglas, Brennan, and Fortas (United States Court, n.d.). Three justices wrote the dissenting opinion: John Harlan, Stewart and White, and were joined by in-part opinion Justice Tom Clark (Allen, 2007).</w:t>
      </w:r>
    </w:p>
    <w:p w:rsidR="003F7B99" w:rsidRPr="003F7B99" w:rsidRDefault="003F7B99" w:rsidP="007E354C">
      <w:pPr>
        <w:spacing w:after="120"/>
      </w:pPr>
      <w:r w:rsidRPr="003F7B99">
        <w:rPr>
          <w:b/>
          <w:bCs/>
        </w:rPr>
        <w:t>Summary of the arguments of counsel regarding self-incrimination</w:t>
      </w:r>
    </w:p>
    <w:p w:rsidR="003F7B99" w:rsidRPr="003F7B99" w:rsidRDefault="003F7B99" w:rsidP="00DD5938">
      <w:pPr>
        <w:spacing w:after="120"/>
        <w:ind w:firstLine="720"/>
      </w:pPr>
      <w:r w:rsidRPr="003F7B99">
        <w:t>After Ernesto Miranda’s arrest at his home, he was escorted to police custody for interrogation. The police went ahead to interrogate him and obtained an oral confession from Miranda. He was made to sign a written confession which later became the center of attention in this case. According to Miranda’s counsel, his client signed the confession without being made aware of his rights during the custodial interrogation. The Fifth and Sixth Amendments guarantees all suspects the right to be made aware of their rights before any interrogation (Allen, 2007). Also, these amendments allow the suspects to remain silent since their spoken confessions could be used against them in the court trial. Based on the two amendments, the interrogation process violated Miranda’s constitutional rights, and the counsel’s argument was valid. The Supreme Court overturned the trial court’s decision and directed the court to subject Miranda to retrial (Allen, 2007).</w:t>
      </w:r>
    </w:p>
    <w:p w:rsidR="003F7B99" w:rsidRPr="003F7B99" w:rsidRDefault="003F7B99" w:rsidP="007E354C">
      <w:pPr>
        <w:spacing w:after="120"/>
      </w:pPr>
      <w:r w:rsidRPr="003F7B99">
        <w:rPr>
          <w:b/>
          <w:bCs/>
        </w:rPr>
        <w:t>Why is the case significant with respect to the right to counsel and self-incrimination?</w:t>
      </w:r>
    </w:p>
    <w:p w:rsidR="003F7B99" w:rsidRPr="003F7B99" w:rsidRDefault="003F7B99" w:rsidP="00DD5938">
      <w:pPr>
        <w:spacing w:after="120"/>
        <w:ind w:firstLine="720"/>
      </w:pPr>
      <w:r w:rsidRPr="003F7B99">
        <w:t>Miranda V. Arizona case was decided with respect to the citizen’s constitutional rights, which granted the suspects the right to be informed of their rights during arrest, while in police custody, prior to interrogations, and during court proceedings. The Fifth Amendment protects the suspect’s rights from self-incrimination; therefore, an individual does not have to confess but can remain silent during interrogation (United States Court, n.d.). The Sixth Amendment grants the suspects the right to counsel. Under this amendment, the suspect must be informed of their legal rights and subjected to a fair trial (Allen, 2007). Miranda V. Arizona case helped to strengthen a suspect’s rights in a justice system by advocating for the Fifth and Sixth Amendments.</w:t>
      </w:r>
    </w:p>
    <w:p w:rsidR="001B1814" w:rsidRDefault="001B1814" w:rsidP="007E354C">
      <w:pPr>
        <w:spacing w:after="120"/>
      </w:pPr>
    </w:p>
    <w:p w:rsidR="00714510" w:rsidRDefault="00714510" w:rsidP="007E354C">
      <w:pPr>
        <w:spacing w:after="120"/>
      </w:pPr>
      <w:r>
        <w:br w:type="page"/>
      </w:r>
    </w:p>
    <w:p w:rsidR="00714510" w:rsidRDefault="00714510" w:rsidP="007E354C">
      <w:pPr>
        <w:spacing w:after="120"/>
        <w:jc w:val="center"/>
      </w:pPr>
      <w:r>
        <w:t>References</w:t>
      </w:r>
    </w:p>
    <w:p w:rsidR="007E354C" w:rsidRPr="001B1814" w:rsidRDefault="007E354C" w:rsidP="007E354C">
      <w:pPr>
        <w:spacing w:after="120"/>
        <w:ind w:left="720" w:hanging="720"/>
      </w:pPr>
      <w:r w:rsidRPr="001268D8">
        <w:t>Allen, R. J. (2007). The Misguided Defenses of Miranda v. Arizona. </w:t>
      </w:r>
      <w:r w:rsidRPr="001268D8">
        <w:rPr>
          <w:i/>
          <w:iCs/>
        </w:rPr>
        <w:t>Ohio St. J. Crim. L.</w:t>
      </w:r>
      <w:r w:rsidRPr="001268D8">
        <w:t>, </w:t>
      </w:r>
      <w:r w:rsidRPr="001268D8">
        <w:rPr>
          <w:i/>
          <w:iCs/>
        </w:rPr>
        <w:t>5</w:t>
      </w:r>
      <w:r w:rsidRPr="001268D8">
        <w:t>, 205.</w:t>
      </w:r>
      <w:r>
        <w:t xml:space="preserve"> </w:t>
      </w:r>
    </w:p>
    <w:p w:rsidR="007E354C" w:rsidRDefault="007E354C" w:rsidP="007E354C">
      <w:pPr>
        <w:spacing w:after="120"/>
        <w:ind w:left="720" w:hanging="720"/>
      </w:pPr>
      <w:r w:rsidRPr="00916BD0">
        <w:t>Ulrich, P. G. (2013). Miranda v. Arizona: History, Memories, and Perspectives. </w:t>
      </w:r>
      <w:r w:rsidRPr="00916BD0">
        <w:rPr>
          <w:i/>
          <w:iCs/>
        </w:rPr>
        <w:t>Ariz. Summit L. Rev.</w:t>
      </w:r>
      <w:r w:rsidRPr="00916BD0">
        <w:t>, </w:t>
      </w:r>
      <w:r w:rsidRPr="00916BD0">
        <w:rPr>
          <w:i/>
          <w:iCs/>
        </w:rPr>
        <w:t>7</w:t>
      </w:r>
      <w:r w:rsidRPr="00916BD0">
        <w:t>, 203.</w:t>
      </w:r>
      <w:r>
        <w:t xml:space="preserve"> </w:t>
      </w:r>
    </w:p>
    <w:p w:rsidR="007E354C" w:rsidRPr="001268D8" w:rsidRDefault="007E354C" w:rsidP="007E354C">
      <w:pPr>
        <w:spacing w:after="120"/>
        <w:ind w:left="720" w:hanging="720"/>
      </w:pPr>
      <w:r>
        <w:rPr>
          <w:lang w:val="en-US"/>
        </w:rPr>
        <w:t xml:space="preserve">United States Court (n.d.) </w:t>
      </w:r>
      <w:r w:rsidRPr="00714510">
        <w:t>Facts and Case Summary - Miranda v. Arizona</w:t>
      </w:r>
      <w:r>
        <w:t xml:space="preserve">. </w:t>
      </w:r>
      <w:r w:rsidRPr="00714510">
        <w:rPr>
          <w:lang w:val="en-US"/>
        </w:rPr>
        <w:t xml:space="preserve">Retrieved </w:t>
      </w:r>
      <w:r>
        <w:rPr>
          <w:lang w:val="en-US"/>
        </w:rPr>
        <w:t xml:space="preserve">on March 7, 2021 </w:t>
      </w:r>
      <w:r w:rsidRPr="00714510">
        <w:rPr>
          <w:lang w:val="en-US"/>
        </w:rPr>
        <w:t xml:space="preserve">from </w:t>
      </w:r>
      <w:hyperlink r:id="rId6" w:history="1">
        <w:r w:rsidRPr="00714510">
          <w:rPr>
            <w:rStyle w:val="Hyperlink"/>
            <w:lang w:val="en-US"/>
          </w:rPr>
          <w:t>https://www.law.cornell.edu/supremecourt/text/384/436</w:t>
        </w:r>
      </w:hyperlink>
      <w:r>
        <w:t xml:space="preserve"> </w:t>
      </w:r>
    </w:p>
    <w:sectPr w:rsidR="007E354C" w:rsidRPr="001268D8" w:rsidSect="00092713">
      <w:headerReference w:type="default" r:id="rId7"/>
      <w:headerReference w:type="firs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6A8B" w:rsidRDefault="00D16A8B" w:rsidP="00092713">
      <w:pPr>
        <w:spacing w:after="0" w:line="240" w:lineRule="auto"/>
      </w:pPr>
      <w:r>
        <w:separator/>
      </w:r>
    </w:p>
  </w:endnote>
  <w:endnote w:type="continuationSeparator" w:id="0">
    <w:p w:rsidR="00D16A8B" w:rsidRDefault="00D16A8B" w:rsidP="000927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6A8B" w:rsidRDefault="00D16A8B" w:rsidP="00092713">
      <w:pPr>
        <w:spacing w:after="0" w:line="240" w:lineRule="auto"/>
      </w:pPr>
      <w:r>
        <w:separator/>
      </w:r>
    </w:p>
  </w:footnote>
  <w:footnote w:type="continuationSeparator" w:id="0">
    <w:p w:rsidR="00D16A8B" w:rsidRDefault="00D16A8B" w:rsidP="000927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2169252"/>
      <w:docPartObj>
        <w:docPartGallery w:val="Page Numbers (Top of Page)"/>
        <w:docPartUnique/>
      </w:docPartObj>
    </w:sdtPr>
    <w:sdtEndPr>
      <w:rPr>
        <w:noProof/>
      </w:rPr>
    </w:sdtEndPr>
    <w:sdtContent>
      <w:p w:rsidR="00092713" w:rsidRDefault="00092713">
        <w:pPr>
          <w:pStyle w:val="Header"/>
        </w:pPr>
        <w:r w:rsidRPr="00092713">
          <w:t xml:space="preserve">MIRANDA V. ARIZONA </w:t>
        </w:r>
        <w:r>
          <w:tab/>
        </w:r>
        <w:r>
          <w:tab/>
        </w:r>
        <w:r>
          <w:fldChar w:fldCharType="begin"/>
        </w:r>
        <w:r>
          <w:instrText xml:space="preserve"> PAGE   \* MERGEFORMAT </w:instrText>
        </w:r>
        <w:r>
          <w:fldChar w:fldCharType="separate"/>
        </w:r>
        <w:r>
          <w:rPr>
            <w:noProof/>
          </w:rPr>
          <w:t>6</w:t>
        </w:r>
        <w:r>
          <w:rPr>
            <w:noProof/>
          </w:rPr>
          <w:fldChar w:fldCharType="end"/>
        </w:r>
      </w:p>
    </w:sdtContent>
  </w:sdt>
  <w:p w:rsidR="00092713" w:rsidRDefault="00092713">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2713" w:rsidRDefault="00092713">
    <w:pPr>
      <w:pStyle w:val="Header"/>
    </w:pPr>
    <w:r>
      <w:t xml:space="preserve">Running Head: </w:t>
    </w:r>
    <w:r w:rsidRPr="00092713">
      <w:t>MIRANDA V. ARIZONA</w:t>
    </w:r>
    <w:r>
      <w:tab/>
    </w:r>
    <w:r>
      <w:tab/>
    </w:r>
    <w:sdt>
      <w:sdtPr>
        <w:id w:val="187565554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D16A8B">
          <w:rPr>
            <w:noProof/>
          </w:rPr>
          <w:t>1</w:t>
        </w:r>
        <w:r>
          <w:rPr>
            <w:noProof/>
          </w:rPr>
          <w:fldChar w:fldCharType="end"/>
        </w:r>
      </w:sdtContent>
    </w:sdt>
  </w:p>
  <w:p w:rsidR="00092713" w:rsidRDefault="0009271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00D0"/>
    <w:rsid w:val="00034896"/>
    <w:rsid w:val="00060F77"/>
    <w:rsid w:val="00087CC3"/>
    <w:rsid w:val="00092713"/>
    <w:rsid w:val="000D2D0B"/>
    <w:rsid w:val="000D3E50"/>
    <w:rsid w:val="000E7EF4"/>
    <w:rsid w:val="000F5FE6"/>
    <w:rsid w:val="00102D53"/>
    <w:rsid w:val="001238F6"/>
    <w:rsid w:val="001268D8"/>
    <w:rsid w:val="00133133"/>
    <w:rsid w:val="0015416D"/>
    <w:rsid w:val="001664B3"/>
    <w:rsid w:val="00172072"/>
    <w:rsid w:val="0019048F"/>
    <w:rsid w:val="001B1814"/>
    <w:rsid w:val="001B497F"/>
    <w:rsid w:val="001B5232"/>
    <w:rsid w:val="001C53BE"/>
    <w:rsid w:val="001D09C9"/>
    <w:rsid w:val="00203C89"/>
    <w:rsid w:val="0024411E"/>
    <w:rsid w:val="00245CCE"/>
    <w:rsid w:val="00250CE4"/>
    <w:rsid w:val="00283755"/>
    <w:rsid w:val="002960C0"/>
    <w:rsid w:val="002A7694"/>
    <w:rsid w:val="002B6EC8"/>
    <w:rsid w:val="00302545"/>
    <w:rsid w:val="00317C9A"/>
    <w:rsid w:val="003316E3"/>
    <w:rsid w:val="003638AF"/>
    <w:rsid w:val="003A5C11"/>
    <w:rsid w:val="003B4030"/>
    <w:rsid w:val="003D0C99"/>
    <w:rsid w:val="003E29EC"/>
    <w:rsid w:val="003F3029"/>
    <w:rsid w:val="003F74DA"/>
    <w:rsid w:val="003F7B99"/>
    <w:rsid w:val="003F7E39"/>
    <w:rsid w:val="00400042"/>
    <w:rsid w:val="004136D3"/>
    <w:rsid w:val="00416A40"/>
    <w:rsid w:val="004171DB"/>
    <w:rsid w:val="00437021"/>
    <w:rsid w:val="004374F7"/>
    <w:rsid w:val="004535C8"/>
    <w:rsid w:val="004905FC"/>
    <w:rsid w:val="0050097D"/>
    <w:rsid w:val="0050185C"/>
    <w:rsid w:val="00504B0B"/>
    <w:rsid w:val="00506844"/>
    <w:rsid w:val="00553696"/>
    <w:rsid w:val="0056049C"/>
    <w:rsid w:val="00566451"/>
    <w:rsid w:val="00573D42"/>
    <w:rsid w:val="005A62B3"/>
    <w:rsid w:val="005B0DB9"/>
    <w:rsid w:val="0061569A"/>
    <w:rsid w:val="00644749"/>
    <w:rsid w:val="006461AA"/>
    <w:rsid w:val="00670A60"/>
    <w:rsid w:val="0067508B"/>
    <w:rsid w:val="006A26B0"/>
    <w:rsid w:val="006A6A33"/>
    <w:rsid w:val="006A7FA9"/>
    <w:rsid w:val="00714510"/>
    <w:rsid w:val="007255FB"/>
    <w:rsid w:val="0073646F"/>
    <w:rsid w:val="00752B81"/>
    <w:rsid w:val="00771A73"/>
    <w:rsid w:val="00777AD9"/>
    <w:rsid w:val="00783CEC"/>
    <w:rsid w:val="0079135D"/>
    <w:rsid w:val="007928EF"/>
    <w:rsid w:val="007B1036"/>
    <w:rsid w:val="007E354C"/>
    <w:rsid w:val="007E6AD0"/>
    <w:rsid w:val="007F1BB6"/>
    <w:rsid w:val="00850D73"/>
    <w:rsid w:val="0088286C"/>
    <w:rsid w:val="00886C50"/>
    <w:rsid w:val="008875E6"/>
    <w:rsid w:val="008A5E42"/>
    <w:rsid w:val="008B787D"/>
    <w:rsid w:val="008D4A5C"/>
    <w:rsid w:val="008E4FC2"/>
    <w:rsid w:val="00916BD0"/>
    <w:rsid w:val="00924E9D"/>
    <w:rsid w:val="0096396A"/>
    <w:rsid w:val="009966CC"/>
    <w:rsid w:val="009B4FA8"/>
    <w:rsid w:val="009C6217"/>
    <w:rsid w:val="00A079BA"/>
    <w:rsid w:val="00A123D0"/>
    <w:rsid w:val="00A607F7"/>
    <w:rsid w:val="00A840FE"/>
    <w:rsid w:val="00AA32CC"/>
    <w:rsid w:val="00AB1044"/>
    <w:rsid w:val="00AC3812"/>
    <w:rsid w:val="00B26353"/>
    <w:rsid w:val="00B36713"/>
    <w:rsid w:val="00B400D0"/>
    <w:rsid w:val="00B51AE9"/>
    <w:rsid w:val="00B5283F"/>
    <w:rsid w:val="00B5517A"/>
    <w:rsid w:val="00B6245A"/>
    <w:rsid w:val="00B64BB2"/>
    <w:rsid w:val="00B76FB5"/>
    <w:rsid w:val="00B8038D"/>
    <w:rsid w:val="00B850DB"/>
    <w:rsid w:val="00B92620"/>
    <w:rsid w:val="00BD17A1"/>
    <w:rsid w:val="00BE2176"/>
    <w:rsid w:val="00C10341"/>
    <w:rsid w:val="00C129B2"/>
    <w:rsid w:val="00C82648"/>
    <w:rsid w:val="00CC2678"/>
    <w:rsid w:val="00CF3923"/>
    <w:rsid w:val="00D05B51"/>
    <w:rsid w:val="00D16A8B"/>
    <w:rsid w:val="00D242CC"/>
    <w:rsid w:val="00D3728F"/>
    <w:rsid w:val="00D442A5"/>
    <w:rsid w:val="00D5362C"/>
    <w:rsid w:val="00D57493"/>
    <w:rsid w:val="00D90C87"/>
    <w:rsid w:val="00D95211"/>
    <w:rsid w:val="00DD5938"/>
    <w:rsid w:val="00DE1E7C"/>
    <w:rsid w:val="00E139F0"/>
    <w:rsid w:val="00E5540F"/>
    <w:rsid w:val="00E60C02"/>
    <w:rsid w:val="00E61DCA"/>
    <w:rsid w:val="00E63EFF"/>
    <w:rsid w:val="00E73142"/>
    <w:rsid w:val="00E77C6B"/>
    <w:rsid w:val="00ED478C"/>
    <w:rsid w:val="00F12801"/>
    <w:rsid w:val="00F24220"/>
    <w:rsid w:val="00F27C08"/>
    <w:rsid w:val="00F32BF6"/>
    <w:rsid w:val="00F73F4B"/>
    <w:rsid w:val="00F876FD"/>
    <w:rsid w:val="00F90EC6"/>
    <w:rsid w:val="00F92CE8"/>
    <w:rsid w:val="00F95D97"/>
    <w:rsid w:val="00FA3632"/>
    <w:rsid w:val="00FB736A"/>
    <w:rsid w:val="00FE59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430FFB"/>
  <w15:chartTrackingRefBased/>
  <w15:docId w15:val="{ACC5A276-3516-48E9-A46E-E023C412D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GB"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1451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14510"/>
    <w:rPr>
      <w:color w:val="0563C1" w:themeColor="hyperlink"/>
      <w:u w:val="single"/>
    </w:rPr>
  </w:style>
  <w:style w:type="character" w:customStyle="1" w:styleId="Heading1Char">
    <w:name w:val="Heading 1 Char"/>
    <w:basedOn w:val="DefaultParagraphFont"/>
    <w:link w:val="Heading1"/>
    <w:uiPriority w:val="9"/>
    <w:rsid w:val="00714510"/>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092713"/>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2713"/>
  </w:style>
  <w:style w:type="paragraph" w:styleId="Footer">
    <w:name w:val="footer"/>
    <w:basedOn w:val="Normal"/>
    <w:link w:val="FooterChar"/>
    <w:uiPriority w:val="99"/>
    <w:unhideWhenUsed/>
    <w:rsid w:val="0009271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27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898873">
      <w:bodyDiv w:val="1"/>
      <w:marLeft w:val="0"/>
      <w:marRight w:val="0"/>
      <w:marTop w:val="0"/>
      <w:marBottom w:val="0"/>
      <w:divBdr>
        <w:top w:val="none" w:sz="0" w:space="0" w:color="auto"/>
        <w:left w:val="none" w:sz="0" w:space="0" w:color="auto"/>
        <w:bottom w:val="none" w:sz="0" w:space="0" w:color="auto"/>
        <w:right w:val="none" w:sz="0" w:space="0" w:color="auto"/>
      </w:divBdr>
    </w:div>
    <w:div w:id="495389359">
      <w:bodyDiv w:val="1"/>
      <w:marLeft w:val="0"/>
      <w:marRight w:val="0"/>
      <w:marTop w:val="0"/>
      <w:marBottom w:val="0"/>
      <w:divBdr>
        <w:top w:val="none" w:sz="0" w:space="0" w:color="auto"/>
        <w:left w:val="none" w:sz="0" w:space="0" w:color="auto"/>
        <w:bottom w:val="none" w:sz="0" w:space="0" w:color="auto"/>
        <w:right w:val="none" w:sz="0" w:space="0" w:color="auto"/>
      </w:divBdr>
    </w:div>
    <w:div w:id="1167594758">
      <w:bodyDiv w:val="1"/>
      <w:marLeft w:val="0"/>
      <w:marRight w:val="0"/>
      <w:marTop w:val="0"/>
      <w:marBottom w:val="0"/>
      <w:divBdr>
        <w:top w:val="none" w:sz="0" w:space="0" w:color="auto"/>
        <w:left w:val="none" w:sz="0" w:space="0" w:color="auto"/>
        <w:bottom w:val="none" w:sz="0" w:space="0" w:color="auto"/>
        <w:right w:val="none" w:sz="0" w:space="0" w:color="auto"/>
      </w:divBdr>
    </w:div>
    <w:div w:id="1970739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aw.cornell.edu/supremecourt/text/384/436"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259</TotalTime>
  <Pages>6</Pages>
  <Words>1005</Words>
  <Characters>5735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149</cp:revision>
  <dcterms:created xsi:type="dcterms:W3CDTF">2021-03-07T05:31:00Z</dcterms:created>
  <dcterms:modified xsi:type="dcterms:W3CDTF">2021-03-07T10:59:00Z</dcterms:modified>
</cp:coreProperties>
</file>