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1D02" w:rsidRDefault="000811B0">
      <w:pPr>
        <w:spacing w:after="345" w:line="259" w:lineRule="auto"/>
        <w:ind w:left="0" w:firstLine="0"/>
      </w:pPr>
      <w:bookmarkStart w:id="0" w:name="_GoBack"/>
      <w:bookmarkEnd w:id="0"/>
      <w:r>
        <w:t xml:space="preserve">  </w:t>
      </w:r>
    </w:p>
    <w:p w:rsidR="00B81D02" w:rsidRDefault="000811B0">
      <w:pPr>
        <w:spacing w:after="15" w:line="362" w:lineRule="auto"/>
        <w:ind w:left="0" w:firstLine="0"/>
        <w:jc w:val="center"/>
      </w:pPr>
      <w:r>
        <w:t xml:space="preserve">Foster Care: How a Child Sabotages Their Placement vs. How Foster Parents Sabotage Placements in Their Home </w:t>
      </w:r>
    </w:p>
    <w:p w:rsidR="00B81D02" w:rsidRDefault="000811B0">
      <w:pPr>
        <w:spacing w:after="135" w:line="259" w:lineRule="auto"/>
        <w:ind w:left="0" w:firstLine="0"/>
      </w:pPr>
      <w:r>
        <w:t xml:space="preserve"> </w:t>
      </w:r>
    </w:p>
    <w:p w:rsidR="00B81D02" w:rsidRDefault="000811B0">
      <w:pPr>
        <w:spacing w:after="135" w:line="259" w:lineRule="auto"/>
        <w:ind w:left="0" w:firstLine="0"/>
      </w:pPr>
      <w:r>
        <w:t xml:space="preserve"> </w:t>
      </w:r>
    </w:p>
    <w:p w:rsidR="00B81D02" w:rsidRDefault="000811B0">
      <w:pPr>
        <w:ind w:left="-15" w:firstLine="720"/>
      </w:pPr>
      <w:r>
        <w:t>In the book A Chance In The World</w:t>
      </w:r>
      <w:proofErr w:type="gramStart"/>
      <w:r>
        <w:t>,  Steve</w:t>
      </w:r>
      <w:proofErr w:type="gramEnd"/>
      <w:r>
        <w:t xml:space="preserve"> Pemberton was the ideal foster child without behavioral issues. However, unlike Steve, there are many foster children who sabotage good foster care placements </w:t>
      </w:r>
      <w:proofErr w:type="spellStart"/>
      <w:r>
        <w:t>everyday</w:t>
      </w:r>
      <w:proofErr w:type="spellEnd"/>
      <w:r>
        <w:t xml:space="preserve">.  Have you ever wondered what a child does to sabotage being placed in a good home? </w:t>
      </w:r>
    </w:p>
    <w:p w:rsidR="00B81D02" w:rsidRDefault="000811B0">
      <w:pPr>
        <w:spacing w:after="135" w:line="259" w:lineRule="auto"/>
        <w:ind w:left="0" w:firstLine="0"/>
      </w:pPr>
      <w:r>
        <w:t xml:space="preserve"> </w:t>
      </w:r>
    </w:p>
    <w:p w:rsidR="00B81D02" w:rsidRDefault="000811B0">
      <w:pPr>
        <w:ind w:left="-15" w:firstLine="720"/>
      </w:pPr>
      <w:r>
        <w:t xml:space="preserve">First, let's talk about self-sabotage. Self-sabotage is a behavior that may involve pursuing goals that are unproductive or likely to fail, while inadvertently jeopardizing their success (Pollack, 2015). Self-sabotage can start for multiple reasons. People show signs of Self-sabotage by acting out due to simple misunderstandings that can be second-best or </w:t>
      </w:r>
      <w:proofErr w:type="spellStart"/>
      <w:r>
        <w:t>detreminal</w:t>
      </w:r>
      <w:proofErr w:type="spellEnd"/>
      <w:r>
        <w:t xml:space="preserve">. A mutual bond should be felt between the child and the foster family or parent when it's time for placement. Due to fear, children engage in self-sabotaging behaviors in foster care. Initially, most children who are being placed may get the wrong impression from a foster parent, family, or associates of the family trying to adopt them. A child may not have social or intellectual understanding. To differentiate negative intentions, foster </w:t>
      </w:r>
      <w:proofErr w:type="gramStart"/>
      <w:r>
        <w:t>children  do</w:t>
      </w:r>
      <w:proofErr w:type="gramEnd"/>
      <w:r>
        <w:t xml:space="preserve"> what is called fight or flight, meaning the child will misbehave due to fear of rejection (Pollack, 2015). A good foster care placement is when the child and the parents have a mutual yet safe feeling and bond. Most adopting families have this type of plan for the child in spite of self-sabotaging behaviors. </w:t>
      </w:r>
    </w:p>
    <w:p w:rsidR="00B81D02" w:rsidRDefault="000811B0">
      <w:pPr>
        <w:spacing w:after="270" w:line="259" w:lineRule="auto"/>
        <w:ind w:left="0" w:firstLine="0"/>
      </w:pPr>
      <w:r>
        <w:t xml:space="preserve"> </w:t>
      </w:r>
    </w:p>
    <w:p w:rsidR="00B81D02" w:rsidRDefault="000811B0">
      <w:pPr>
        <w:ind w:left="-15" w:firstLine="720"/>
      </w:pPr>
      <w:r>
        <w:t xml:space="preserve">In addition, foster care is a group effort for the best interest of the child. This means no cross signals are exchanged and everyone is in agreement about the child's best interests. Children in foster care are just like all of us; it's not that hard to mislead ourselves. Self-sabotage in a foster care environment is the result of emotional behavior and self-control (Pollack, 2015). </w:t>
      </w:r>
      <w:r>
        <w:lastRenderedPageBreak/>
        <w:t xml:space="preserve">Self-harm is a </w:t>
      </w:r>
      <w:proofErr w:type="spellStart"/>
      <w:r>
        <w:t>a</w:t>
      </w:r>
      <w:proofErr w:type="spellEnd"/>
      <w:r>
        <w:t xml:space="preserve"> big factor, yet nothing is known about the unclear rates and course of it (</w:t>
      </w:r>
      <w:proofErr w:type="spellStart"/>
      <w:r>
        <w:t>Gabrielli</w:t>
      </w:r>
      <w:proofErr w:type="spellEnd"/>
      <w:r>
        <w:t xml:space="preserve">, 2015). Stability of thoughts related to self-harm in adolescents over time says that when ideation is examined daily, it appears to go up and down, and is likely to be a fluctuation. </w:t>
      </w:r>
    </w:p>
    <w:p w:rsidR="00B81D02" w:rsidRDefault="000811B0">
      <w:pPr>
        <w:ind w:left="-5"/>
      </w:pPr>
      <w:r>
        <w:t xml:space="preserve">This is </w:t>
      </w:r>
      <w:proofErr w:type="gramStart"/>
      <w:r>
        <w:t>a  risk</w:t>
      </w:r>
      <w:proofErr w:type="gramEnd"/>
      <w:r>
        <w:t xml:space="preserve"> factor for actual attempts, especially in adolescent males.  According to a study by </w:t>
      </w:r>
      <w:proofErr w:type="spellStart"/>
      <w:r>
        <w:t>Hukkanen</w:t>
      </w:r>
      <w:proofErr w:type="spellEnd"/>
      <w:r>
        <w:t xml:space="preserve">, </w:t>
      </w:r>
      <w:proofErr w:type="gramStart"/>
      <w:r>
        <w:t>a  reported</w:t>
      </w:r>
      <w:proofErr w:type="gramEnd"/>
      <w:r>
        <w:t xml:space="preserve"> 32% of youth living in foster care demonstrated self-mutilation and attempts of ideation for suicide in a 6 month period. In the juvenile system, it was reported that 25</w:t>
      </w:r>
      <w:proofErr w:type="gramStart"/>
      <w:r>
        <w:t>%  of</w:t>
      </w:r>
      <w:proofErr w:type="gramEnd"/>
      <w:r>
        <w:t xml:space="preserve"> children affiliated with social services have considered dying within the past 2 years (</w:t>
      </w:r>
      <w:proofErr w:type="spellStart"/>
      <w:r>
        <w:t>Gabrielli</w:t>
      </w:r>
      <w:proofErr w:type="spellEnd"/>
      <w:r>
        <w:t>, 2015). In the past study (</w:t>
      </w:r>
      <w:proofErr w:type="spellStart"/>
      <w:r>
        <w:t>Gabrielli</w:t>
      </w:r>
      <w:proofErr w:type="spellEnd"/>
      <w:r>
        <w:t xml:space="preserve">, 2015), 16%. Others have reported that 26.8% of </w:t>
      </w:r>
      <w:proofErr w:type="gramStart"/>
      <w:r>
        <w:t>adolescents  with</w:t>
      </w:r>
      <w:proofErr w:type="gramEnd"/>
      <w:r>
        <w:t xml:space="preserve"> a past in foster care have reported suicidal ideation, versus 11.4% of others who are without a history of care (</w:t>
      </w:r>
      <w:proofErr w:type="spellStart"/>
      <w:r>
        <w:t>Pilowsky</w:t>
      </w:r>
      <w:proofErr w:type="spellEnd"/>
      <w:r>
        <w:t xml:space="preserve"> and Wu). </w:t>
      </w:r>
    </w:p>
    <w:p w:rsidR="00B81D02" w:rsidRDefault="000811B0">
      <w:pPr>
        <w:spacing w:after="270" w:line="259" w:lineRule="auto"/>
        <w:ind w:left="720" w:firstLine="0"/>
      </w:pPr>
      <w:r>
        <w:t xml:space="preserve"> </w:t>
      </w:r>
    </w:p>
    <w:p w:rsidR="00B81D02" w:rsidRDefault="000811B0">
      <w:pPr>
        <w:ind w:left="-15" w:firstLine="720"/>
      </w:pPr>
      <w:r>
        <w:t xml:space="preserve">Causing further concern, the statistics of suicidal ideations alter by age with suicidal behavior rising in high school age children to adolescents. Self-mutilation behaviors are looked at from an advanced aspect. It was reported in 2013 that 17.0% of younger children had also had “actively considered” suicidal attempts. The numbers and ratios for girls is 22.4% and boys at </w:t>
      </w:r>
    </w:p>
    <w:p w:rsidR="00B81D02" w:rsidRDefault="000811B0">
      <w:pPr>
        <w:ind w:left="-5"/>
      </w:pPr>
      <w:r>
        <w:t>11.6%. These numbers are even greater for Hispanics (18.9%) than Caucasian and African American adolescents (16.2 and 14.5%). Pre-teens (6th-8th graders) to teenagers from eighteen states did the YRBBS Study, which stands for The Youth Risk Behavior Survey, which provided this data (</w:t>
      </w:r>
      <w:proofErr w:type="spellStart"/>
      <w:r>
        <w:t>Gabrielli</w:t>
      </w:r>
      <w:proofErr w:type="spellEnd"/>
      <w:r>
        <w:t xml:space="preserve">, 2015). </w:t>
      </w:r>
    </w:p>
    <w:p w:rsidR="00B81D02" w:rsidRDefault="000811B0">
      <w:pPr>
        <w:spacing w:after="270" w:line="259" w:lineRule="auto"/>
        <w:ind w:left="0" w:firstLine="0"/>
      </w:pPr>
      <w:r>
        <w:t xml:space="preserve"> </w:t>
      </w:r>
    </w:p>
    <w:p w:rsidR="00B81D02" w:rsidRDefault="000811B0">
      <w:pPr>
        <w:spacing w:after="0"/>
        <w:ind w:left="-15" w:right="-4" w:firstLine="710"/>
        <w:jc w:val="both"/>
      </w:pPr>
      <w:r>
        <w:t xml:space="preserve">It was speculated that adolescents in residential facilities, instead of foster homes, are at risk for self-harm. This is surprising, since residential care is known for its comprehensive services that are not available in other less restrictive environments (Hurley &amp; colleagues). </w:t>
      </w:r>
    </w:p>
    <w:p w:rsidR="00B81D02" w:rsidRDefault="000811B0">
      <w:pPr>
        <w:spacing w:after="270" w:line="259" w:lineRule="auto"/>
        <w:ind w:left="0" w:firstLine="0"/>
      </w:pPr>
      <w:r>
        <w:t xml:space="preserve"> </w:t>
      </w:r>
    </w:p>
    <w:p w:rsidR="00B81D02" w:rsidRDefault="000811B0">
      <w:pPr>
        <w:spacing w:after="0"/>
        <w:ind w:left="-15" w:right="-4" w:firstLine="710"/>
        <w:jc w:val="both"/>
      </w:pPr>
      <w:r>
        <w:t xml:space="preserve">The fear in a child causes Self-sabotaging in foster care placements. A good case worker and foster parent usually keep in touch with one another. They use good decision making skills </w:t>
      </w:r>
      <w:r>
        <w:lastRenderedPageBreak/>
        <w:t xml:space="preserve">that are in the best interest of the child, after reassuring mutual communication is there. They implement </w:t>
      </w:r>
      <w:proofErr w:type="gramStart"/>
      <w:r>
        <w:t>goals  that</w:t>
      </w:r>
      <w:proofErr w:type="gramEnd"/>
      <w:r>
        <w:t xml:space="preserve"> match everyone's intentions (</w:t>
      </w:r>
      <w:proofErr w:type="spellStart"/>
      <w:r>
        <w:t>Gabrielli</w:t>
      </w:r>
      <w:proofErr w:type="spellEnd"/>
      <w:r>
        <w:t xml:space="preserve">, 2015). </w:t>
      </w:r>
    </w:p>
    <w:p w:rsidR="00B81D02" w:rsidRDefault="000811B0">
      <w:pPr>
        <w:spacing w:after="270" w:line="259" w:lineRule="auto"/>
        <w:ind w:left="0" w:firstLine="0"/>
      </w:pPr>
      <w:r>
        <w:t xml:space="preserve"> </w:t>
      </w:r>
    </w:p>
    <w:p w:rsidR="00B81D02" w:rsidRDefault="000811B0">
      <w:pPr>
        <w:spacing w:after="270" w:line="259" w:lineRule="auto"/>
        <w:ind w:left="0" w:firstLine="0"/>
      </w:pPr>
      <w:r>
        <w:t xml:space="preserve"> </w:t>
      </w:r>
    </w:p>
    <w:p w:rsidR="00B81D02" w:rsidRDefault="000811B0">
      <w:pPr>
        <w:spacing w:after="105" w:line="259" w:lineRule="auto"/>
        <w:ind w:left="0" w:firstLine="0"/>
      </w:pPr>
      <w: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0"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172" w:line="259" w:lineRule="auto"/>
        <w:ind w:left="0" w:firstLine="0"/>
      </w:pPr>
      <w:r>
        <w:rPr>
          <w:rFonts w:ascii="Arial" w:eastAsia="Arial" w:hAnsi="Arial" w:cs="Arial"/>
          <w:color w:val="333333"/>
          <w:sz w:val="20"/>
        </w:rPr>
        <w:t xml:space="preserve"> </w:t>
      </w:r>
    </w:p>
    <w:p w:rsidR="00B81D02" w:rsidRDefault="000811B0">
      <w:pPr>
        <w:spacing w:after="0" w:line="259" w:lineRule="auto"/>
        <w:ind w:left="-5"/>
      </w:pPr>
      <w:proofErr w:type="spellStart"/>
      <w:r>
        <w:rPr>
          <w:rFonts w:ascii="Arial" w:eastAsia="Arial" w:hAnsi="Arial" w:cs="Arial"/>
          <w:color w:val="333333"/>
          <w:sz w:val="20"/>
        </w:rPr>
        <w:t>Gabrielli</w:t>
      </w:r>
      <w:proofErr w:type="spellEnd"/>
      <w:r>
        <w:rPr>
          <w:rFonts w:ascii="Arial" w:eastAsia="Arial" w:hAnsi="Arial" w:cs="Arial"/>
          <w:color w:val="333333"/>
          <w:sz w:val="20"/>
        </w:rPr>
        <w:t xml:space="preserve">, Joy, et al. “Longitudinal Assessment of Self-Harm Statements of Youth in Foster Care: </w:t>
      </w:r>
    </w:p>
    <w:p w:rsidR="00B81D02" w:rsidRDefault="000811B0">
      <w:pPr>
        <w:spacing w:after="0" w:line="338" w:lineRule="auto"/>
        <w:ind w:left="-5"/>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column">
                  <wp:posOffset>0</wp:posOffset>
                </wp:positionH>
                <wp:positionV relativeFrom="paragraph">
                  <wp:posOffset>-170785</wp:posOffset>
                </wp:positionV>
                <wp:extent cx="5638800" cy="476250"/>
                <wp:effectExtent l="0" t="0" r="0" b="0"/>
                <wp:wrapNone/>
                <wp:docPr id="3011" name="Group 3011"/>
                <wp:cNvGraphicFramePr/>
                <a:graphic xmlns:a="http://schemas.openxmlformats.org/drawingml/2006/main">
                  <a:graphicData uri="http://schemas.microsoft.com/office/word/2010/wordprocessingGroup">
                    <wpg:wgp>
                      <wpg:cNvGrpSpPr/>
                      <wpg:grpSpPr>
                        <a:xfrm>
                          <a:off x="0" y="0"/>
                          <a:ext cx="5638800" cy="476250"/>
                          <a:chOff x="0" y="0"/>
                          <a:chExt cx="5638800" cy="476250"/>
                        </a:xfrm>
                      </wpg:grpSpPr>
                      <wps:wsp>
                        <wps:cNvPr id="3194" name="Shape 3194"/>
                        <wps:cNvSpPr/>
                        <wps:spPr>
                          <a:xfrm>
                            <a:off x="0" y="0"/>
                            <a:ext cx="5372100" cy="152400"/>
                          </a:xfrm>
                          <a:custGeom>
                            <a:avLst/>
                            <a:gdLst/>
                            <a:ahLst/>
                            <a:cxnLst/>
                            <a:rect l="0" t="0" r="0" b="0"/>
                            <a:pathLst>
                              <a:path w="5372100" h="152400">
                                <a:moveTo>
                                  <a:pt x="0" y="0"/>
                                </a:moveTo>
                                <a:lnTo>
                                  <a:pt x="5372100" y="0"/>
                                </a:lnTo>
                                <a:lnTo>
                                  <a:pt x="5372100" y="152400"/>
                                </a:lnTo>
                                <a:lnTo>
                                  <a:pt x="0" y="152400"/>
                                </a:lnTo>
                                <a:lnTo>
                                  <a:pt x="0" y="0"/>
                                </a:lnTo>
                              </a:path>
                            </a:pathLst>
                          </a:custGeom>
                          <a:ln w="0" cap="flat">
                            <a:miter lim="127000"/>
                          </a:ln>
                        </wps:spPr>
                        <wps:style>
                          <a:lnRef idx="0">
                            <a:srgbClr val="000000">
                              <a:alpha val="0"/>
                            </a:srgbClr>
                          </a:lnRef>
                          <a:fillRef idx="1">
                            <a:srgbClr val="F5F5F5"/>
                          </a:fillRef>
                          <a:effectRef idx="0">
                            <a:scrgbClr r="0" g="0" b="0"/>
                          </a:effectRef>
                          <a:fontRef idx="none"/>
                        </wps:style>
                        <wps:bodyPr/>
                      </wps:wsp>
                      <wps:wsp>
                        <wps:cNvPr id="3195" name="Shape 3195"/>
                        <wps:cNvSpPr/>
                        <wps:spPr>
                          <a:xfrm>
                            <a:off x="0" y="161925"/>
                            <a:ext cx="5638800" cy="152400"/>
                          </a:xfrm>
                          <a:custGeom>
                            <a:avLst/>
                            <a:gdLst/>
                            <a:ahLst/>
                            <a:cxnLst/>
                            <a:rect l="0" t="0" r="0" b="0"/>
                            <a:pathLst>
                              <a:path w="5638800" h="152400">
                                <a:moveTo>
                                  <a:pt x="0" y="0"/>
                                </a:moveTo>
                                <a:lnTo>
                                  <a:pt x="5638800" y="0"/>
                                </a:lnTo>
                                <a:lnTo>
                                  <a:pt x="5638800" y="152400"/>
                                </a:lnTo>
                                <a:lnTo>
                                  <a:pt x="0" y="152400"/>
                                </a:lnTo>
                                <a:lnTo>
                                  <a:pt x="0" y="0"/>
                                </a:lnTo>
                              </a:path>
                            </a:pathLst>
                          </a:custGeom>
                          <a:ln w="0" cap="flat">
                            <a:miter lim="127000"/>
                          </a:ln>
                        </wps:spPr>
                        <wps:style>
                          <a:lnRef idx="0">
                            <a:srgbClr val="000000">
                              <a:alpha val="0"/>
                            </a:srgbClr>
                          </a:lnRef>
                          <a:fillRef idx="1">
                            <a:srgbClr val="F5F5F5"/>
                          </a:fillRef>
                          <a:effectRef idx="0">
                            <a:scrgbClr r="0" g="0" b="0"/>
                          </a:effectRef>
                          <a:fontRef idx="none"/>
                        </wps:style>
                        <wps:bodyPr/>
                      </wps:wsp>
                      <wps:wsp>
                        <wps:cNvPr id="3196" name="Shape 3196"/>
                        <wps:cNvSpPr/>
                        <wps:spPr>
                          <a:xfrm>
                            <a:off x="0" y="323850"/>
                            <a:ext cx="3724275" cy="152400"/>
                          </a:xfrm>
                          <a:custGeom>
                            <a:avLst/>
                            <a:gdLst/>
                            <a:ahLst/>
                            <a:cxnLst/>
                            <a:rect l="0" t="0" r="0" b="0"/>
                            <a:pathLst>
                              <a:path w="3724275" h="152400">
                                <a:moveTo>
                                  <a:pt x="0" y="0"/>
                                </a:moveTo>
                                <a:lnTo>
                                  <a:pt x="3724275" y="0"/>
                                </a:lnTo>
                                <a:lnTo>
                                  <a:pt x="3724275" y="152400"/>
                                </a:lnTo>
                                <a:lnTo>
                                  <a:pt x="0" y="152400"/>
                                </a:lnTo>
                                <a:lnTo>
                                  <a:pt x="0" y="0"/>
                                </a:lnTo>
                              </a:path>
                            </a:pathLst>
                          </a:custGeom>
                          <a:ln w="0" cap="flat">
                            <a:miter lim="127000"/>
                          </a:ln>
                        </wps:spPr>
                        <wps:style>
                          <a:lnRef idx="0">
                            <a:srgbClr val="000000">
                              <a:alpha val="0"/>
                            </a:srgbClr>
                          </a:lnRef>
                          <a:fillRef idx="1">
                            <a:srgbClr val="F5F5F5"/>
                          </a:fillRef>
                          <a:effectRef idx="0">
                            <a:scrgbClr r="0" g="0" b="0"/>
                          </a:effectRef>
                          <a:fontRef idx="none"/>
                        </wps:style>
                        <wps:bodyPr/>
                      </wps:wsp>
                    </wpg:wgp>
                  </a:graphicData>
                </a:graphic>
              </wp:anchor>
            </w:drawing>
          </mc:Choice>
          <mc:Fallback xmlns:a="http://schemas.openxmlformats.org/drawingml/2006/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3011" style="width:444pt;height:37.5pt;position:absolute;z-index:-2147483641;mso-position-horizontal-relative:text;mso-position-horizontal:absolute;margin-left:0pt;mso-position-vertical-relative:text;margin-top:-13.4477pt;" coordsize="56388,4762">
                <v:shape id="Shape 3197" style="position:absolute;width:53721;height:1524;left:0;top:0;" coordsize="5372100,152400" path="m0,0l5372100,0l5372100,152400l0,152400l0,0">
                  <v:stroke weight="0pt" endcap="flat" joinstyle="miter" miterlimit="10" on="false" color="#000000" opacity="0"/>
                  <v:fill on="true" color="#f5f5f5"/>
                </v:shape>
                <v:shape id="Shape 3198" style="position:absolute;width:56388;height:1524;left:0;top:1619;" coordsize="5638800,152400" path="m0,0l5638800,0l5638800,152400l0,152400l0,0">
                  <v:stroke weight="0pt" endcap="flat" joinstyle="miter" miterlimit="10" on="false" color="#000000" opacity="0"/>
                  <v:fill on="true" color="#f5f5f5"/>
                </v:shape>
                <v:shape id="Shape 3199" style="position:absolute;width:37242;height:1524;left:0;top:3238;" coordsize="3724275,152400" path="m0,0l3724275,0l3724275,152400l0,152400l0,0">
                  <v:stroke weight="0pt" endcap="flat" joinstyle="miter" miterlimit="10" on="false" color="#000000" opacity="0"/>
                  <v:fill on="true" color="#f5f5f5"/>
                </v:shape>
              </v:group>
            </w:pict>
          </mc:Fallback>
        </mc:AlternateContent>
      </w:r>
      <w:proofErr w:type="spellStart"/>
      <w:r>
        <w:rPr>
          <w:rFonts w:ascii="Arial" w:eastAsia="Arial" w:hAnsi="Arial" w:cs="Arial"/>
          <w:color w:val="333333"/>
          <w:sz w:val="20"/>
        </w:rPr>
        <w:t>Rates</w:t>
      </w:r>
      <w:proofErr w:type="gramStart"/>
      <w:r>
        <w:rPr>
          <w:rFonts w:ascii="Arial" w:eastAsia="Arial" w:hAnsi="Arial" w:cs="Arial"/>
          <w:color w:val="333333"/>
          <w:sz w:val="20"/>
        </w:rPr>
        <w:t>,Reporters</w:t>
      </w:r>
      <w:proofErr w:type="spellEnd"/>
      <w:proofErr w:type="gramEnd"/>
      <w:r>
        <w:rPr>
          <w:rFonts w:ascii="Arial" w:eastAsia="Arial" w:hAnsi="Arial" w:cs="Arial"/>
          <w:color w:val="333333"/>
          <w:sz w:val="20"/>
        </w:rPr>
        <w:t xml:space="preserve">, and Related Factors.” </w:t>
      </w:r>
      <w:r>
        <w:rPr>
          <w:rFonts w:ascii="Calibri" w:eastAsia="Calibri" w:hAnsi="Calibri" w:cs="Calibri"/>
          <w:color w:val="333333"/>
          <w:sz w:val="20"/>
        </w:rPr>
        <w:t>​</w:t>
      </w:r>
      <w:r>
        <w:rPr>
          <w:rFonts w:ascii="Arial" w:eastAsia="Arial" w:hAnsi="Arial" w:cs="Arial"/>
          <w:i/>
          <w:color w:val="333333"/>
          <w:sz w:val="20"/>
        </w:rPr>
        <w:t>Child Psychiatry &amp; Human Development</w:t>
      </w:r>
      <w:r>
        <w:rPr>
          <w:rFonts w:ascii="Calibri" w:eastAsia="Calibri" w:hAnsi="Calibri" w:cs="Calibri"/>
          <w:color w:val="333333"/>
          <w:sz w:val="21"/>
        </w:rPr>
        <w:t>​</w:t>
      </w:r>
      <w:r>
        <w:rPr>
          <w:rFonts w:ascii="Arial" w:eastAsia="Arial" w:hAnsi="Arial" w:cs="Arial"/>
          <w:color w:val="333333"/>
          <w:sz w:val="20"/>
        </w:rPr>
        <w:t xml:space="preserve">, vol. 46, no. 6, Dec. 2015, pp. 893–902. </w:t>
      </w:r>
      <w:r>
        <w:rPr>
          <w:rFonts w:ascii="Calibri" w:eastAsia="Calibri" w:hAnsi="Calibri" w:cs="Calibri"/>
          <w:color w:val="333333"/>
          <w:sz w:val="20"/>
        </w:rPr>
        <w:t>​</w:t>
      </w:r>
      <w:r>
        <w:rPr>
          <w:rFonts w:ascii="Arial" w:eastAsia="Arial" w:hAnsi="Arial" w:cs="Arial"/>
          <w:i/>
          <w:color w:val="333333"/>
          <w:sz w:val="20"/>
        </w:rPr>
        <w:t>EBSCOhost</w:t>
      </w:r>
      <w:r>
        <w:rPr>
          <w:rFonts w:ascii="Calibri" w:eastAsia="Calibri" w:hAnsi="Calibri" w:cs="Calibri"/>
          <w:color w:val="333333"/>
          <w:sz w:val="21"/>
        </w:rPr>
        <w:t>​</w:t>
      </w:r>
      <w:r>
        <w:rPr>
          <w:rFonts w:ascii="Arial" w:eastAsia="Arial" w:hAnsi="Arial" w:cs="Arial"/>
          <w:color w:val="333333"/>
          <w:sz w:val="20"/>
        </w:rPr>
        <w:t>, doi:10.1007/s10578-014-0529-4.</w:t>
      </w:r>
      <w:r>
        <w:rPr>
          <w:rFonts w:ascii="Calibri" w:eastAsia="Calibri" w:hAnsi="Calibri" w:cs="Calibri"/>
          <w:sz w:val="22"/>
        </w:rPr>
        <w:t xml:space="preserve"> </w:t>
      </w:r>
    </w:p>
    <w:tbl>
      <w:tblPr>
        <w:tblStyle w:val="TableGrid"/>
        <w:tblpPr w:vertAnchor="text" w:tblpY="-14"/>
        <w:tblOverlap w:val="never"/>
        <w:tblW w:w="9255" w:type="dxa"/>
        <w:tblInd w:w="0" w:type="dxa"/>
        <w:tblCellMar>
          <w:top w:w="14" w:type="dxa"/>
        </w:tblCellMar>
        <w:tblLook w:val="04A0" w:firstRow="1" w:lastRow="0" w:firstColumn="1" w:lastColumn="0" w:noHBand="0" w:noVBand="1"/>
      </w:tblPr>
      <w:tblGrid>
        <w:gridCol w:w="3131"/>
        <w:gridCol w:w="449"/>
        <w:gridCol w:w="5682"/>
      </w:tblGrid>
      <w:tr w:rsidR="00B81D02">
        <w:trPr>
          <w:trHeight w:val="248"/>
        </w:trPr>
        <w:tc>
          <w:tcPr>
            <w:tcW w:w="9255" w:type="dxa"/>
            <w:gridSpan w:val="3"/>
            <w:tcBorders>
              <w:top w:val="nil"/>
              <w:left w:val="nil"/>
              <w:bottom w:val="nil"/>
              <w:right w:val="nil"/>
            </w:tcBorders>
            <w:shd w:val="clear" w:color="auto" w:fill="F5F5F5"/>
          </w:tcPr>
          <w:p w:rsidR="00B81D02" w:rsidRDefault="000811B0">
            <w:pPr>
              <w:spacing w:after="0" w:line="259" w:lineRule="auto"/>
              <w:ind w:left="0" w:right="-1" w:firstLine="0"/>
              <w:jc w:val="both"/>
            </w:pPr>
            <w:r>
              <w:rPr>
                <w:rFonts w:ascii="Arial" w:eastAsia="Arial" w:hAnsi="Arial" w:cs="Arial"/>
                <w:color w:val="333333"/>
                <w:sz w:val="20"/>
              </w:rPr>
              <w:t xml:space="preserve">Pollack, Daniel. “Self-Sabotage in Foster Care Placements.” </w:t>
            </w:r>
            <w:r>
              <w:rPr>
                <w:rFonts w:ascii="Calibri" w:eastAsia="Calibri" w:hAnsi="Calibri" w:cs="Calibri"/>
                <w:color w:val="333333"/>
                <w:sz w:val="20"/>
              </w:rPr>
              <w:t>​</w:t>
            </w:r>
            <w:r>
              <w:rPr>
                <w:rFonts w:ascii="Arial" w:eastAsia="Arial" w:hAnsi="Arial" w:cs="Arial"/>
                <w:i/>
                <w:color w:val="333333"/>
                <w:sz w:val="20"/>
              </w:rPr>
              <w:t>Policy &amp; Practice (19426828)</w:t>
            </w:r>
            <w:r>
              <w:rPr>
                <w:rFonts w:ascii="Calibri" w:eastAsia="Calibri" w:hAnsi="Calibri" w:cs="Calibri"/>
                <w:color w:val="333333"/>
                <w:sz w:val="21"/>
              </w:rPr>
              <w:t>​</w:t>
            </w:r>
            <w:r>
              <w:rPr>
                <w:rFonts w:ascii="Arial" w:eastAsia="Arial" w:hAnsi="Arial" w:cs="Arial"/>
                <w:color w:val="333333"/>
                <w:sz w:val="20"/>
              </w:rPr>
              <w:t>, vol. 73, no. 2,</w:t>
            </w:r>
          </w:p>
        </w:tc>
      </w:tr>
      <w:tr w:rsidR="00B81D02">
        <w:trPr>
          <w:trHeight w:val="255"/>
        </w:trPr>
        <w:tc>
          <w:tcPr>
            <w:tcW w:w="2550" w:type="dxa"/>
            <w:gridSpan w:val="2"/>
            <w:tcBorders>
              <w:top w:val="nil"/>
              <w:left w:val="nil"/>
              <w:bottom w:val="nil"/>
              <w:right w:val="nil"/>
            </w:tcBorders>
            <w:shd w:val="clear" w:color="auto" w:fill="F5F5F5"/>
          </w:tcPr>
          <w:p w:rsidR="00B81D02" w:rsidRDefault="000811B0">
            <w:pPr>
              <w:spacing w:after="0" w:line="259" w:lineRule="auto"/>
              <w:ind w:left="0" w:right="-6" w:firstLine="0"/>
              <w:jc w:val="both"/>
            </w:pPr>
            <w:r>
              <w:rPr>
                <w:rFonts w:ascii="Arial" w:eastAsia="Arial" w:hAnsi="Arial" w:cs="Arial"/>
                <w:color w:val="333333"/>
                <w:sz w:val="20"/>
              </w:rPr>
              <w:t xml:space="preserve">Apr. 2015, p. 7. </w:t>
            </w:r>
            <w:r>
              <w:rPr>
                <w:rFonts w:ascii="Calibri" w:eastAsia="Calibri" w:hAnsi="Calibri" w:cs="Calibri"/>
                <w:color w:val="333333"/>
                <w:sz w:val="20"/>
              </w:rPr>
              <w:t>​</w:t>
            </w:r>
            <w:r>
              <w:rPr>
                <w:rFonts w:ascii="Arial" w:eastAsia="Arial" w:hAnsi="Arial" w:cs="Arial"/>
                <w:i/>
                <w:color w:val="333333"/>
                <w:sz w:val="20"/>
              </w:rPr>
              <w:t>EBSCOhost</w:t>
            </w:r>
            <w:r>
              <w:rPr>
                <w:rFonts w:ascii="Calibri" w:eastAsia="Calibri" w:hAnsi="Calibri" w:cs="Calibri"/>
                <w:color w:val="333333"/>
                <w:sz w:val="21"/>
              </w:rPr>
              <w:t>​</w:t>
            </w:r>
            <w:r>
              <w:rPr>
                <w:rFonts w:ascii="Arial" w:eastAsia="Arial" w:hAnsi="Arial" w:cs="Arial"/>
                <w:color w:val="333333"/>
                <w:sz w:val="20"/>
              </w:rPr>
              <w:t>,</w:t>
            </w:r>
          </w:p>
        </w:tc>
        <w:tc>
          <w:tcPr>
            <w:tcW w:w="6705" w:type="dxa"/>
            <w:tcBorders>
              <w:top w:val="nil"/>
              <w:left w:val="nil"/>
              <w:bottom w:val="nil"/>
              <w:right w:val="nil"/>
            </w:tcBorders>
          </w:tcPr>
          <w:p w:rsidR="00B81D02" w:rsidRDefault="000811B0">
            <w:pPr>
              <w:spacing w:after="0" w:line="259" w:lineRule="auto"/>
              <w:ind w:left="6" w:firstLine="0"/>
            </w:pPr>
            <w:r>
              <w:rPr>
                <w:rFonts w:ascii="Arial" w:eastAsia="Arial" w:hAnsi="Arial" w:cs="Arial"/>
                <w:color w:val="333333"/>
                <w:sz w:val="20"/>
              </w:rPr>
              <w:t xml:space="preserve"> </w:t>
            </w:r>
          </w:p>
        </w:tc>
      </w:tr>
      <w:tr w:rsidR="00B81D02">
        <w:trPr>
          <w:trHeight w:val="255"/>
        </w:trPr>
        <w:tc>
          <w:tcPr>
            <w:tcW w:w="9255" w:type="dxa"/>
            <w:gridSpan w:val="3"/>
            <w:tcBorders>
              <w:top w:val="nil"/>
              <w:left w:val="nil"/>
              <w:bottom w:val="nil"/>
              <w:right w:val="nil"/>
            </w:tcBorders>
            <w:shd w:val="clear" w:color="auto" w:fill="F5F5F5"/>
          </w:tcPr>
          <w:p w:rsidR="00B81D02" w:rsidRDefault="000811B0">
            <w:pPr>
              <w:spacing w:after="0" w:line="259" w:lineRule="auto"/>
              <w:ind w:left="0" w:right="-3" w:firstLine="0"/>
              <w:jc w:val="both"/>
            </w:pPr>
            <w:r>
              <w:rPr>
                <w:rFonts w:ascii="Arial" w:eastAsia="Arial" w:hAnsi="Arial" w:cs="Arial"/>
                <w:color w:val="333333"/>
                <w:sz w:val="20"/>
              </w:rPr>
              <w:t>libproxy.howardcc.edu/login?url=https://search.ebscohost.com/login.aspx?direct=true&amp;db=f5h&amp;AN=1099</w:t>
            </w:r>
          </w:p>
        </w:tc>
      </w:tr>
      <w:tr w:rsidR="00B81D02">
        <w:trPr>
          <w:trHeight w:val="248"/>
        </w:trPr>
        <w:tc>
          <w:tcPr>
            <w:tcW w:w="2025" w:type="dxa"/>
            <w:tcBorders>
              <w:top w:val="nil"/>
              <w:left w:val="nil"/>
              <w:bottom w:val="nil"/>
              <w:right w:val="nil"/>
            </w:tcBorders>
            <w:shd w:val="clear" w:color="auto" w:fill="F5F5F5"/>
          </w:tcPr>
          <w:p w:rsidR="00B81D02" w:rsidRDefault="000811B0">
            <w:pPr>
              <w:spacing w:after="0" w:line="259" w:lineRule="auto"/>
              <w:ind w:left="0" w:right="-3" w:firstLine="0"/>
              <w:jc w:val="both"/>
            </w:pPr>
            <w:r>
              <w:rPr>
                <w:rFonts w:ascii="Arial" w:eastAsia="Arial" w:hAnsi="Arial" w:cs="Arial"/>
                <w:color w:val="333333"/>
                <w:sz w:val="20"/>
              </w:rPr>
              <w:t>49829&amp;site=</w:t>
            </w:r>
            <w:proofErr w:type="spellStart"/>
            <w:r>
              <w:rPr>
                <w:rFonts w:ascii="Arial" w:eastAsia="Arial" w:hAnsi="Arial" w:cs="Arial"/>
                <w:color w:val="333333"/>
                <w:sz w:val="20"/>
              </w:rPr>
              <w:t>ehost</w:t>
            </w:r>
            <w:proofErr w:type="spellEnd"/>
            <w:r>
              <w:rPr>
                <w:rFonts w:ascii="Arial" w:eastAsia="Arial" w:hAnsi="Arial" w:cs="Arial"/>
                <w:color w:val="333333"/>
                <w:sz w:val="20"/>
              </w:rPr>
              <w:t>-live.</w:t>
            </w:r>
          </w:p>
        </w:tc>
        <w:tc>
          <w:tcPr>
            <w:tcW w:w="7230" w:type="dxa"/>
            <w:gridSpan w:val="2"/>
            <w:tcBorders>
              <w:top w:val="nil"/>
              <w:left w:val="nil"/>
              <w:bottom w:val="nil"/>
              <w:right w:val="nil"/>
            </w:tcBorders>
          </w:tcPr>
          <w:p w:rsidR="00B81D02" w:rsidRDefault="000811B0">
            <w:pPr>
              <w:spacing w:after="0" w:line="259" w:lineRule="auto"/>
              <w:ind w:left="3" w:firstLine="0"/>
            </w:pPr>
            <w:r>
              <w:rPr>
                <w:rFonts w:ascii="Arial" w:eastAsia="Arial" w:hAnsi="Arial" w:cs="Arial"/>
                <w:color w:val="333333"/>
                <w:sz w:val="20"/>
              </w:rPr>
              <w:t xml:space="preserve"> </w:t>
            </w:r>
          </w:p>
        </w:tc>
      </w:tr>
    </w:tbl>
    <w:p w:rsidR="00B81D02" w:rsidRDefault="000811B0">
      <w:pPr>
        <w:spacing w:after="0" w:line="259" w:lineRule="auto"/>
        <w:ind w:left="0" w:firstLine="0"/>
      </w:pPr>
      <w:r>
        <w:rPr>
          <w:rFonts w:ascii="Arial" w:eastAsia="Arial" w:hAnsi="Arial" w:cs="Arial"/>
          <w:color w:val="333333"/>
          <w:sz w:val="20"/>
        </w:rPr>
        <w:t xml:space="preserve"> </w:t>
      </w:r>
    </w:p>
    <w:sectPr w:rsidR="00B81D02">
      <w:pgSz w:w="12240" w:h="15840"/>
      <w:pgMar w:top="116" w:right="1443" w:bottom="1078"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D02"/>
    <w:rsid w:val="000811B0"/>
    <w:rsid w:val="00A31C40"/>
    <w:rsid w:val="00B81D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0C86F1-5B5E-4062-B9A0-7BB2C922B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92" w:lineRule="auto"/>
      <w:ind w:left="10"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708</Words>
  <Characters>4040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Whitaker, Tiffany (NIH/NIA/IRP) [C]</dc:creator>
  <cp:keywords/>
  <cp:lastModifiedBy>Help in Homework</cp:lastModifiedBy>
  <cp:revision>3</cp:revision>
  <dcterms:created xsi:type="dcterms:W3CDTF">2018-11-13T19:47:00Z</dcterms:created>
  <dcterms:modified xsi:type="dcterms:W3CDTF">2020-08-08T09:49:00Z</dcterms:modified>
</cp:coreProperties>
</file>