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D30" w:rsidRDefault="00642D30" w:rsidP="00642D30">
      <w:pPr>
        <w:spacing w:after="160"/>
        <w:jc w:val="center"/>
        <w:rPr>
          <w:b/>
          <w:color w:val="000000" w:themeColor="text1"/>
          <w:szCs w:val="24"/>
        </w:rPr>
      </w:pPr>
    </w:p>
    <w:p w:rsidR="00642D30" w:rsidRDefault="00642D30" w:rsidP="00642D30">
      <w:pPr>
        <w:spacing w:after="160"/>
        <w:jc w:val="center"/>
        <w:rPr>
          <w:b/>
          <w:color w:val="000000" w:themeColor="text1"/>
          <w:szCs w:val="24"/>
        </w:rPr>
      </w:pPr>
    </w:p>
    <w:p w:rsidR="00642D30" w:rsidRDefault="00642D30" w:rsidP="00642D30">
      <w:pPr>
        <w:spacing w:after="160"/>
        <w:jc w:val="center"/>
        <w:rPr>
          <w:b/>
          <w:color w:val="000000" w:themeColor="text1"/>
          <w:szCs w:val="24"/>
        </w:rPr>
      </w:pPr>
    </w:p>
    <w:p w:rsidR="00642D30" w:rsidRDefault="00642D30" w:rsidP="00642D30">
      <w:pPr>
        <w:spacing w:after="160"/>
        <w:jc w:val="center"/>
        <w:rPr>
          <w:b/>
          <w:color w:val="000000" w:themeColor="text1"/>
          <w:szCs w:val="24"/>
        </w:rPr>
      </w:pPr>
    </w:p>
    <w:p w:rsidR="00642D30" w:rsidRPr="00642D30" w:rsidRDefault="00642D30" w:rsidP="00642D30">
      <w:pPr>
        <w:spacing w:after="160"/>
        <w:jc w:val="center"/>
        <w:rPr>
          <w:b/>
          <w:color w:val="000000" w:themeColor="text1"/>
          <w:szCs w:val="24"/>
        </w:rPr>
      </w:pPr>
      <w:r>
        <w:rPr>
          <w:b/>
          <w:color w:val="000000" w:themeColor="text1"/>
          <w:szCs w:val="24"/>
        </w:rPr>
        <w:t>Evaluating Financial Stability of Mission Furniture</w:t>
      </w:r>
    </w:p>
    <w:p w:rsidR="00642D30" w:rsidRPr="00642D30" w:rsidRDefault="00642D30" w:rsidP="00642D30">
      <w:pPr>
        <w:spacing w:after="160"/>
        <w:jc w:val="center"/>
        <w:rPr>
          <w:color w:val="000000" w:themeColor="text1"/>
          <w:szCs w:val="24"/>
        </w:rPr>
      </w:pPr>
    </w:p>
    <w:p w:rsidR="00642D30" w:rsidRPr="00642D30" w:rsidRDefault="00642D30" w:rsidP="00642D30">
      <w:pPr>
        <w:spacing w:after="160"/>
        <w:jc w:val="center"/>
        <w:rPr>
          <w:color w:val="000000" w:themeColor="text1"/>
          <w:szCs w:val="24"/>
        </w:rPr>
      </w:pPr>
      <w:r w:rsidRPr="00642D30">
        <w:rPr>
          <w:color w:val="000000" w:themeColor="text1"/>
          <w:szCs w:val="24"/>
        </w:rPr>
        <w:t>Student’s Name</w:t>
      </w:r>
    </w:p>
    <w:p w:rsidR="00642D30" w:rsidRPr="00642D30" w:rsidRDefault="00642D30" w:rsidP="00642D30">
      <w:pPr>
        <w:spacing w:after="160"/>
        <w:jc w:val="center"/>
        <w:rPr>
          <w:color w:val="000000" w:themeColor="text1"/>
          <w:szCs w:val="24"/>
        </w:rPr>
      </w:pPr>
      <w:r w:rsidRPr="00642D30">
        <w:rPr>
          <w:color w:val="000000" w:themeColor="text1"/>
          <w:szCs w:val="24"/>
        </w:rPr>
        <w:t xml:space="preserve">Institutional Affiliation </w:t>
      </w:r>
    </w:p>
    <w:p w:rsidR="00642D30" w:rsidRPr="00642D30" w:rsidRDefault="00642D30" w:rsidP="00642D30">
      <w:pPr>
        <w:spacing w:after="160"/>
        <w:jc w:val="center"/>
        <w:rPr>
          <w:color w:val="000000" w:themeColor="text1"/>
          <w:szCs w:val="24"/>
        </w:rPr>
      </w:pPr>
      <w:r w:rsidRPr="00642D30">
        <w:rPr>
          <w:color w:val="000000" w:themeColor="text1"/>
          <w:szCs w:val="24"/>
        </w:rPr>
        <w:t>Instructor’s Name</w:t>
      </w:r>
    </w:p>
    <w:p w:rsidR="00642D30" w:rsidRPr="00642D30" w:rsidRDefault="00642D30" w:rsidP="00642D30">
      <w:pPr>
        <w:spacing w:after="160"/>
        <w:jc w:val="center"/>
        <w:rPr>
          <w:color w:val="000000" w:themeColor="text1"/>
          <w:szCs w:val="24"/>
        </w:rPr>
      </w:pPr>
      <w:r w:rsidRPr="00642D30">
        <w:rPr>
          <w:color w:val="000000" w:themeColor="text1"/>
          <w:szCs w:val="24"/>
        </w:rPr>
        <w:t>Course</w:t>
      </w:r>
    </w:p>
    <w:p w:rsidR="00642D30" w:rsidRDefault="00642D30" w:rsidP="00642D30">
      <w:pPr>
        <w:spacing w:after="160"/>
        <w:jc w:val="center"/>
        <w:rPr>
          <w:color w:val="000000" w:themeColor="text1"/>
          <w:szCs w:val="24"/>
        </w:rPr>
      </w:pPr>
      <w:r w:rsidRPr="00642D30">
        <w:rPr>
          <w:color w:val="000000" w:themeColor="text1"/>
          <w:szCs w:val="24"/>
        </w:rPr>
        <w:t>Due Date</w:t>
      </w:r>
    </w:p>
    <w:p w:rsidR="00642D30" w:rsidRDefault="00642D30">
      <w:pPr>
        <w:rPr>
          <w:b/>
          <w:color w:val="000000" w:themeColor="text1"/>
          <w:szCs w:val="24"/>
        </w:rPr>
      </w:pPr>
      <w:r>
        <w:rPr>
          <w:b/>
          <w:color w:val="000000" w:themeColor="text1"/>
          <w:szCs w:val="24"/>
        </w:rPr>
        <w:br w:type="page"/>
      </w:r>
    </w:p>
    <w:p w:rsidR="00095E51" w:rsidRDefault="00642D30" w:rsidP="00642D30">
      <w:pPr>
        <w:spacing w:after="160"/>
        <w:jc w:val="center"/>
        <w:rPr>
          <w:rFonts w:eastAsia="Times New Roman"/>
          <w:color w:val="444444"/>
          <w:kern w:val="36"/>
          <w:szCs w:val="24"/>
        </w:rPr>
      </w:pPr>
      <w:r>
        <w:rPr>
          <w:b/>
          <w:color w:val="000000" w:themeColor="text1"/>
          <w:szCs w:val="24"/>
        </w:rPr>
        <w:lastRenderedPageBreak/>
        <w:t>Evaluating Financial Stability of Mission Furniture</w:t>
      </w:r>
    </w:p>
    <w:p w:rsidR="00D307F9" w:rsidRDefault="00D307F9" w:rsidP="007F3A2B">
      <w:pPr>
        <w:shd w:val="clear" w:color="auto" w:fill="FFFFFF"/>
        <w:ind w:firstLine="720"/>
        <w:jc w:val="left"/>
        <w:outlineLvl w:val="0"/>
        <w:rPr>
          <w:rFonts w:eastAsia="Times New Roman"/>
          <w:color w:val="444444"/>
          <w:kern w:val="36"/>
          <w:szCs w:val="24"/>
        </w:rPr>
      </w:pPr>
      <w:r w:rsidRPr="00D307F9">
        <w:rPr>
          <w:rFonts w:eastAsia="Times New Roman"/>
          <w:color w:val="444444"/>
          <w:kern w:val="36"/>
          <w:szCs w:val="24"/>
        </w:rPr>
        <w:t xml:space="preserve">The financial stability and prospects of a business can be measured using financial ratio analysis. </w:t>
      </w:r>
      <w:r>
        <w:rPr>
          <w:rFonts w:eastAsia="Times New Roman"/>
          <w:color w:val="444444"/>
          <w:kern w:val="36"/>
          <w:szCs w:val="24"/>
        </w:rPr>
        <w:t xml:space="preserve">The table below summarizes the financial performance of </w:t>
      </w:r>
      <w:r w:rsidR="00F61F9F">
        <w:rPr>
          <w:rFonts w:eastAsia="Times New Roman"/>
          <w:color w:val="444444"/>
          <w:kern w:val="36"/>
          <w:szCs w:val="24"/>
        </w:rPr>
        <w:t>Mission Furniture</w:t>
      </w:r>
      <w:r>
        <w:rPr>
          <w:rFonts w:eastAsia="Times New Roman"/>
          <w:color w:val="444444"/>
          <w:kern w:val="36"/>
          <w:szCs w:val="24"/>
        </w:rPr>
        <w:t xml:space="preserve"> and forms the basis for decision</w:t>
      </w:r>
      <w:r w:rsidR="007F3A2B">
        <w:rPr>
          <w:rFonts w:eastAsia="Times New Roman"/>
          <w:color w:val="444444"/>
          <w:kern w:val="36"/>
          <w:szCs w:val="24"/>
        </w:rPr>
        <w:t>-</w:t>
      </w:r>
      <w:r>
        <w:rPr>
          <w:rFonts w:eastAsia="Times New Roman"/>
          <w:color w:val="444444"/>
          <w:kern w:val="36"/>
          <w:szCs w:val="24"/>
        </w:rPr>
        <w:t xml:space="preserve">making regarding </w:t>
      </w:r>
      <w:r w:rsidR="00F61F9F">
        <w:rPr>
          <w:rFonts w:eastAsia="Times New Roman"/>
          <w:color w:val="444444"/>
          <w:kern w:val="36"/>
          <w:szCs w:val="24"/>
        </w:rPr>
        <w:t xml:space="preserve">whether or not </w:t>
      </w:r>
      <w:r w:rsidR="00F61F9F" w:rsidRPr="00F61F9F">
        <w:rPr>
          <w:rFonts w:eastAsia="Times New Roman"/>
          <w:color w:val="444444"/>
          <w:kern w:val="36"/>
          <w:szCs w:val="24"/>
        </w:rPr>
        <w:t>Upstate NY Real Estate</w:t>
      </w:r>
      <w:r w:rsidR="00F61F9F">
        <w:rPr>
          <w:rFonts w:eastAsia="Times New Roman"/>
          <w:color w:val="444444"/>
          <w:kern w:val="36"/>
          <w:szCs w:val="24"/>
        </w:rPr>
        <w:t xml:space="preserve"> should lease them the property.</w:t>
      </w:r>
    </w:p>
    <w:p w:rsidR="0005630A" w:rsidRPr="007F3A2B" w:rsidRDefault="0005630A" w:rsidP="007F3A2B">
      <w:pPr>
        <w:shd w:val="clear" w:color="auto" w:fill="FFFFFF"/>
        <w:jc w:val="left"/>
        <w:outlineLvl w:val="0"/>
        <w:rPr>
          <w:rFonts w:eastAsia="Times New Roman"/>
          <w:i/>
          <w:color w:val="444444"/>
          <w:kern w:val="36"/>
          <w:szCs w:val="24"/>
        </w:rPr>
      </w:pPr>
      <w:r w:rsidRPr="007F3A2B">
        <w:rPr>
          <w:rFonts w:eastAsia="Times New Roman"/>
          <w:i/>
          <w:color w:val="444444"/>
          <w:kern w:val="36"/>
          <w:szCs w:val="24"/>
        </w:rPr>
        <w:t>Table showing Mission Furniture ratio</w:t>
      </w:r>
      <w:r w:rsidR="0094109C" w:rsidRPr="007F3A2B">
        <w:rPr>
          <w:rFonts w:eastAsia="Times New Roman"/>
          <w:i/>
          <w:color w:val="444444"/>
          <w:kern w:val="36"/>
          <w:szCs w:val="24"/>
        </w:rPr>
        <w:t xml:space="preserve"> and trend</w:t>
      </w:r>
      <w:r w:rsidRPr="007F3A2B">
        <w:rPr>
          <w:rFonts w:eastAsia="Times New Roman"/>
          <w:i/>
          <w:color w:val="444444"/>
          <w:kern w:val="36"/>
          <w:szCs w:val="24"/>
        </w:rPr>
        <w:t xml:space="preserve"> analysis</w:t>
      </w:r>
    </w:p>
    <w:p w:rsidR="00F61F9F" w:rsidRDefault="00F61F9F" w:rsidP="00D307F9">
      <w:pPr>
        <w:shd w:val="clear" w:color="auto" w:fill="FFFFFF"/>
        <w:spacing w:line="240" w:lineRule="auto"/>
        <w:jc w:val="left"/>
        <w:outlineLvl w:val="0"/>
        <w:rPr>
          <w:rFonts w:eastAsia="Times New Roman"/>
          <w:color w:val="444444"/>
          <w:kern w:val="36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16"/>
        <w:gridCol w:w="2256"/>
        <w:gridCol w:w="1444"/>
        <w:gridCol w:w="1444"/>
        <w:gridCol w:w="1444"/>
        <w:gridCol w:w="1346"/>
      </w:tblGrid>
      <w:tr w:rsidR="006C211A" w:rsidRPr="000611A3" w:rsidTr="0000669A">
        <w:tc>
          <w:tcPr>
            <w:tcW w:w="758" w:type="pct"/>
          </w:tcPr>
          <w:p w:rsidR="00373182" w:rsidRPr="000611A3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611A3">
              <w:rPr>
                <w:rFonts w:eastAsia="Times New Roman"/>
                <w:b/>
                <w:color w:val="444444"/>
                <w:kern w:val="36"/>
                <w:szCs w:val="24"/>
              </w:rPr>
              <w:t>Name of ratio</w:t>
            </w:r>
          </w:p>
        </w:tc>
        <w:tc>
          <w:tcPr>
            <w:tcW w:w="1206" w:type="pct"/>
          </w:tcPr>
          <w:p w:rsidR="00373182" w:rsidRPr="000611A3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611A3">
              <w:rPr>
                <w:rFonts w:eastAsia="Times New Roman"/>
                <w:b/>
                <w:color w:val="444444"/>
                <w:kern w:val="36"/>
                <w:szCs w:val="24"/>
              </w:rPr>
              <w:t xml:space="preserve">Formula </w:t>
            </w:r>
          </w:p>
        </w:tc>
        <w:tc>
          <w:tcPr>
            <w:tcW w:w="772" w:type="pct"/>
          </w:tcPr>
          <w:p w:rsidR="00373182" w:rsidRPr="000611A3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611A3">
              <w:rPr>
                <w:rFonts w:eastAsia="Times New Roman"/>
                <w:b/>
                <w:color w:val="444444"/>
                <w:kern w:val="36"/>
                <w:szCs w:val="24"/>
              </w:rPr>
              <w:t>20x5</w:t>
            </w:r>
          </w:p>
        </w:tc>
        <w:tc>
          <w:tcPr>
            <w:tcW w:w="772" w:type="pct"/>
          </w:tcPr>
          <w:p w:rsidR="00373182" w:rsidRPr="000611A3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611A3">
              <w:rPr>
                <w:rFonts w:eastAsia="Times New Roman"/>
                <w:b/>
                <w:color w:val="444444"/>
                <w:kern w:val="36"/>
                <w:szCs w:val="24"/>
              </w:rPr>
              <w:t>20x6</w:t>
            </w:r>
          </w:p>
        </w:tc>
        <w:tc>
          <w:tcPr>
            <w:tcW w:w="772" w:type="pct"/>
          </w:tcPr>
          <w:p w:rsidR="00373182" w:rsidRPr="000611A3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611A3">
              <w:rPr>
                <w:rFonts w:eastAsia="Times New Roman"/>
                <w:b/>
                <w:color w:val="444444"/>
                <w:kern w:val="36"/>
                <w:szCs w:val="24"/>
              </w:rPr>
              <w:t>20x7</w:t>
            </w: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373182" w:rsidP="00D307F9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3-Year Average</w:t>
            </w:r>
          </w:p>
        </w:tc>
      </w:tr>
      <w:tr w:rsidR="00791322" w:rsidTr="0000669A">
        <w:tc>
          <w:tcPr>
            <w:tcW w:w="1" w:type="pct"/>
            <w:gridSpan w:val="6"/>
            <w:shd w:val="clear" w:color="auto" w:fill="DEEAF6" w:themeFill="accent1" w:themeFillTint="33"/>
          </w:tcPr>
          <w:p w:rsidR="00791322" w:rsidRPr="0000669A" w:rsidRDefault="00207CBC" w:rsidP="00207CBC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Profitability Ratios</w:t>
            </w:r>
          </w:p>
          <w:p w:rsidR="00207CBC" w:rsidRPr="0000669A" w:rsidRDefault="00207CBC" w:rsidP="00207CBC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</w:p>
        </w:tc>
      </w:tr>
      <w:tr w:rsidR="006C211A" w:rsidTr="0000669A">
        <w:tc>
          <w:tcPr>
            <w:tcW w:w="758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Gross profit margin</w:t>
            </w:r>
          </w:p>
        </w:tc>
        <w:tc>
          <w:tcPr>
            <w:tcW w:w="1206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(Sales-COGS)/ Sales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(947.3-436.6)/947.3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=53.9%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(995.1-472.8)/995.1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52.5%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(989-466.6)/989.0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52.8%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373182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53.07%</w:t>
            </w:r>
          </w:p>
        </w:tc>
      </w:tr>
      <w:tr w:rsidR="006C211A" w:rsidTr="0000669A">
        <w:tc>
          <w:tcPr>
            <w:tcW w:w="758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Net profit margin</w:t>
            </w:r>
          </w:p>
        </w:tc>
        <w:tc>
          <w:tcPr>
            <w:tcW w:w="1206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Net income/ sales revenues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115.4/947.3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=12.18%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109.9/995.1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11.04%</w:t>
            </w:r>
          </w:p>
        </w:tc>
        <w:tc>
          <w:tcPr>
            <w:tcW w:w="772" w:type="pct"/>
          </w:tcPr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114.4/989</w:t>
            </w:r>
          </w:p>
          <w:p w:rsidR="00373182" w:rsidRDefault="0037318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11.57%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373182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11.60%</w:t>
            </w:r>
          </w:p>
        </w:tc>
      </w:tr>
      <w:tr w:rsidR="00373182" w:rsidTr="0000669A">
        <w:tc>
          <w:tcPr>
            <w:tcW w:w="5000" w:type="pct"/>
            <w:gridSpan w:val="6"/>
            <w:shd w:val="clear" w:color="auto" w:fill="DEEAF6" w:themeFill="accent1" w:themeFillTint="33"/>
          </w:tcPr>
          <w:p w:rsidR="00207CBC" w:rsidRPr="0000669A" w:rsidRDefault="000611A3" w:rsidP="00207CBC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Liquidity Ratios</w:t>
            </w:r>
          </w:p>
          <w:p w:rsidR="00207CBC" w:rsidRPr="0000669A" w:rsidRDefault="00207CBC" w:rsidP="00207CBC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</w:p>
        </w:tc>
      </w:tr>
      <w:tr w:rsidR="006C211A" w:rsidTr="0000669A">
        <w:tc>
          <w:tcPr>
            <w:tcW w:w="758" w:type="pct"/>
          </w:tcPr>
          <w:p w:rsidR="00373182" w:rsidRDefault="000611A3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Current ratio</w:t>
            </w:r>
          </w:p>
        </w:tc>
        <w:tc>
          <w:tcPr>
            <w:tcW w:w="1206" w:type="pct"/>
          </w:tcPr>
          <w:p w:rsidR="00373182" w:rsidRDefault="000611A3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Current assets/ current liabilities</w:t>
            </w:r>
          </w:p>
        </w:tc>
        <w:tc>
          <w:tcPr>
            <w:tcW w:w="772" w:type="pct"/>
          </w:tcPr>
          <w:p w:rsidR="00373182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370.3/135.1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2.74</w:t>
            </w:r>
          </w:p>
        </w:tc>
        <w:tc>
          <w:tcPr>
            <w:tcW w:w="772" w:type="pct"/>
          </w:tcPr>
          <w:p w:rsidR="00373182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339.7/34.3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9.90</w:t>
            </w:r>
          </w:p>
        </w:tc>
        <w:tc>
          <w:tcPr>
            <w:tcW w:w="772" w:type="pct"/>
          </w:tcPr>
          <w:p w:rsidR="00373182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339/31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=10.94</w:t>
            </w:r>
          </w:p>
          <w:p w:rsidR="00813DB2" w:rsidRDefault="00813DB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9F3D3C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7.86</w:t>
            </w:r>
          </w:p>
        </w:tc>
      </w:tr>
      <w:tr w:rsidR="006C211A" w:rsidTr="0000669A">
        <w:tc>
          <w:tcPr>
            <w:tcW w:w="758" w:type="pct"/>
          </w:tcPr>
          <w:p w:rsidR="00373182" w:rsidRDefault="000611A3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Quick ratio</w:t>
            </w:r>
          </w:p>
        </w:tc>
        <w:tc>
          <w:tcPr>
            <w:tcW w:w="1206" w:type="pct"/>
          </w:tcPr>
          <w:p w:rsidR="00373182" w:rsidRDefault="006C211A" w:rsidP="006C211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(Current assets- inventory)</w:t>
            </w:r>
            <w:r w:rsidR="000611A3">
              <w:rPr>
                <w:rFonts w:eastAsia="Times New Roman"/>
                <w:color w:val="444444"/>
                <w:kern w:val="36"/>
                <w:szCs w:val="24"/>
              </w:rPr>
              <w:t>/ current liabilities</w:t>
            </w:r>
          </w:p>
        </w:tc>
        <w:tc>
          <w:tcPr>
            <w:tcW w:w="772" w:type="pct"/>
          </w:tcPr>
          <w:p w:rsidR="00373182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(370.3-198.2)/135.1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1.27</w:t>
            </w:r>
          </w:p>
        </w:tc>
        <w:tc>
          <w:tcPr>
            <w:tcW w:w="772" w:type="pct"/>
          </w:tcPr>
          <w:p w:rsidR="00373182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339.7-186.9/34.3</w:t>
            </w:r>
          </w:p>
          <w:p w:rsidR="00207CBC" w:rsidRDefault="00207CBC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4.45</w:t>
            </w:r>
          </w:p>
        </w:tc>
        <w:tc>
          <w:tcPr>
            <w:tcW w:w="772" w:type="pct"/>
          </w:tcPr>
          <w:p w:rsidR="00373182" w:rsidRDefault="00B1371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339-187.1/31</w:t>
            </w:r>
          </w:p>
          <w:p w:rsidR="00B1371E" w:rsidRDefault="00B1371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4.9</w:t>
            </w:r>
          </w:p>
          <w:p w:rsidR="00813DB2" w:rsidRDefault="00813DB2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9F3D3C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3.54</w:t>
            </w:r>
          </w:p>
        </w:tc>
      </w:tr>
      <w:tr w:rsidR="00D55B30" w:rsidTr="0000669A">
        <w:tc>
          <w:tcPr>
            <w:tcW w:w="5000" w:type="pct"/>
            <w:gridSpan w:val="6"/>
            <w:shd w:val="clear" w:color="auto" w:fill="DEEAF6" w:themeFill="accent1" w:themeFillTint="33"/>
          </w:tcPr>
          <w:p w:rsidR="00D55B30" w:rsidRPr="0000669A" w:rsidRDefault="00D55B30" w:rsidP="00D55B30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Long-Term Solvency Ratios</w:t>
            </w:r>
          </w:p>
          <w:p w:rsidR="00813DB2" w:rsidRPr="0000669A" w:rsidRDefault="00813DB2" w:rsidP="00D55B30">
            <w:pPr>
              <w:jc w:val="center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</w:p>
        </w:tc>
      </w:tr>
      <w:tr w:rsidR="006C211A" w:rsidTr="0000669A">
        <w:tc>
          <w:tcPr>
            <w:tcW w:w="758" w:type="pct"/>
          </w:tcPr>
          <w:p w:rsidR="00373182" w:rsidRDefault="006C211A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Debt ratio</w:t>
            </w:r>
          </w:p>
        </w:tc>
        <w:tc>
          <w:tcPr>
            <w:tcW w:w="1206" w:type="pct"/>
          </w:tcPr>
          <w:p w:rsidR="00373182" w:rsidRDefault="00DE19DF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Total liabilities/Total assets</w:t>
            </w:r>
          </w:p>
        </w:tc>
        <w:tc>
          <w:tcPr>
            <w:tcW w:w="772" w:type="pct"/>
          </w:tcPr>
          <w:p w:rsidR="00373182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194.5/741.5</w:t>
            </w:r>
          </w:p>
          <w:p w:rsidR="00D176DE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26.23%</w:t>
            </w:r>
          </w:p>
        </w:tc>
        <w:tc>
          <w:tcPr>
            <w:tcW w:w="772" w:type="pct"/>
          </w:tcPr>
          <w:p w:rsidR="00373182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91.2/698.4</w:t>
            </w:r>
          </w:p>
          <w:p w:rsidR="00D176DE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13.06%</w:t>
            </w:r>
          </w:p>
        </w:tc>
        <w:tc>
          <w:tcPr>
            <w:tcW w:w="772" w:type="pct"/>
          </w:tcPr>
          <w:p w:rsidR="00373182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39.7/703</w:t>
            </w:r>
          </w:p>
          <w:p w:rsidR="00D176DE" w:rsidRDefault="00D176D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5.65%</w:t>
            </w:r>
          </w:p>
          <w:p w:rsidR="00DB3967" w:rsidRDefault="00DB3967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9F3D3C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14.98</w:t>
            </w:r>
            <w:r w:rsidR="00C15886">
              <w:rPr>
                <w:rFonts w:eastAsia="Times New Roman"/>
                <w:b/>
                <w:color w:val="444444"/>
                <w:kern w:val="36"/>
                <w:szCs w:val="24"/>
              </w:rPr>
              <w:t>%</w:t>
            </w:r>
          </w:p>
        </w:tc>
      </w:tr>
      <w:tr w:rsidR="006C211A" w:rsidTr="0000669A">
        <w:tc>
          <w:tcPr>
            <w:tcW w:w="758" w:type="pct"/>
          </w:tcPr>
          <w:p w:rsidR="00373182" w:rsidRDefault="006C211A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Cash coverage ratio</w:t>
            </w:r>
          </w:p>
        </w:tc>
        <w:tc>
          <w:tcPr>
            <w:tcW w:w="1206" w:type="pct"/>
          </w:tcPr>
          <w:p w:rsidR="00373182" w:rsidRDefault="00DE19DF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 w:rsidRPr="00DE19DF">
              <w:rPr>
                <w:rFonts w:eastAsia="Times New Roman"/>
                <w:color w:val="444444"/>
                <w:kern w:val="36"/>
                <w:szCs w:val="24"/>
              </w:rPr>
              <w:t>(EBIT + depreciation)/interest expense</w:t>
            </w:r>
          </w:p>
        </w:tc>
        <w:tc>
          <w:tcPr>
            <w:tcW w:w="772" w:type="pct"/>
          </w:tcPr>
          <w:p w:rsidR="00373182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161.3+ 21.3/0.6</w:t>
            </w:r>
          </w:p>
          <w:p w:rsidR="009C68AE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304.33</w:t>
            </w:r>
          </w:p>
        </w:tc>
        <w:tc>
          <w:tcPr>
            <w:tcW w:w="772" w:type="pct"/>
          </w:tcPr>
          <w:p w:rsidR="00373182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171+21.3/ 0.6</w:t>
            </w:r>
          </w:p>
          <w:p w:rsidR="009C68AE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320.5</w:t>
            </w:r>
          </w:p>
        </w:tc>
        <w:tc>
          <w:tcPr>
            <w:tcW w:w="772" w:type="pct"/>
          </w:tcPr>
          <w:p w:rsidR="00373182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170.2+21.3/ 0.8</w:t>
            </w:r>
          </w:p>
          <w:p w:rsidR="009C68AE" w:rsidRDefault="009C68AE" w:rsidP="0005630A">
            <w:pPr>
              <w:jc w:val="left"/>
              <w:outlineLvl w:val="0"/>
              <w:rPr>
                <w:rFonts w:eastAsia="Times New Roman"/>
                <w:color w:val="444444"/>
                <w:kern w:val="36"/>
                <w:szCs w:val="24"/>
              </w:rPr>
            </w:pPr>
            <w:r>
              <w:rPr>
                <w:rFonts w:eastAsia="Times New Roman"/>
                <w:color w:val="444444"/>
                <w:kern w:val="36"/>
                <w:szCs w:val="24"/>
              </w:rPr>
              <w:t>= 239.38</w:t>
            </w:r>
          </w:p>
        </w:tc>
        <w:tc>
          <w:tcPr>
            <w:tcW w:w="719" w:type="pct"/>
            <w:shd w:val="clear" w:color="auto" w:fill="DEEAF6" w:themeFill="accent1" w:themeFillTint="33"/>
          </w:tcPr>
          <w:p w:rsidR="00373182" w:rsidRPr="0000669A" w:rsidRDefault="009F3D3C" w:rsidP="0005630A">
            <w:pPr>
              <w:jc w:val="left"/>
              <w:outlineLvl w:val="0"/>
              <w:rPr>
                <w:rFonts w:eastAsia="Times New Roman"/>
                <w:b/>
                <w:color w:val="444444"/>
                <w:kern w:val="36"/>
                <w:szCs w:val="24"/>
              </w:rPr>
            </w:pPr>
            <w:r w:rsidRPr="0000669A">
              <w:rPr>
                <w:rFonts w:eastAsia="Times New Roman"/>
                <w:b/>
                <w:color w:val="444444"/>
                <w:kern w:val="36"/>
                <w:szCs w:val="24"/>
              </w:rPr>
              <w:t>288.07</w:t>
            </w:r>
          </w:p>
        </w:tc>
      </w:tr>
    </w:tbl>
    <w:p w:rsidR="00F61F9F" w:rsidRPr="00D307F9" w:rsidRDefault="00F61F9F" w:rsidP="00D307F9">
      <w:pPr>
        <w:shd w:val="clear" w:color="auto" w:fill="FFFFFF"/>
        <w:spacing w:line="240" w:lineRule="auto"/>
        <w:jc w:val="left"/>
        <w:outlineLvl w:val="0"/>
        <w:rPr>
          <w:rFonts w:eastAsia="Times New Roman"/>
          <w:color w:val="444444"/>
          <w:kern w:val="36"/>
          <w:szCs w:val="24"/>
        </w:rPr>
      </w:pPr>
    </w:p>
    <w:p w:rsidR="00AB2099" w:rsidRDefault="00AB2099" w:rsidP="004164D2">
      <w:pPr>
        <w:shd w:val="clear" w:color="auto" w:fill="FFFFFF"/>
        <w:spacing w:line="240" w:lineRule="auto"/>
        <w:jc w:val="center"/>
        <w:outlineLvl w:val="0"/>
        <w:rPr>
          <w:rFonts w:eastAsia="Times New Roman"/>
          <w:b/>
          <w:color w:val="444444"/>
          <w:kern w:val="36"/>
          <w:szCs w:val="24"/>
        </w:rPr>
      </w:pPr>
    </w:p>
    <w:p w:rsidR="00235DA8" w:rsidRDefault="00235DA8" w:rsidP="00AB2099">
      <w:pPr>
        <w:shd w:val="clear" w:color="auto" w:fill="FFFFFF"/>
        <w:jc w:val="center"/>
        <w:outlineLvl w:val="0"/>
        <w:rPr>
          <w:rFonts w:eastAsia="Times New Roman"/>
          <w:b/>
          <w:color w:val="444444"/>
          <w:kern w:val="36"/>
          <w:szCs w:val="24"/>
        </w:rPr>
      </w:pPr>
    </w:p>
    <w:p w:rsidR="00D307F9" w:rsidRPr="004164D2" w:rsidRDefault="00D81237" w:rsidP="00AB2099">
      <w:pPr>
        <w:shd w:val="clear" w:color="auto" w:fill="FFFFFF"/>
        <w:jc w:val="center"/>
        <w:outlineLvl w:val="0"/>
        <w:rPr>
          <w:rFonts w:eastAsia="Times New Roman"/>
          <w:b/>
          <w:color w:val="444444"/>
          <w:kern w:val="36"/>
          <w:szCs w:val="24"/>
        </w:rPr>
      </w:pPr>
      <w:r>
        <w:rPr>
          <w:rFonts w:eastAsia="Times New Roman"/>
          <w:b/>
          <w:color w:val="444444"/>
          <w:kern w:val="36"/>
          <w:szCs w:val="24"/>
        </w:rPr>
        <w:lastRenderedPageBreak/>
        <w:t xml:space="preserve">Leasing </w:t>
      </w:r>
      <w:bookmarkStart w:id="0" w:name="_GoBack"/>
      <w:bookmarkEnd w:id="0"/>
      <w:r w:rsidR="0000669A" w:rsidRPr="004164D2">
        <w:rPr>
          <w:rFonts w:eastAsia="Times New Roman"/>
          <w:b/>
          <w:color w:val="444444"/>
          <w:kern w:val="36"/>
          <w:szCs w:val="24"/>
        </w:rPr>
        <w:t>Decision</w:t>
      </w:r>
    </w:p>
    <w:p w:rsidR="00316F41" w:rsidRDefault="00316F41" w:rsidP="00AB2099">
      <w:pPr>
        <w:shd w:val="clear" w:color="auto" w:fill="FFFFFF"/>
        <w:ind w:firstLine="720"/>
        <w:outlineLvl w:val="0"/>
        <w:rPr>
          <w:rFonts w:eastAsia="Times New Roman"/>
          <w:color w:val="444444"/>
          <w:kern w:val="36"/>
          <w:szCs w:val="24"/>
        </w:rPr>
      </w:pPr>
      <w:r w:rsidRPr="00316F41">
        <w:rPr>
          <w:rFonts w:eastAsia="Times New Roman"/>
          <w:color w:val="444444"/>
          <w:kern w:val="36"/>
          <w:szCs w:val="24"/>
        </w:rPr>
        <w:t>Upstate NY Real Estate</w:t>
      </w:r>
      <w:r>
        <w:rPr>
          <w:rFonts w:eastAsia="Times New Roman"/>
          <w:color w:val="444444"/>
          <w:kern w:val="36"/>
          <w:szCs w:val="24"/>
        </w:rPr>
        <w:t xml:space="preserve"> </w:t>
      </w:r>
      <w:r w:rsidRPr="00451010">
        <w:rPr>
          <w:rFonts w:eastAsia="Times New Roman"/>
          <w:i/>
          <w:color w:val="444444"/>
          <w:kern w:val="36"/>
          <w:szCs w:val="24"/>
        </w:rPr>
        <w:t>should lease its property</w:t>
      </w:r>
      <w:r>
        <w:rPr>
          <w:rFonts w:eastAsia="Times New Roman"/>
          <w:color w:val="444444"/>
          <w:kern w:val="36"/>
          <w:szCs w:val="24"/>
        </w:rPr>
        <w:t xml:space="preserve"> to </w:t>
      </w:r>
      <w:r w:rsidRPr="00316F41">
        <w:rPr>
          <w:rFonts w:eastAsia="Times New Roman"/>
          <w:color w:val="444444"/>
          <w:kern w:val="36"/>
          <w:szCs w:val="24"/>
        </w:rPr>
        <w:t>Mission Furniture</w:t>
      </w:r>
      <w:r>
        <w:rPr>
          <w:rFonts w:eastAsia="Times New Roman"/>
          <w:color w:val="444444"/>
          <w:kern w:val="36"/>
          <w:szCs w:val="24"/>
        </w:rPr>
        <w:t xml:space="preserve"> based on the latter’s strong metrics in profitability, liquidity, and long-term solvency. </w:t>
      </w:r>
      <w:r w:rsidR="00054D3C">
        <w:rPr>
          <w:rFonts w:eastAsia="Times New Roman"/>
          <w:color w:val="444444"/>
          <w:kern w:val="36"/>
          <w:szCs w:val="24"/>
        </w:rPr>
        <w:t xml:space="preserve">The decision criteria for Upstate Real Estate is to assess whether Mission Furniture will be able to meet its short-term and long-term financial obligations while turning in a profit for the owners to avoid foreclosure and potential winding up. </w:t>
      </w:r>
    </w:p>
    <w:p w:rsidR="00293082" w:rsidRDefault="00882551" w:rsidP="00451010">
      <w:pPr>
        <w:shd w:val="clear" w:color="auto" w:fill="FFFFFF"/>
        <w:ind w:firstLine="720"/>
        <w:outlineLvl w:val="0"/>
        <w:rPr>
          <w:rFonts w:eastAsia="Times New Roman"/>
          <w:color w:val="444444"/>
          <w:kern w:val="36"/>
          <w:szCs w:val="24"/>
        </w:rPr>
      </w:pPr>
      <w:r>
        <w:rPr>
          <w:rFonts w:eastAsia="Times New Roman"/>
          <w:color w:val="444444"/>
          <w:kern w:val="36"/>
          <w:szCs w:val="24"/>
        </w:rPr>
        <w:t>Mission Furniture’s gross profit margin averaged 53.07% while the net profit margin stood at 11.6% based on the 3-year averages. The trend analysis show</w:t>
      </w:r>
      <w:r w:rsidR="00F37880">
        <w:rPr>
          <w:rFonts w:eastAsia="Times New Roman"/>
          <w:color w:val="444444"/>
          <w:kern w:val="36"/>
          <w:szCs w:val="24"/>
        </w:rPr>
        <w:t>s</w:t>
      </w:r>
      <w:r>
        <w:rPr>
          <w:rFonts w:eastAsia="Times New Roman"/>
          <w:color w:val="444444"/>
          <w:kern w:val="36"/>
          <w:szCs w:val="24"/>
        </w:rPr>
        <w:t xml:space="preserve"> that these ratio</w:t>
      </w:r>
      <w:r w:rsidR="00F37880">
        <w:rPr>
          <w:rFonts w:eastAsia="Times New Roman"/>
          <w:color w:val="444444"/>
          <w:kern w:val="36"/>
          <w:szCs w:val="24"/>
        </w:rPr>
        <w:t>s</w:t>
      </w:r>
      <w:r>
        <w:rPr>
          <w:rFonts w:eastAsia="Times New Roman"/>
          <w:color w:val="444444"/>
          <w:kern w:val="36"/>
          <w:szCs w:val="24"/>
        </w:rPr>
        <w:t xml:space="preserve"> remained stable with minimal fluctuations. </w:t>
      </w:r>
      <w:r w:rsidR="008A25D2">
        <w:rPr>
          <w:rFonts w:eastAsia="Times New Roman"/>
          <w:color w:val="444444"/>
          <w:kern w:val="36"/>
          <w:szCs w:val="24"/>
        </w:rPr>
        <w:t>According to Brooks and</w:t>
      </w:r>
      <w:r w:rsidR="008A25D2" w:rsidRPr="008A25D2">
        <w:rPr>
          <w:rFonts w:eastAsia="Times New Roman"/>
          <w:color w:val="444444"/>
          <w:kern w:val="36"/>
          <w:szCs w:val="24"/>
        </w:rPr>
        <w:t xml:space="preserve"> Mukherjee</w:t>
      </w:r>
      <w:r w:rsidR="008A25D2">
        <w:rPr>
          <w:rFonts w:eastAsia="Times New Roman"/>
          <w:color w:val="444444"/>
          <w:kern w:val="36"/>
          <w:szCs w:val="24"/>
        </w:rPr>
        <w:t xml:space="preserve"> (</w:t>
      </w:r>
      <w:r w:rsidR="008A25D2" w:rsidRPr="008A25D2">
        <w:rPr>
          <w:rFonts w:eastAsia="Times New Roman"/>
          <w:color w:val="444444"/>
          <w:kern w:val="36"/>
          <w:szCs w:val="24"/>
        </w:rPr>
        <w:t>2013</w:t>
      </w:r>
      <w:r w:rsidR="008A25D2">
        <w:rPr>
          <w:rFonts w:eastAsia="Times New Roman"/>
          <w:color w:val="444444"/>
          <w:kern w:val="36"/>
          <w:szCs w:val="24"/>
        </w:rPr>
        <w:t>, t</w:t>
      </w:r>
      <w:r>
        <w:rPr>
          <w:rFonts w:eastAsia="Times New Roman"/>
          <w:color w:val="444444"/>
          <w:kern w:val="36"/>
          <w:szCs w:val="24"/>
        </w:rPr>
        <w:t xml:space="preserve">his means that the business can cover operating expenses, sunk costs, depreciation, and dividends while returning earnings </w:t>
      </w:r>
      <w:r w:rsidR="00293082">
        <w:rPr>
          <w:rFonts w:eastAsia="Times New Roman"/>
          <w:color w:val="444444"/>
          <w:kern w:val="36"/>
          <w:szCs w:val="24"/>
        </w:rPr>
        <w:t xml:space="preserve">to the business. </w:t>
      </w:r>
    </w:p>
    <w:p w:rsidR="00882551" w:rsidRDefault="00293082" w:rsidP="00EA6DFA">
      <w:pPr>
        <w:shd w:val="clear" w:color="auto" w:fill="FFFFFF"/>
        <w:ind w:firstLine="720"/>
        <w:outlineLvl w:val="0"/>
        <w:rPr>
          <w:rFonts w:eastAsia="Times New Roman"/>
          <w:color w:val="444444"/>
          <w:kern w:val="36"/>
          <w:szCs w:val="24"/>
        </w:rPr>
      </w:pPr>
      <w:r>
        <w:rPr>
          <w:rFonts w:eastAsia="Times New Roman"/>
          <w:color w:val="444444"/>
          <w:kern w:val="36"/>
          <w:szCs w:val="24"/>
        </w:rPr>
        <w:t xml:space="preserve">Trend analysis of the company’s current ratio shows the company strengthening from 2.74 in 20x5 to 10.94 in 20x7 with a 3-year running average of 7.86. </w:t>
      </w:r>
      <w:r w:rsidR="00DD1F72">
        <w:rPr>
          <w:rFonts w:eastAsia="Times New Roman"/>
          <w:color w:val="444444"/>
          <w:kern w:val="36"/>
          <w:szCs w:val="24"/>
        </w:rPr>
        <w:t>This means that the company can pay for all its short</w:t>
      </w:r>
      <w:r w:rsidR="00F37880">
        <w:rPr>
          <w:rFonts w:eastAsia="Times New Roman"/>
          <w:color w:val="444444"/>
          <w:kern w:val="36"/>
          <w:szCs w:val="24"/>
        </w:rPr>
        <w:t>-</w:t>
      </w:r>
      <w:r w:rsidR="00DD1F72">
        <w:rPr>
          <w:rFonts w:eastAsia="Times New Roman"/>
          <w:color w:val="444444"/>
          <w:kern w:val="36"/>
          <w:szCs w:val="24"/>
        </w:rPr>
        <w:t>term obligations comfortably</w:t>
      </w:r>
      <w:r w:rsidR="008A25D2">
        <w:rPr>
          <w:rFonts w:eastAsia="Times New Roman"/>
          <w:color w:val="444444"/>
          <w:kern w:val="36"/>
          <w:szCs w:val="24"/>
        </w:rPr>
        <w:t xml:space="preserve"> more than 7 times</w:t>
      </w:r>
      <w:r w:rsidR="00DD1F72">
        <w:rPr>
          <w:rFonts w:eastAsia="Times New Roman"/>
          <w:color w:val="444444"/>
          <w:kern w:val="36"/>
          <w:szCs w:val="24"/>
        </w:rPr>
        <w:t xml:space="preserve"> and therefore unlikely to suffer </w:t>
      </w:r>
      <w:r w:rsidR="00955048">
        <w:rPr>
          <w:rFonts w:eastAsia="Times New Roman"/>
          <w:color w:val="444444"/>
          <w:kern w:val="36"/>
          <w:szCs w:val="24"/>
        </w:rPr>
        <w:t xml:space="preserve">bankruptcy. </w:t>
      </w:r>
      <w:r w:rsidR="00733D72">
        <w:rPr>
          <w:rFonts w:eastAsia="Times New Roman"/>
          <w:color w:val="444444"/>
          <w:kern w:val="36"/>
          <w:szCs w:val="24"/>
        </w:rPr>
        <w:t xml:space="preserve">The liquidity ratio is </w:t>
      </w:r>
      <w:r w:rsidR="00523370">
        <w:rPr>
          <w:rFonts w:eastAsia="Times New Roman"/>
          <w:color w:val="444444"/>
          <w:kern w:val="36"/>
          <w:szCs w:val="24"/>
        </w:rPr>
        <w:t>e</w:t>
      </w:r>
      <w:r w:rsidR="00733D72">
        <w:rPr>
          <w:rFonts w:eastAsia="Times New Roman"/>
          <w:color w:val="444444"/>
          <w:kern w:val="36"/>
          <w:szCs w:val="24"/>
        </w:rPr>
        <w:t xml:space="preserve">specially vital since </w:t>
      </w:r>
      <w:r w:rsidR="00F37880">
        <w:rPr>
          <w:rFonts w:eastAsia="Times New Roman"/>
          <w:color w:val="444444"/>
          <w:kern w:val="36"/>
          <w:szCs w:val="24"/>
        </w:rPr>
        <w:t xml:space="preserve">the </w:t>
      </w:r>
      <w:r w:rsidR="00733D72">
        <w:rPr>
          <w:rFonts w:eastAsia="Times New Roman"/>
          <w:color w:val="444444"/>
          <w:kern w:val="36"/>
          <w:szCs w:val="24"/>
        </w:rPr>
        <w:t>inability of the company to pay its short-term debts can herald foreclosure and bankruptcy</w:t>
      </w:r>
      <w:r w:rsidR="008A25D2">
        <w:rPr>
          <w:rFonts w:eastAsia="Times New Roman"/>
          <w:color w:val="444444"/>
          <w:kern w:val="36"/>
          <w:szCs w:val="24"/>
        </w:rPr>
        <w:t xml:space="preserve"> </w:t>
      </w:r>
      <w:r w:rsidR="008A25D2" w:rsidRPr="008A25D2">
        <w:rPr>
          <w:rFonts w:eastAsia="Times New Roman"/>
          <w:color w:val="444444"/>
          <w:kern w:val="36"/>
          <w:szCs w:val="24"/>
        </w:rPr>
        <w:t>(Brooks &amp; Mukherjee, 2013)</w:t>
      </w:r>
      <w:r w:rsidR="00733D72">
        <w:rPr>
          <w:rFonts w:eastAsia="Times New Roman"/>
          <w:color w:val="444444"/>
          <w:kern w:val="36"/>
          <w:szCs w:val="24"/>
        </w:rPr>
        <w:t xml:space="preserve">. </w:t>
      </w:r>
      <w:r w:rsidR="00523370">
        <w:rPr>
          <w:rFonts w:eastAsia="Times New Roman"/>
          <w:color w:val="444444"/>
          <w:kern w:val="36"/>
          <w:szCs w:val="24"/>
        </w:rPr>
        <w:t>The company can also pay its short</w:t>
      </w:r>
      <w:r w:rsidR="00F37880">
        <w:rPr>
          <w:rFonts w:eastAsia="Times New Roman"/>
          <w:color w:val="444444"/>
          <w:kern w:val="36"/>
          <w:szCs w:val="24"/>
        </w:rPr>
        <w:t>-</w:t>
      </w:r>
      <w:r w:rsidR="00523370">
        <w:rPr>
          <w:rFonts w:eastAsia="Times New Roman"/>
          <w:color w:val="444444"/>
          <w:kern w:val="36"/>
          <w:szCs w:val="24"/>
        </w:rPr>
        <w:t xml:space="preserve">term </w:t>
      </w:r>
      <w:r w:rsidR="0094109C">
        <w:rPr>
          <w:rFonts w:eastAsia="Times New Roman"/>
          <w:color w:val="444444"/>
          <w:kern w:val="36"/>
          <w:szCs w:val="24"/>
        </w:rPr>
        <w:t>liabilities</w:t>
      </w:r>
      <w:r w:rsidR="00523370">
        <w:rPr>
          <w:rFonts w:eastAsia="Times New Roman"/>
          <w:color w:val="444444"/>
          <w:kern w:val="36"/>
          <w:szCs w:val="24"/>
        </w:rPr>
        <w:t xml:space="preserve"> using the most liquid assets as shown by the debt ratio 3.5 times over.</w:t>
      </w:r>
    </w:p>
    <w:p w:rsidR="00523370" w:rsidRDefault="00C15886" w:rsidP="00EA6DFA">
      <w:pPr>
        <w:shd w:val="clear" w:color="auto" w:fill="FFFFFF"/>
        <w:ind w:firstLine="720"/>
        <w:outlineLvl w:val="0"/>
        <w:rPr>
          <w:rFonts w:eastAsia="Times New Roman"/>
          <w:color w:val="444444"/>
          <w:kern w:val="36"/>
          <w:szCs w:val="24"/>
        </w:rPr>
      </w:pPr>
      <w:r>
        <w:rPr>
          <w:rFonts w:eastAsia="Times New Roman"/>
          <w:color w:val="444444"/>
          <w:kern w:val="36"/>
          <w:szCs w:val="24"/>
        </w:rPr>
        <w:t xml:space="preserve">In the long-term, Mission Furniture remains financially strong. The debt ratio that measures </w:t>
      </w:r>
      <w:r w:rsidR="0046640F">
        <w:rPr>
          <w:rFonts w:eastAsia="Times New Roman"/>
          <w:color w:val="444444"/>
          <w:kern w:val="36"/>
          <w:szCs w:val="24"/>
        </w:rPr>
        <w:t>a</w:t>
      </w:r>
      <w:r>
        <w:rPr>
          <w:rFonts w:eastAsia="Times New Roman"/>
          <w:color w:val="444444"/>
          <w:kern w:val="36"/>
          <w:szCs w:val="24"/>
        </w:rPr>
        <w:t xml:space="preserve"> company</w:t>
      </w:r>
      <w:r w:rsidR="0046640F">
        <w:rPr>
          <w:rFonts w:eastAsia="Times New Roman"/>
          <w:color w:val="444444"/>
          <w:kern w:val="36"/>
          <w:szCs w:val="24"/>
        </w:rPr>
        <w:t>’s leverage w</w:t>
      </w:r>
      <w:r>
        <w:rPr>
          <w:rFonts w:eastAsia="Times New Roman"/>
          <w:color w:val="444444"/>
          <w:kern w:val="36"/>
          <w:szCs w:val="24"/>
        </w:rPr>
        <w:t xml:space="preserve">as recorded at 14.98% over the three years. </w:t>
      </w:r>
      <w:r w:rsidR="00361E37">
        <w:rPr>
          <w:rFonts w:eastAsia="Times New Roman"/>
          <w:color w:val="444444"/>
          <w:kern w:val="36"/>
          <w:szCs w:val="24"/>
        </w:rPr>
        <w:t>A debt ratio less than 100% means that the company has more assets than its debts and therefore at minimal risk of bankruptcy</w:t>
      </w:r>
      <w:r w:rsidR="008A25D2" w:rsidRPr="008A25D2">
        <w:t xml:space="preserve"> </w:t>
      </w:r>
      <w:r w:rsidR="008A25D2">
        <w:t>(</w:t>
      </w:r>
      <w:r w:rsidR="008A25D2">
        <w:rPr>
          <w:rFonts w:eastAsia="Times New Roman"/>
          <w:color w:val="444444"/>
          <w:kern w:val="36"/>
          <w:szCs w:val="24"/>
        </w:rPr>
        <w:t xml:space="preserve">Brooks &amp; Mukherjee, </w:t>
      </w:r>
      <w:r w:rsidR="008A25D2" w:rsidRPr="008A25D2">
        <w:rPr>
          <w:rFonts w:eastAsia="Times New Roman"/>
          <w:color w:val="444444"/>
          <w:kern w:val="36"/>
          <w:szCs w:val="24"/>
        </w:rPr>
        <w:t>2013)</w:t>
      </w:r>
      <w:r w:rsidR="00361E37">
        <w:rPr>
          <w:rFonts w:eastAsia="Times New Roman"/>
          <w:color w:val="444444"/>
          <w:kern w:val="36"/>
          <w:szCs w:val="24"/>
        </w:rPr>
        <w:t>.</w:t>
      </w:r>
      <w:r w:rsidR="0094109C">
        <w:rPr>
          <w:rFonts w:eastAsia="Times New Roman"/>
          <w:color w:val="444444"/>
          <w:kern w:val="36"/>
          <w:szCs w:val="24"/>
        </w:rPr>
        <w:t xml:space="preserve"> Furthermore, trend analysis indicate</w:t>
      </w:r>
      <w:r w:rsidR="00F37880">
        <w:rPr>
          <w:rFonts w:eastAsia="Times New Roman"/>
          <w:color w:val="444444"/>
          <w:kern w:val="36"/>
          <w:szCs w:val="24"/>
        </w:rPr>
        <w:t>s</w:t>
      </w:r>
      <w:r w:rsidR="0094109C">
        <w:rPr>
          <w:rFonts w:eastAsia="Times New Roman"/>
          <w:color w:val="444444"/>
          <w:kern w:val="36"/>
          <w:szCs w:val="24"/>
        </w:rPr>
        <w:t xml:space="preserve"> upward mobility rising from a weaker 26.3% in 20x5 to a stronger 5.65% in 20x7. </w:t>
      </w:r>
    </w:p>
    <w:p w:rsidR="00EA6DFA" w:rsidRPr="00095E51" w:rsidRDefault="00095E51" w:rsidP="00F37880">
      <w:pPr>
        <w:jc w:val="center"/>
        <w:rPr>
          <w:rFonts w:eastAsia="Times New Roman"/>
          <w:b/>
          <w:color w:val="444444"/>
          <w:kern w:val="36"/>
          <w:szCs w:val="24"/>
        </w:rPr>
      </w:pPr>
      <w:r>
        <w:rPr>
          <w:rFonts w:eastAsia="Times New Roman"/>
          <w:b/>
          <w:color w:val="444444"/>
          <w:kern w:val="36"/>
          <w:szCs w:val="24"/>
        </w:rPr>
        <w:br w:type="page"/>
      </w:r>
      <w:r w:rsidR="00EA6DFA" w:rsidRPr="00095E51">
        <w:rPr>
          <w:rFonts w:eastAsia="Times New Roman"/>
          <w:b/>
          <w:color w:val="444444"/>
          <w:kern w:val="36"/>
          <w:szCs w:val="24"/>
        </w:rPr>
        <w:lastRenderedPageBreak/>
        <w:t>R</w:t>
      </w:r>
      <w:r>
        <w:rPr>
          <w:rFonts w:eastAsia="Times New Roman"/>
          <w:b/>
          <w:color w:val="444444"/>
          <w:kern w:val="36"/>
          <w:szCs w:val="24"/>
        </w:rPr>
        <w:t>eference</w:t>
      </w:r>
    </w:p>
    <w:p w:rsidR="00683C46" w:rsidRPr="00D307F9" w:rsidRDefault="008A25D2" w:rsidP="00642D30">
      <w:pPr>
        <w:shd w:val="clear" w:color="auto" w:fill="FFFFFF"/>
        <w:outlineLvl w:val="0"/>
        <w:rPr>
          <w:szCs w:val="24"/>
        </w:rPr>
      </w:pPr>
      <w:r w:rsidRPr="008A25D2">
        <w:rPr>
          <w:rFonts w:eastAsia="Times New Roman"/>
          <w:color w:val="444444"/>
          <w:kern w:val="36"/>
          <w:szCs w:val="24"/>
        </w:rPr>
        <w:t>Brooks, R., &amp; Mukherjee, A. K. (2013). </w:t>
      </w:r>
      <w:r w:rsidRPr="008A25D2">
        <w:rPr>
          <w:rFonts w:eastAsia="Times New Roman"/>
          <w:i/>
          <w:iCs/>
          <w:color w:val="444444"/>
          <w:kern w:val="36"/>
          <w:szCs w:val="24"/>
        </w:rPr>
        <w:t>Financial management: core concepts</w:t>
      </w:r>
      <w:r w:rsidRPr="008A25D2">
        <w:rPr>
          <w:rFonts w:eastAsia="Times New Roman"/>
          <w:color w:val="444444"/>
          <w:kern w:val="36"/>
          <w:szCs w:val="24"/>
        </w:rPr>
        <w:t>. Pearson.</w:t>
      </w:r>
    </w:p>
    <w:sectPr w:rsidR="00683C46" w:rsidRPr="00D307F9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6B6" w:rsidRDefault="00F236B6" w:rsidP="00BE15D8">
      <w:pPr>
        <w:spacing w:line="240" w:lineRule="auto"/>
      </w:pPr>
      <w:r>
        <w:separator/>
      </w:r>
    </w:p>
  </w:endnote>
  <w:endnote w:type="continuationSeparator" w:id="0">
    <w:p w:rsidR="00F236B6" w:rsidRDefault="00F236B6" w:rsidP="00BE1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6B6" w:rsidRDefault="00F236B6" w:rsidP="00BE15D8">
      <w:pPr>
        <w:spacing w:line="240" w:lineRule="auto"/>
      </w:pPr>
      <w:r>
        <w:separator/>
      </w:r>
    </w:p>
  </w:footnote>
  <w:footnote w:type="continuationSeparator" w:id="0">
    <w:p w:rsidR="00F236B6" w:rsidRDefault="00F236B6" w:rsidP="00BE15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7117666"/>
      <w:docPartObj>
        <w:docPartGallery w:val="Page Numbers (Top of Page)"/>
        <w:docPartUnique/>
      </w:docPartObj>
    </w:sdtPr>
    <w:sdtEndPr>
      <w:rPr>
        <w:noProof/>
      </w:rPr>
    </w:sdtEndPr>
    <w:sdtContent>
      <w:p w:rsidR="00BE15D8" w:rsidRDefault="00BE15D8">
        <w:pPr>
          <w:pStyle w:val="Header"/>
          <w:jc w:val="right"/>
        </w:pPr>
        <w:r w:rsidRPr="00BE15D8">
          <w:t>EVALUATING FINANCIAL STABILITY OF MISSION FURNITURE</w:t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123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E15D8" w:rsidRDefault="00BE15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MjOzNDGwtDQ3sjRS0lEKTi0uzszPAykwrAUA9NytHCwAAAA="/>
  </w:docVars>
  <w:rsids>
    <w:rsidRoot w:val="00360832"/>
    <w:rsid w:val="0000669A"/>
    <w:rsid w:val="00054D3C"/>
    <w:rsid w:val="0005630A"/>
    <w:rsid w:val="000611A3"/>
    <w:rsid w:val="00095E51"/>
    <w:rsid w:val="001C08CA"/>
    <w:rsid w:val="00207CBC"/>
    <w:rsid w:val="00235DA8"/>
    <w:rsid w:val="00293082"/>
    <w:rsid w:val="002C10FF"/>
    <w:rsid w:val="00316F41"/>
    <w:rsid w:val="00360832"/>
    <w:rsid w:val="00361E37"/>
    <w:rsid w:val="00373182"/>
    <w:rsid w:val="004164D2"/>
    <w:rsid w:val="00451010"/>
    <w:rsid w:val="00462462"/>
    <w:rsid w:val="0046640F"/>
    <w:rsid w:val="00523370"/>
    <w:rsid w:val="00642D30"/>
    <w:rsid w:val="00683C46"/>
    <w:rsid w:val="006C211A"/>
    <w:rsid w:val="00733D72"/>
    <w:rsid w:val="00791322"/>
    <w:rsid w:val="007B4E02"/>
    <w:rsid w:val="007F3A2B"/>
    <w:rsid w:val="00813DB2"/>
    <w:rsid w:val="00847894"/>
    <w:rsid w:val="00882551"/>
    <w:rsid w:val="008926A6"/>
    <w:rsid w:val="008A25D2"/>
    <w:rsid w:val="0094109C"/>
    <w:rsid w:val="00955048"/>
    <w:rsid w:val="009C68AE"/>
    <w:rsid w:val="009F3D3C"/>
    <w:rsid w:val="00AB2099"/>
    <w:rsid w:val="00B1371E"/>
    <w:rsid w:val="00BE15D8"/>
    <w:rsid w:val="00C15886"/>
    <w:rsid w:val="00C2759A"/>
    <w:rsid w:val="00D176DE"/>
    <w:rsid w:val="00D307F9"/>
    <w:rsid w:val="00D55B30"/>
    <w:rsid w:val="00D81237"/>
    <w:rsid w:val="00DB3967"/>
    <w:rsid w:val="00DD1F72"/>
    <w:rsid w:val="00DE19DF"/>
    <w:rsid w:val="00E043B9"/>
    <w:rsid w:val="00EA6524"/>
    <w:rsid w:val="00EA6DFA"/>
    <w:rsid w:val="00F236B6"/>
    <w:rsid w:val="00F37880"/>
    <w:rsid w:val="00F43D6A"/>
    <w:rsid w:val="00F6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CD091-7F8C-4FDF-A0BC-96CBCCB9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333333"/>
        <w:sz w:val="24"/>
        <w:szCs w:val="21"/>
        <w:lang w:val="en-US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630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611A3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611A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5D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5D8"/>
  </w:style>
  <w:style w:type="paragraph" w:styleId="Footer">
    <w:name w:val="footer"/>
    <w:basedOn w:val="Normal"/>
    <w:link w:val="FooterChar"/>
    <w:uiPriority w:val="99"/>
    <w:unhideWhenUsed/>
    <w:rsid w:val="00BE15D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39</cp:revision>
  <dcterms:created xsi:type="dcterms:W3CDTF">2021-05-08T05:51:00Z</dcterms:created>
  <dcterms:modified xsi:type="dcterms:W3CDTF">2021-05-08T09:09:00Z</dcterms:modified>
</cp:coreProperties>
</file>