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1B976" w14:textId="2F54BC36" w:rsidR="00F76C88" w:rsidRDefault="00F76C88" w:rsidP="00F76C88">
      <w:pPr>
        <w:jc w:val="center"/>
        <w:rPr>
          <w:b w:val="0"/>
          <w:bCs w:val="0"/>
        </w:rPr>
      </w:pPr>
    </w:p>
    <w:p w14:paraId="60C51D03" w14:textId="04F6DB2E" w:rsidR="00F76C88" w:rsidRDefault="00F76C88" w:rsidP="00F76C88">
      <w:pPr>
        <w:jc w:val="center"/>
        <w:rPr>
          <w:b w:val="0"/>
          <w:bCs w:val="0"/>
        </w:rPr>
      </w:pPr>
    </w:p>
    <w:p w14:paraId="0D431415" w14:textId="61662F16" w:rsidR="00F76C88" w:rsidRDefault="00F76C88" w:rsidP="00F76C88">
      <w:pPr>
        <w:jc w:val="center"/>
        <w:rPr>
          <w:b w:val="0"/>
          <w:bCs w:val="0"/>
        </w:rPr>
      </w:pPr>
    </w:p>
    <w:p w14:paraId="28294772" w14:textId="52A69BD5" w:rsidR="00F76C88" w:rsidRDefault="00F76C88" w:rsidP="00F76C88">
      <w:pPr>
        <w:jc w:val="center"/>
        <w:rPr>
          <w:b w:val="0"/>
          <w:bCs w:val="0"/>
        </w:rPr>
      </w:pPr>
    </w:p>
    <w:p w14:paraId="5CB515CA" w14:textId="2A11D74D" w:rsidR="00F76C88" w:rsidRDefault="00F76C88" w:rsidP="00F76C88">
      <w:pPr>
        <w:jc w:val="center"/>
        <w:rPr>
          <w:b w:val="0"/>
          <w:bCs w:val="0"/>
        </w:rPr>
      </w:pPr>
    </w:p>
    <w:p w14:paraId="097D748D" w14:textId="197E032B" w:rsidR="00F76C88" w:rsidRDefault="00F76C88" w:rsidP="00F76C88">
      <w:pPr>
        <w:jc w:val="center"/>
        <w:rPr>
          <w:b w:val="0"/>
          <w:bCs w:val="0"/>
        </w:rPr>
      </w:pPr>
      <w:r w:rsidRPr="00413C7A">
        <w:rPr>
          <w:b w:val="0"/>
          <w:bCs w:val="0"/>
        </w:rPr>
        <w:t xml:space="preserve">General Data Protection Regulation </w:t>
      </w:r>
      <w:r>
        <w:rPr>
          <w:b w:val="0"/>
          <w:bCs w:val="0"/>
        </w:rPr>
        <w:t>(</w:t>
      </w:r>
      <w:r w:rsidRPr="00413C7A">
        <w:rPr>
          <w:b w:val="0"/>
          <w:bCs w:val="0"/>
        </w:rPr>
        <w:t>GDPR</w:t>
      </w:r>
      <w:r>
        <w:rPr>
          <w:b w:val="0"/>
          <w:bCs w:val="0"/>
        </w:rPr>
        <w:t xml:space="preserve">) </w:t>
      </w:r>
      <w:r w:rsidRPr="00413C7A">
        <w:rPr>
          <w:b w:val="0"/>
          <w:bCs w:val="0"/>
        </w:rPr>
        <w:t>V</w:t>
      </w:r>
      <w:r>
        <w:rPr>
          <w:b w:val="0"/>
          <w:bCs w:val="0"/>
        </w:rPr>
        <w:t>s</w:t>
      </w:r>
      <w:r w:rsidRPr="00413C7A">
        <w:rPr>
          <w:b w:val="0"/>
          <w:bCs w:val="0"/>
        </w:rPr>
        <w:t>. California Privacy Rights and Enforcement Act</w:t>
      </w:r>
      <w:r>
        <w:rPr>
          <w:b w:val="0"/>
          <w:bCs w:val="0"/>
        </w:rPr>
        <w:t xml:space="preserve"> (</w:t>
      </w:r>
      <w:r w:rsidRPr="00413C7A">
        <w:rPr>
          <w:b w:val="0"/>
          <w:bCs w:val="0"/>
        </w:rPr>
        <w:t>CPRA</w:t>
      </w:r>
      <w:r>
        <w:rPr>
          <w:b w:val="0"/>
          <w:bCs w:val="0"/>
        </w:rPr>
        <w:t>)</w:t>
      </w:r>
    </w:p>
    <w:p w14:paraId="124C49E3" w14:textId="13BB44F6" w:rsidR="00F76C88" w:rsidRDefault="00F76C88" w:rsidP="00F76C88">
      <w:pPr>
        <w:jc w:val="center"/>
        <w:rPr>
          <w:b w:val="0"/>
          <w:bCs w:val="0"/>
        </w:rPr>
      </w:pPr>
    </w:p>
    <w:p w14:paraId="12514D63" w14:textId="61811C4E" w:rsidR="00F76C88" w:rsidRDefault="00F76C88" w:rsidP="00F76C88">
      <w:pPr>
        <w:jc w:val="center"/>
        <w:rPr>
          <w:b w:val="0"/>
          <w:bCs w:val="0"/>
        </w:rPr>
      </w:pPr>
      <w:r>
        <w:rPr>
          <w:b w:val="0"/>
          <w:bCs w:val="0"/>
        </w:rPr>
        <w:t>Name</w:t>
      </w:r>
    </w:p>
    <w:p w14:paraId="3127D2F3" w14:textId="2D7F8DF9" w:rsidR="00F76C88" w:rsidRDefault="00C71E22" w:rsidP="00F76C88">
      <w:pPr>
        <w:jc w:val="center"/>
        <w:rPr>
          <w:b w:val="0"/>
          <w:bCs w:val="0"/>
        </w:rPr>
      </w:pPr>
      <w:r>
        <w:rPr>
          <w:b w:val="0"/>
          <w:bCs w:val="0"/>
        </w:rPr>
        <w:t>Institution</w:t>
      </w:r>
    </w:p>
    <w:p w14:paraId="11765DAE" w14:textId="3388158D" w:rsidR="00C71E22" w:rsidRDefault="00C71E22" w:rsidP="00F76C88">
      <w:pPr>
        <w:jc w:val="center"/>
        <w:rPr>
          <w:b w:val="0"/>
          <w:bCs w:val="0"/>
        </w:rPr>
      </w:pPr>
      <w:r>
        <w:rPr>
          <w:b w:val="0"/>
          <w:bCs w:val="0"/>
        </w:rPr>
        <w:t>Subject</w:t>
      </w:r>
    </w:p>
    <w:p w14:paraId="06AF7E8B" w14:textId="58ACC3E2" w:rsidR="00C71E22" w:rsidRDefault="00C71E22" w:rsidP="00F76C88">
      <w:pPr>
        <w:jc w:val="center"/>
        <w:rPr>
          <w:b w:val="0"/>
          <w:bCs w:val="0"/>
        </w:rPr>
      </w:pPr>
      <w:r>
        <w:rPr>
          <w:b w:val="0"/>
          <w:bCs w:val="0"/>
        </w:rPr>
        <w:t>Professor</w:t>
      </w:r>
    </w:p>
    <w:p w14:paraId="76E3AAD0" w14:textId="2B84C180" w:rsidR="00C71E22" w:rsidRDefault="00C71E22" w:rsidP="00F76C88">
      <w:pPr>
        <w:jc w:val="center"/>
        <w:rPr>
          <w:b w:val="0"/>
          <w:bCs w:val="0"/>
        </w:rPr>
      </w:pPr>
      <w:r>
        <w:rPr>
          <w:b w:val="0"/>
          <w:bCs w:val="0"/>
        </w:rPr>
        <w:t>Date</w:t>
      </w:r>
    </w:p>
    <w:p w14:paraId="55CFF43F" w14:textId="25DA0941" w:rsidR="00F76C88" w:rsidRDefault="00F76C88">
      <w:pPr>
        <w:rPr>
          <w:b w:val="0"/>
          <w:bCs w:val="0"/>
        </w:rPr>
      </w:pPr>
      <w:r>
        <w:rPr>
          <w:b w:val="0"/>
          <w:bCs w:val="0"/>
        </w:rPr>
        <w:br w:type="page"/>
      </w:r>
    </w:p>
    <w:sdt>
      <w:sdtPr>
        <w:rPr>
          <w:rFonts w:ascii="Times New Roman" w:hAnsi="Times New Roman" w:cs="Times New Roman"/>
          <w:b/>
          <w:bCs/>
          <w:color w:val="auto"/>
          <w:sz w:val="24"/>
          <w:szCs w:val="24"/>
        </w:rPr>
        <w:id w:val="-1396052813"/>
        <w:docPartObj>
          <w:docPartGallery w:val="Table of Contents"/>
          <w:docPartUnique/>
        </w:docPartObj>
      </w:sdtPr>
      <w:sdtEndPr>
        <w:rPr>
          <w:rFonts w:eastAsiaTheme="minorHAnsi" w:cstheme="majorBidi"/>
          <w:b w:val="0"/>
          <w:bCs w:val="0"/>
          <w:noProof/>
          <w:color w:val="000000" w:themeColor="text1"/>
        </w:rPr>
      </w:sdtEndPr>
      <w:sdtContent>
        <w:p w14:paraId="7FBC114C" w14:textId="528C31A4" w:rsidR="001F0207" w:rsidRPr="001F0207" w:rsidRDefault="001F0207" w:rsidP="00D87CD7">
          <w:pPr>
            <w:pStyle w:val="TOCHeading"/>
            <w:spacing w:line="360" w:lineRule="auto"/>
            <w:rPr>
              <w:rFonts w:ascii="Times New Roman" w:hAnsi="Times New Roman" w:cs="Times New Roman"/>
              <w:b/>
              <w:bCs/>
              <w:color w:val="auto"/>
              <w:sz w:val="24"/>
              <w:szCs w:val="24"/>
            </w:rPr>
          </w:pPr>
          <w:r w:rsidRPr="001F0207">
            <w:rPr>
              <w:rFonts w:ascii="Times New Roman" w:hAnsi="Times New Roman" w:cs="Times New Roman"/>
              <w:b/>
              <w:bCs/>
              <w:color w:val="auto"/>
              <w:sz w:val="24"/>
              <w:szCs w:val="24"/>
            </w:rPr>
            <w:t>Table of Contents</w:t>
          </w:r>
        </w:p>
        <w:p w14:paraId="0D2BB70A" w14:textId="790AC9DD" w:rsidR="001F0207" w:rsidRPr="000C1D72" w:rsidRDefault="001F0207" w:rsidP="00D87CD7">
          <w:pPr>
            <w:pStyle w:val="TOC1"/>
            <w:spacing w:line="360" w:lineRule="auto"/>
          </w:pPr>
          <w:r w:rsidRPr="001F0207">
            <w:rPr>
              <w:b w:val="0"/>
              <w:bCs w:val="0"/>
            </w:rPr>
            <w:fldChar w:fldCharType="begin"/>
          </w:r>
          <w:r w:rsidRPr="001F0207">
            <w:rPr>
              <w:b w:val="0"/>
              <w:bCs w:val="0"/>
            </w:rPr>
            <w:instrText xml:space="preserve"> TOC \o "1-3" \h \z \u </w:instrText>
          </w:r>
          <w:r w:rsidRPr="001F0207">
            <w:rPr>
              <w:b w:val="0"/>
              <w:bCs w:val="0"/>
            </w:rPr>
            <w:fldChar w:fldCharType="separate"/>
          </w:r>
          <w:hyperlink w:anchor="_Toc109950675" w:history="1">
            <w:r w:rsidRPr="000C1D72">
              <w:rPr>
                <w:rStyle w:val="Hyperlink"/>
              </w:rPr>
              <w:t>Abstract</w:t>
            </w:r>
            <w:r w:rsidRPr="000C1D72">
              <w:rPr>
                <w:webHidden/>
              </w:rPr>
              <w:tab/>
            </w:r>
            <w:r w:rsidRPr="000C1D72">
              <w:rPr>
                <w:webHidden/>
              </w:rPr>
              <w:fldChar w:fldCharType="begin"/>
            </w:r>
            <w:r w:rsidRPr="000C1D72">
              <w:rPr>
                <w:webHidden/>
              </w:rPr>
              <w:instrText xml:space="preserve"> PAGEREF _Toc109950675 \h </w:instrText>
            </w:r>
            <w:r w:rsidRPr="000C1D72">
              <w:rPr>
                <w:webHidden/>
              </w:rPr>
            </w:r>
            <w:r w:rsidRPr="000C1D72">
              <w:rPr>
                <w:webHidden/>
              </w:rPr>
              <w:fldChar w:fldCharType="separate"/>
            </w:r>
            <w:r w:rsidRPr="000C1D72">
              <w:rPr>
                <w:webHidden/>
              </w:rPr>
              <w:t>3</w:t>
            </w:r>
            <w:r w:rsidRPr="000C1D72">
              <w:rPr>
                <w:webHidden/>
              </w:rPr>
              <w:fldChar w:fldCharType="end"/>
            </w:r>
          </w:hyperlink>
        </w:p>
        <w:p w14:paraId="6119AD6F" w14:textId="18B355EE" w:rsidR="001F0207" w:rsidRPr="000C1D72" w:rsidRDefault="001F0207" w:rsidP="00D87CD7">
          <w:pPr>
            <w:pStyle w:val="TOC1"/>
            <w:spacing w:line="360" w:lineRule="auto"/>
          </w:pPr>
          <w:hyperlink w:anchor="_Toc109950676" w:history="1">
            <w:r w:rsidRPr="000C1D72">
              <w:rPr>
                <w:rStyle w:val="Hyperlink"/>
              </w:rPr>
              <w:t>1. Introduction</w:t>
            </w:r>
            <w:r w:rsidRPr="000C1D72">
              <w:rPr>
                <w:webHidden/>
              </w:rPr>
              <w:tab/>
            </w:r>
            <w:r w:rsidRPr="000C1D72">
              <w:rPr>
                <w:webHidden/>
              </w:rPr>
              <w:fldChar w:fldCharType="begin"/>
            </w:r>
            <w:r w:rsidRPr="000C1D72">
              <w:rPr>
                <w:webHidden/>
              </w:rPr>
              <w:instrText xml:space="preserve"> PAGEREF _Toc109950676 \h </w:instrText>
            </w:r>
            <w:r w:rsidRPr="000C1D72">
              <w:rPr>
                <w:webHidden/>
              </w:rPr>
            </w:r>
            <w:r w:rsidRPr="000C1D72">
              <w:rPr>
                <w:webHidden/>
              </w:rPr>
              <w:fldChar w:fldCharType="separate"/>
            </w:r>
            <w:r w:rsidRPr="000C1D72">
              <w:rPr>
                <w:webHidden/>
              </w:rPr>
              <w:t>3</w:t>
            </w:r>
            <w:r w:rsidRPr="000C1D72">
              <w:rPr>
                <w:webHidden/>
              </w:rPr>
              <w:fldChar w:fldCharType="end"/>
            </w:r>
          </w:hyperlink>
        </w:p>
        <w:p w14:paraId="311F5B02" w14:textId="31693C67" w:rsidR="001F0207" w:rsidRPr="001F0207" w:rsidRDefault="001F0207" w:rsidP="00D87CD7">
          <w:pPr>
            <w:pStyle w:val="TOC2"/>
            <w:tabs>
              <w:tab w:val="right" w:leader="dot" w:pos="9350"/>
            </w:tabs>
            <w:spacing w:line="360" w:lineRule="auto"/>
            <w:rPr>
              <w:b w:val="0"/>
              <w:bCs w:val="0"/>
              <w:noProof/>
            </w:rPr>
          </w:pPr>
          <w:hyperlink w:anchor="_Toc109950677" w:history="1">
            <w:r w:rsidRPr="001F0207">
              <w:rPr>
                <w:rStyle w:val="Hyperlink"/>
                <w:rFonts w:cs="Times New Roman"/>
                <w:b w:val="0"/>
                <w:bCs w:val="0"/>
                <w:noProof/>
              </w:rPr>
              <w:t>1.1 Goal</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_Toc109950677 \h </w:instrText>
            </w:r>
            <w:r w:rsidRPr="001F0207">
              <w:rPr>
                <w:b w:val="0"/>
                <w:bCs w:val="0"/>
                <w:noProof/>
                <w:webHidden/>
              </w:rPr>
            </w:r>
            <w:r w:rsidRPr="001F0207">
              <w:rPr>
                <w:b w:val="0"/>
                <w:bCs w:val="0"/>
                <w:noProof/>
                <w:webHidden/>
              </w:rPr>
              <w:fldChar w:fldCharType="separate"/>
            </w:r>
            <w:r w:rsidRPr="001F0207">
              <w:rPr>
                <w:b w:val="0"/>
                <w:bCs w:val="0"/>
                <w:noProof/>
                <w:webHidden/>
              </w:rPr>
              <w:t>4</w:t>
            </w:r>
            <w:r w:rsidRPr="001F0207">
              <w:rPr>
                <w:b w:val="0"/>
                <w:bCs w:val="0"/>
                <w:noProof/>
                <w:webHidden/>
              </w:rPr>
              <w:fldChar w:fldCharType="end"/>
            </w:r>
          </w:hyperlink>
        </w:p>
        <w:p w14:paraId="1AF333D8" w14:textId="43486AF2" w:rsidR="001F0207" w:rsidRPr="001F0207" w:rsidRDefault="001F0207" w:rsidP="00D87CD7">
          <w:pPr>
            <w:pStyle w:val="TOC2"/>
            <w:tabs>
              <w:tab w:val="right" w:leader="dot" w:pos="9350"/>
            </w:tabs>
            <w:spacing w:line="360" w:lineRule="auto"/>
            <w:rPr>
              <w:b w:val="0"/>
              <w:bCs w:val="0"/>
              <w:noProof/>
            </w:rPr>
          </w:pPr>
          <w:hyperlink w:anchor="_Toc109950678" w:history="1">
            <w:r w:rsidRPr="001F0207">
              <w:rPr>
                <w:rStyle w:val="Hyperlink"/>
                <w:rFonts w:cs="Times New Roman"/>
                <w:b w:val="0"/>
                <w:bCs w:val="0"/>
                <w:noProof/>
              </w:rPr>
              <w:t>1.2 Motivation: Importance of Privacy</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_Toc109950678 \h </w:instrText>
            </w:r>
            <w:r w:rsidRPr="001F0207">
              <w:rPr>
                <w:b w:val="0"/>
                <w:bCs w:val="0"/>
                <w:noProof/>
                <w:webHidden/>
              </w:rPr>
            </w:r>
            <w:r w:rsidRPr="001F0207">
              <w:rPr>
                <w:b w:val="0"/>
                <w:bCs w:val="0"/>
                <w:noProof/>
                <w:webHidden/>
              </w:rPr>
              <w:fldChar w:fldCharType="separate"/>
            </w:r>
            <w:r w:rsidRPr="001F0207">
              <w:rPr>
                <w:b w:val="0"/>
                <w:bCs w:val="0"/>
                <w:noProof/>
                <w:webHidden/>
              </w:rPr>
              <w:t>4</w:t>
            </w:r>
            <w:r w:rsidRPr="001F0207">
              <w:rPr>
                <w:b w:val="0"/>
                <w:bCs w:val="0"/>
                <w:noProof/>
                <w:webHidden/>
              </w:rPr>
              <w:fldChar w:fldCharType="end"/>
            </w:r>
          </w:hyperlink>
        </w:p>
        <w:p w14:paraId="7F18B052" w14:textId="089FF894" w:rsidR="001F0207" w:rsidRPr="001F0207" w:rsidRDefault="001F0207" w:rsidP="00D87CD7">
          <w:pPr>
            <w:pStyle w:val="TOC2"/>
            <w:tabs>
              <w:tab w:val="right" w:leader="dot" w:pos="9350"/>
            </w:tabs>
            <w:spacing w:line="360" w:lineRule="auto"/>
            <w:rPr>
              <w:b w:val="0"/>
              <w:bCs w:val="0"/>
              <w:noProof/>
            </w:rPr>
          </w:pPr>
          <w:hyperlink w:anchor="_Toc109950679" w:history="1">
            <w:r w:rsidRPr="001F0207">
              <w:rPr>
                <w:rStyle w:val="Hyperlink"/>
                <w:rFonts w:cs="Times New Roman"/>
                <w:b w:val="0"/>
                <w:bCs w:val="0"/>
                <w:noProof/>
              </w:rPr>
              <w:t>1.3 Key Characteristics of CPRA and GDPR</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_Toc109950679 \h </w:instrText>
            </w:r>
            <w:r w:rsidRPr="001F0207">
              <w:rPr>
                <w:b w:val="0"/>
                <w:bCs w:val="0"/>
                <w:noProof/>
                <w:webHidden/>
              </w:rPr>
            </w:r>
            <w:r w:rsidRPr="001F0207">
              <w:rPr>
                <w:b w:val="0"/>
                <w:bCs w:val="0"/>
                <w:noProof/>
                <w:webHidden/>
              </w:rPr>
              <w:fldChar w:fldCharType="separate"/>
            </w:r>
            <w:r w:rsidRPr="001F0207">
              <w:rPr>
                <w:b w:val="0"/>
                <w:bCs w:val="0"/>
                <w:noProof/>
                <w:webHidden/>
              </w:rPr>
              <w:t>5</w:t>
            </w:r>
            <w:r w:rsidRPr="001F0207">
              <w:rPr>
                <w:b w:val="0"/>
                <w:bCs w:val="0"/>
                <w:noProof/>
                <w:webHidden/>
              </w:rPr>
              <w:fldChar w:fldCharType="end"/>
            </w:r>
          </w:hyperlink>
        </w:p>
        <w:p w14:paraId="7131253C" w14:textId="152BC888" w:rsidR="001F0207" w:rsidRPr="001F0207" w:rsidRDefault="001F0207" w:rsidP="00D87CD7">
          <w:pPr>
            <w:pStyle w:val="TOC2"/>
            <w:tabs>
              <w:tab w:val="right" w:leader="dot" w:pos="9350"/>
            </w:tabs>
            <w:spacing w:line="360" w:lineRule="auto"/>
            <w:rPr>
              <w:b w:val="0"/>
              <w:bCs w:val="0"/>
              <w:noProof/>
            </w:rPr>
          </w:pPr>
          <w:hyperlink w:anchor="_Toc109950680" w:history="1">
            <w:r w:rsidRPr="001F0207">
              <w:rPr>
                <w:rStyle w:val="Hyperlink"/>
                <w:rFonts w:cs="Times New Roman"/>
                <w:b w:val="0"/>
                <w:bCs w:val="0"/>
                <w:noProof/>
              </w:rPr>
              <w:t>1.4 History of CPRA and GDPR</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_Toc109950680 \h </w:instrText>
            </w:r>
            <w:r w:rsidRPr="001F0207">
              <w:rPr>
                <w:b w:val="0"/>
                <w:bCs w:val="0"/>
                <w:noProof/>
                <w:webHidden/>
              </w:rPr>
            </w:r>
            <w:r w:rsidRPr="001F0207">
              <w:rPr>
                <w:b w:val="0"/>
                <w:bCs w:val="0"/>
                <w:noProof/>
                <w:webHidden/>
              </w:rPr>
              <w:fldChar w:fldCharType="separate"/>
            </w:r>
            <w:r w:rsidRPr="001F0207">
              <w:rPr>
                <w:b w:val="0"/>
                <w:bCs w:val="0"/>
                <w:noProof/>
                <w:webHidden/>
              </w:rPr>
              <w:t>6</w:t>
            </w:r>
            <w:r w:rsidRPr="001F0207">
              <w:rPr>
                <w:b w:val="0"/>
                <w:bCs w:val="0"/>
                <w:noProof/>
                <w:webHidden/>
              </w:rPr>
              <w:fldChar w:fldCharType="end"/>
            </w:r>
          </w:hyperlink>
        </w:p>
        <w:p w14:paraId="056E5AEC" w14:textId="0738A2CE" w:rsidR="001F0207" w:rsidRPr="001F0207" w:rsidRDefault="001F0207" w:rsidP="00D87CD7">
          <w:pPr>
            <w:pStyle w:val="TOC3"/>
            <w:tabs>
              <w:tab w:val="right" w:leader="dot" w:pos="9350"/>
            </w:tabs>
            <w:spacing w:line="360" w:lineRule="auto"/>
            <w:rPr>
              <w:b w:val="0"/>
              <w:bCs w:val="0"/>
              <w:noProof/>
            </w:rPr>
          </w:pPr>
          <w:hyperlink w:anchor="_Toc109950681" w:history="1">
            <w:r w:rsidRPr="001F0207">
              <w:rPr>
                <w:rStyle w:val="Hyperlink"/>
                <w:rFonts w:cs="Times New Roman"/>
                <w:b w:val="0"/>
                <w:bCs w:val="0"/>
                <w:i/>
                <w:iCs/>
                <w:noProof/>
              </w:rPr>
              <w:t>1.4.1 CPRA 2020</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_Toc109950681 \h </w:instrText>
            </w:r>
            <w:r w:rsidRPr="001F0207">
              <w:rPr>
                <w:b w:val="0"/>
                <w:bCs w:val="0"/>
                <w:noProof/>
                <w:webHidden/>
              </w:rPr>
            </w:r>
            <w:r w:rsidRPr="001F0207">
              <w:rPr>
                <w:b w:val="0"/>
                <w:bCs w:val="0"/>
                <w:noProof/>
                <w:webHidden/>
              </w:rPr>
              <w:fldChar w:fldCharType="separate"/>
            </w:r>
            <w:r w:rsidRPr="001F0207">
              <w:rPr>
                <w:b w:val="0"/>
                <w:bCs w:val="0"/>
                <w:noProof/>
                <w:webHidden/>
              </w:rPr>
              <w:t>6</w:t>
            </w:r>
            <w:r w:rsidRPr="001F0207">
              <w:rPr>
                <w:b w:val="0"/>
                <w:bCs w:val="0"/>
                <w:noProof/>
                <w:webHidden/>
              </w:rPr>
              <w:fldChar w:fldCharType="end"/>
            </w:r>
          </w:hyperlink>
        </w:p>
        <w:p w14:paraId="75A2C767" w14:textId="468FE04A" w:rsidR="001F0207" w:rsidRPr="001F0207" w:rsidRDefault="001F0207" w:rsidP="00D87CD7">
          <w:pPr>
            <w:pStyle w:val="TOC3"/>
            <w:tabs>
              <w:tab w:val="right" w:leader="dot" w:pos="9350"/>
            </w:tabs>
            <w:spacing w:line="360" w:lineRule="auto"/>
            <w:rPr>
              <w:b w:val="0"/>
              <w:bCs w:val="0"/>
              <w:noProof/>
            </w:rPr>
          </w:pPr>
          <w:hyperlink w:anchor="_Toc109950682" w:history="1">
            <w:r w:rsidRPr="001F0207">
              <w:rPr>
                <w:rStyle w:val="Hyperlink"/>
                <w:rFonts w:cs="Times New Roman"/>
                <w:b w:val="0"/>
                <w:bCs w:val="0"/>
                <w:i/>
                <w:iCs/>
                <w:noProof/>
              </w:rPr>
              <w:t>1.4.2 GDPR</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_Toc109950682 \h </w:instrText>
            </w:r>
            <w:r w:rsidRPr="001F0207">
              <w:rPr>
                <w:b w:val="0"/>
                <w:bCs w:val="0"/>
                <w:noProof/>
                <w:webHidden/>
              </w:rPr>
            </w:r>
            <w:r w:rsidRPr="001F0207">
              <w:rPr>
                <w:b w:val="0"/>
                <w:bCs w:val="0"/>
                <w:noProof/>
                <w:webHidden/>
              </w:rPr>
              <w:fldChar w:fldCharType="separate"/>
            </w:r>
            <w:r w:rsidRPr="001F0207">
              <w:rPr>
                <w:b w:val="0"/>
                <w:bCs w:val="0"/>
                <w:noProof/>
                <w:webHidden/>
              </w:rPr>
              <w:t>7</w:t>
            </w:r>
            <w:r w:rsidRPr="001F0207">
              <w:rPr>
                <w:b w:val="0"/>
                <w:bCs w:val="0"/>
                <w:noProof/>
                <w:webHidden/>
              </w:rPr>
              <w:fldChar w:fldCharType="end"/>
            </w:r>
          </w:hyperlink>
        </w:p>
        <w:p w14:paraId="00C8B90D" w14:textId="5DBC90C9" w:rsidR="001F0207" w:rsidRPr="000C1D72" w:rsidRDefault="001F0207" w:rsidP="00D87CD7">
          <w:pPr>
            <w:pStyle w:val="TOC1"/>
            <w:spacing w:line="360" w:lineRule="auto"/>
          </w:pPr>
          <w:hyperlink w:anchor="_Toc109950683" w:history="1">
            <w:r w:rsidRPr="000C1D72">
              <w:rPr>
                <w:rStyle w:val="Hyperlink"/>
              </w:rPr>
              <w:t>2. Comparative Analysis</w:t>
            </w:r>
            <w:r w:rsidRPr="000C1D72">
              <w:rPr>
                <w:webHidden/>
              </w:rPr>
              <w:tab/>
            </w:r>
            <w:r w:rsidRPr="000C1D72">
              <w:rPr>
                <w:webHidden/>
              </w:rPr>
              <w:fldChar w:fldCharType="begin"/>
            </w:r>
            <w:r w:rsidRPr="000C1D72">
              <w:rPr>
                <w:webHidden/>
              </w:rPr>
              <w:instrText xml:space="preserve"> PAGEREF _Toc109950683 \h </w:instrText>
            </w:r>
            <w:r w:rsidRPr="000C1D72">
              <w:rPr>
                <w:webHidden/>
              </w:rPr>
            </w:r>
            <w:r w:rsidRPr="000C1D72">
              <w:rPr>
                <w:webHidden/>
              </w:rPr>
              <w:fldChar w:fldCharType="separate"/>
            </w:r>
            <w:r w:rsidRPr="000C1D72">
              <w:rPr>
                <w:webHidden/>
              </w:rPr>
              <w:t>9</w:t>
            </w:r>
            <w:r w:rsidRPr="000C1D72">
              <w:rPr>
                <w:webHidden/>
              </w:rPr>
              <w:fldChar w:fldCharType="end"/>
            </w:r>
          </w:hyperlink>
        </w:p>
        <w:p w14:paraId="2F6FDA4D" w14:textId="04A37853" w:rsidR="001F0207" w:rsidRPr="001F0207" w:rsidRDefault="001F0207" w:rsidP="00D87CD7">
          <w:pPr>
            <w:pStyle w:val="TOC2"/>
            <w:tabs>
              <w:tab w:val="right" w:leader="dot" w:pos="9350"/>
            </w:tabs>
            <w:spacing w:line="360" w:lineRule="auto"/>
            <w:rPr>
              <w:b w:val="0"/>
              <w:bCs w:val="0"/>
              <w:noProof/>
            </w:rPr>
          </w:pPr>
          <w:hyperlink w:anchor="_Toc109950684" w:history="1">
            <w:r w:rsidRPr="001F0207">
              <w:rPr>
                <w:rStyle w:val="Hyperlink"/>
                <w:rFonts w:cs="Times New Roman"/>
                <w:b w:val="0"/>
                <w:bCs w:val="0"/>
                <w:noProof/>
              </w:rPr>
              <w:t>2.1 Study Method</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_Toc109950684 \h </w:instrText>
            </w:r>
            <w:r w:rsidRPr="001F0207">
              <w:rPr>
                <w:b w:val="0"/>
                <w:bCs w:val="0"/>
                <w:noProof/>
                <w:webHidden/>
              </w:rPr>
            </w:r>
            <w:r w:rsidRPr="001F0207">
              <w:rPr>
                <w:b w:val="0"/>
                <w:bCs w:val="0"/>
                <w:noProof/>
                <w:webHidden/>
              </w:rPr>
              <w:fldChar w:fldCharType="separate"/>
            </w:r>
            <w:r w:rsidRPr="001F0207">
              <w:rPr>
                <w:b w:val="0"/>
                <w:bCs w:val="0"/>
                <w:noProof/>
                <w:webHidden/>
              </w:rPr>
              <w:t>9</w:t>
            </w:r>
            <w:r w:rsidRPr="001F0207">
              <w:rPr>
                <w:b w:val="0"/>
                <w:bCs w:val="0"/>
                <w:noProof/>
                <w:webHidden/>
              </w:rPr>
              <w:fldChar w:fldCharType="end"/>
            </w:r>
          </w:hyperlink>
        </w:p>
        <w:p w14:paraId="711686C0" w14:textId="43BCDB31" w:rsidR="001F0207" w:rsidRPr="001F0207" w:rsidRDefault="001F0207" w:rsidP="00D87CD7">
          <w:pPr>
            <w:pStyle w:val="TOC2"/>
            <w:tabs>
              <w:tab w:val="right" w:leader="dot" w:pos="9350"/>
            </w:tabs>
            <w:spacing w:line="360" w:lineRule="auto"/>
            <w:rPr>
              <w:b w:val="0"/>
              <w:bCs w:val="0"/>
              <w:noProof/>
            </w:rPr>
          </w:pPr>
          <w:hyperlink w:anchor="_Toc109950685" w:history="1">
            <w:r w:rsidRPr="001F0207">
              <w:rPr>
                <w:rStyle w:val="Hyperlink"/>
                <w:rFonts w:cs="Times New Roman"/>
                <w:b w:val="0"/>
                <w:bCs w:val="0"/>
                <w:noProof/>
              </w:rPr>
              <w:t>2.2 Study Results Analysis</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_Toc109950685 \h </w:instrText>
            </w:r>
            <w:r w:rsidRPr="001F0207">
              <w:rPr>
                <w:b w:val="0"/>
                <w:bCs w:val="0"/>
                <w:noProof/>
                <w:webHidden/>
              </w:rPr>
            </w:r>
            <w:r w:rsidRPr="001F0207">
              <w:rPr>
                <w:b w:val="0"/>
                <w:bCs w:val="0"/>
                <w:noProof/>
                <w:webHidden/>
              </w:rPr>
              <w:fldChar w:fldCharType="separate"/>
            </w:r>
            <w:r w:rsidRPr="001F0207">
              <w:rPr>
                <w:b w:val="0"/>
                <w:bCs w:val="0"/>
                <w:noProof/>
                <w:webHidden/>
              </w:rPr>
              <w:t>9</w:t>
            </w:r>
            <w:r w:rsidRPr="001F0207">
              <w:rPr>
                <w:b w:val="0"/>
                <w:bCs w:val="0"/>
                <w:noProof/>
                <w:webHidden/>
              </w:rPr>
              <w:fldChar w:fldCharType="end"/>
            </w:r>
          </w:hyperlink>
        </w:p>
        <w:p w14:paraId="083C63BC" w14:textId="54DE6355" w:rsidR="001F0207" w:rsidRPr="001F0207" w:rsidRDefault="001F0207" w:rsidP="00D87CD7">
          <w:pPr>
            <w:pStyle w:val="TOC3"/>
            <w:tabs>
              <w:tab w:val="right" w:leader="dot" w:pos="9350"/>
            </w:tabs>
            <w:spacing w:line="360" w:lineRule="auto"/>
            <w:rPr>
              <w:b w:val="0"/>
              <w:bCs w:val="0"/>
              <w:noProof/>
            </w:rPr>
          </w:pPr>
          <w:hyperlink w:anchor="_Toc109950686" w:history="1">
            <w:r w:rsidRPr="001F0207">
              <w:rPr>
                <w:rStyle w:val="Hyperlink"/>
                <w:rFonts w:cs="Times New Roman"/>
                <w:b w:val="0"/>
                <w:bCs w:val="0"/>
                <w:i/>
                <w:iCs/>
                <w:noProof/>
              </w:rPr>
              <w:t>2.2.1 Key Differences</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_Toc109950686 \h </w:instrText>
            </w:r>
            <w:r w:rsidRPr="001F0207">
              <w:rPr>
                <w:b w:val="0"/>
                <w:bCs w:val="0"/>
                <w:noProof/>
                <w:webHidden/>
              </w:rPr>
            </w:r>
            <w:r w:rsidRPr="001F0207">
              <w:rPr>
                <w:b w:val="0"/>
                <w:bCs w:val="0"/>
                <w:noProof/>
                <w:webHidden/>
              </w:rPr>
              <w:fldChar w:fldCharType="separate"/>
            </w:r>
            <w:r w:rsidRPr="001F0207">
              <w:rPr>
                <w:b w:val="0"/>
                <w:bCs w:val="0"/>
                <w:noProof/>
                <w:webHidden/>
              </w:rPr>
              <w:t>9</w:t>
            </w:r>
            <w:r w:rsidRPr="001F0207">
              <w:rPr>
                <w:b w:val="0"/>
                <w:bCs w:val="0"/>
                <w:noProof/>
                <w:webHidden/>
              </w:rPr>
              <w:fldChar w:fldCharType="end"/>
            </w:r>
          </w:hyperlink>
        </w:p>
        <w:p w14:paraId="0FCAD56D" w14:textId="6816FEEB" w:rsidR="001F0207" w:rsidRPr="001F0207" w:rsidRDefault="001F0207" w:rsidP="00D87CD7">
          <w:pPr>
            <w:pStyle w:val="TOC3"/>
            <w:tabs>
              <w:tab w:val="right" w:leader="dot" w:pos="9350"/>
            </w:tabs>
            <w:spacing w:line="360" w:lineRule="auto"/>
            <w:rPr>
              <w:b w:val="0"/>
              <w:bCs w:val="0"/>
              <w:noProof/>
            </w:rPr>
          </w:pPr>
          <w:hyperlink w:anchor="_Toc109950687" w:history="1">
            <w:r w:rsidRPr="001F0207">
              <w:rPr>
                <w:rStyle w:val="Hyperlink"/>
                <w:rFonts w:cs="Times New Roman"/>
                <w:b w:val="0"/>
                <w:bCs w:val="0"/>
                <w:i/>
                <w:iCs/>
                <w:noProof/>
              </w:rPr>
              <w:t>2.1.2 Key Similarities</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_Toc109950687 \h </w:instrText>
            </w:r>
            <w:r w:rsidRPr="001F0207">
              <w:rPr>
                <w:b w:val="0"/>
                <w:bCs w:val="0"/>
                <w:noProof/>
                <w:webHidden/>
              </w:rPr>
            </w:r>
            <w:r w:rsidRPr="001F0207">
              <w:rPr>
                <w:b w:val="0"/>
                <w:bCs w:val="0"/>
                <w:noProof/>
                <w:webHidden/>
              </w:rPr>
              <w:fldChar w:fldCharType="separate"/>
            </w:r>
            <w:r w:rsidRPr="001F0207">
              <w:rPr>
                <w:b w:val="0"/>
                <w:bCs w:val="0"/>
                <w:noProof/>
                <w:webHidden/>
              </w:rPr>
              <w:t>10</w:t>
            </w:r>
            <w:r w:rsidRPr="001F0207">
              <w:rPr>
                <w:b w:val="0"/>
                <w:bCs w:val="0"/>
                <w:noProof/>
                <w:webHidden/>
              </w:rPr>
              <w:fldChar w:fldCharType="end"/>
            </w:r>
          </w:hyperlink>
        </w:p>
        <w:p w14:paraId="736A7DED" w14:textId="238C9E7C" w:rsidR="001F0207" w:rsidRPr="001F0207" w:rsidRDefault="001F0207" w:rsidP="00D87CD7">
          <w:pPr>
            <w:pStyle w:val="TOC2"/>
            <w:tabs>
              <w:tab w:val="right" w:leader="dot" w:pos="9350"/>
            </w:tabs>
            <w:spacing w:line="360" w:lineRule="auto"/>
            <w:rPr>
              <w:b w:val="0"/>
              <w:bCs w:val="0"/>
              <w:noProof/>
            </w:rPr>
          </w:pPr>
          <w:hyperlink w:anchor="_Toc109950688" w:history="1">
            <w:r w:rsidRPr="001F0207">
              <w:rPr>
                <w:rStyle w:val="Hyperlink"/>
                <w:rFonts w:cs="Times New Roman"/>
                <w:b w:val="0"/>
                <w:bCs w:val="0"/>
                <w:noProof/>
              </w:rPr>
              <w:t>2.3 Discussion</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_Toc109950688 \h </w:instrText>
            </w:r>
            <w:r w:rsidRPr="001F0207">
              <w:rPr>
                <w:b w:val="0"/>
                <w:bCs w:val="0"/>
                <w:noProof/>
                <w:webHidden/>
              </w:rPr>
            </w:r>
            <w:r w:rsidRPr="001F0207">
              <w:rPr>
                <w:b w:val="0"/>
                <w:bCs w:val="0"/>
                <w:noProof/>
                <w:webHidden/>
              </w:rPr>
              <w:fldChar w:fldCharType="separate"/>
            </w:r>
            <w:r w:rsidRPr="001F0207">
              <w:rPr>
                <w:b w:val="0"/>
                <w:bCs w:val="0"/>
                <w:noProof/>
                <w:webHidden/>
              </w:rPr>
              <w:t>11</w:t>
            </w:r>
            <w:r w:rsidRPr="001F0207">
              <w:rPr>
                <w:b w:val="0"/>
                <w:bCs w:val="0"/>
                <w:noProof/>
                <w:webHidden/>
              </w:rPr>
              <w:fldChar w:fldCharType="end"/>
            </w:r>
          </w:hyperlink>
        </w:p>
        <w:p w14:paraId="576DEA4D" w14:textId="0B5D700A" w:rsidR="001F0207" w:rsidRPr="000C1D72" w:rsidRDefault="001F0207" w:rsidP="00D87CD7">
          <w:pPr>
            <w:pStyle w:val="TOC1"/>
            <w:spacing w:line="360" w:lineRule="auto"/>
          </w:pPr>
          <w:hyperlink w:anchor="_Toc109950689" w:history="1">
            <w:r w:rsidRPr="000C1D72">
              <w:rPr>
                <w:rStyle w:val="Hyperlink"/>
              </w:rPr>
              <w:t>3. Conclusion</w:t>
            </w:r>
            <w:r w:rsidRPr="000C1D72">
              <w:rPr>
                <w:webHidden/>
              </w:rPr>
              <w:tab/>
            </w:r>
            <w:r w:rsidRPr="000C1D72">
              <w:rPr>
                <w:webHidden/>
              </w:rPr>
              <w:fldChar w:fldCharType="begin"/>
            </w:r>
            <w:r w:rsidRPr="000C1D72">
              <w:rPr>
                <w:webHidden/>
              </w:rPr>
              <w:instrText xml:space="preserve"> PAGEREF _Toc109950689 \h </w:instrText>
            </w:r>
            <w:r w:rsidRPr="000C1D72">
              <w:rPr>
                <w:webHidden/>
              </w:rPr>
            </w:r>
            <w:r w:rsidRPr="000C1D72">
              <w:rPr>
                <w:webHidden/>
              </w:rPr>
              <w:fldChar w:fldCharType="separate"/>
            </w:r>
            <w:r w:rsidRPr="000C1D72">
              <w:rPr>
                <w:webHidden/>
              </w:rPr>
              <w:t>12</w:t>
            </w:r>
            <w:r w:rsidRPr="000C1D72">
              <w:rPr>
                <w:webHidden/>
              </w:rPr>
              <w:fldChar w:fldCharType="end"/>
            </w:r>
          </w:hyperlink>
        </w:p>
        <w:p w14:paraId="6CF07F33" w14:textId="2BA3DBA8" w:rsidR="001F0207" w:rsidRDefault="001F0207" w:rsidP="00D87CD7">
          <w:pPr>
            <w:pStyle w:val="TOC2"/>
            <w:tabs>
              <w:tab w:val="right" w:leader="dot" w:pos="9350"/>
            </w:tabs>
            <w:spacing w:line="360" w:lineRule="auto"/>
          </w:pPr>
          <w:hyperlink w:anchor="_Toc109950690" w:history="1">
            <w:r w:rsidRPr="001F0207">
              <w:rPr>
                <w:rStyle w:val="Hyperlink"/>
                <w:rFonts w:cs="Times New Roman"/>
                <w:b w:val="0"/>
                <w:bCs w:val="0"/>
                <w:noProof/>
              </w:rPr>
              <w:t>3.1 Claims and Findings Supporting the Claims</w:t>
            </w:r>
            <w:r w:rsidRPr="001F0207">
              <w:rPr>
                <w:b w:val="0"/>
                <w:bCs w:val="0"/>
                <w:noProof/>
                <w:webHidden/>
              </w:rPr>
              <w:tab/>
            </w:r>
            <w:r w:rsidRPr="001F0207">
              <w:rPr>
                <w:b w:val="0"/>
                <w:bCs w:val="0"/>
                <w:noProof/>
                <w:webHidden/>
              </w:rPr>
              <w:fldChar w:fldCharType="begin"/>
            </w:r>
            <w:r w:rsidRPr="001F0207">
              <w:rPr>
                <w:b w:val="0"/>
                <w:bCs w:val="0"/>
                <w:noProof/>
                <w:webHidden/>
              </w:rPr>
              <w:instrText xml:space="preserve"> PAGEREF _Toc109950690 \h </w:instrText>
            </w:r>
            <w:r w:rsidRPr="001F0207">
              <w:rPr>
                <w:b w:val="0"/>
                <w:bCs w:val="0"/>
                <w:noProof/>
                <w:webHidden/>
              </w:rPr>
            </w:r>
            <w:r w:rsidRPr="001F0207">
              <w:rPr>
                <w:b w:val="0"/>
                <w:bCs w:val="0"/>
                <w:noProof/>
                <w:webHidden/>
              </w:rPr>
              <w:fldChar w:fldCharType="separate"/>
            </w:r>
            <w:r w:rsidRPr="001F0207">
              <w:rPr>
                <w:b w:val="0"/>
                <w:bCs w:val="0"/>
                <w:noProof/>
                <w:webHidden/>
              </w:rPr>
              <w:t>12</w:t>
            </w:r>
            <w:r w:rsidRPr="001F0207">
              <w:rPr>
                <w:b w:val="0"/>
                <w:bCs w:val="0"/>
                <w:noProof/>
                <w:webHidden/>
              </w:rPr>
              <w:fldChar w:fldCharType="end"/>
            </w:r>
          </w:hyperlink>
          <w:r w:rsidRPr="001F0207">
            <w:rPr>
              <w:b w:val="0"/>
              <w:bCs w:val="0"/>
              <w:noProof/>
            </w:rPr>
            <w:fldChar w:fldCharType="end"/>
          </w:r>
        </w:p>
      </w:sdtContent>
    </w:sdt>
    <w:p w14:paraId="5D8FFDCD" w14:textId="77777777" w:rsidR="00E65889" w:rsidRDefault="00E65889">
      <w:pPr>
        <w:rPr>
          <w:b w:val="0"/>
          <w:bCs w:val="0"/>
        </w:rPr>
      </w:pPr>
    </w:p>
    <w:p w14:paraId="5626A5D3" w14:textId="23B478EE" w:rsidR="00E65889" w:rsidRDefault="00E65889">
      <w:pPr>
        <w:rPr>
          <w:b w:val="0"/>
          <w:bCs w:val="0"/>
        </w:rPr>
      </w:pPr>
      <w:r>
        <w:rPr>
          <w:b w:val="0"/>
          <w:bCs w:val="0"/>
        </w:rPr>
        <w:br w:type="page"/>
      </w:r>
    </w:p>
    <w:p w14:paraId="03B7E868" w14:textId="72B6494B" w:rsidR="00F2671C" w:rsidRDefault="00413C7A" w:rsidP="0039504C">
      <w:pPr>
        <w:jc w:val="center"/>
        <w:rPr>
          <w:b w:val="0"/>
          <w:bCs w:val="0"/>
        </w:rPr>
      </w:pPr>
      <w:r w:rsidRPr="00413C7A">
        <w:rPr>
          <w:b w:val="0"/>
          <w:bCs w:val="0"/>
        </w:rPr>
        <w:lastRenderedPageBreak/>
        <w:t xml:space="preserve">General Data Protection Regulation </w:t>
      </w:r>
      <w:r w:rsidR="00041779">
        <w:rPr>
          <w:b w:val="0"/>
          <w:bCs w:val="0"/>
        </w:rPr>
        <w:t>(</w:t>
      </w:r>
      <w:r w:rsidR="00041779" w:rsidRPr="00413C7A">
        <w:rPr>
          <w:b w:val="0"/>
          <w:bCs w:val="0"/>
        </w:rPr>
        <w:t>GDPR</w:t>
      </w:r>
      <w:r w:rsidR="00041779">
        <w:rPr>
          <w:b w:val="0"/>
          <w:bCs w:val="0"/>
        </w:rPr>
        <w:t xml:space="preserve">) </w:t>
      </w:r>
      <w:r w:rsidRPr="00413C7A">
        <w:rPr>
          <w:b w:val="0"/>
          <w:bCs w:val="0"/>
        </w:rPr>
        <w:t>V</w:t>
      </w:r>
      <w:r w:rsidR="00041779">
        <w:rPr>
          <w:b w:val="0"/>
          <w:bCs w:val="0"/>
        </w:rPr>
        <w:t>s</w:t>
      </w:r>
      <w:r w:rsidRPr="00413C7A">
        <w:rPr>
          <w:b w:val="0"/>
          <w:bCs w:val="0"/>
        </w:rPr>
        <w:t>. California Privacy Rights and Enforcement Act</w:t>
      </w:r>
      <w:r w:rsidR="00041779">
        <w:rPr>
          <w:b w:val="0"/>
          <w:bCs w:val="0"/>
        </w:rPr>
        <w:t xml:space="preserve"> (</w:t>
      </w:r>
      <w:r w:rsidR="00041779" w:rsidRPr="00413C7A">
        <w:rPr>
          <w:b w:val="0"/>
          <w:bCs w:val="0"/>
        </w:rPr>
        <w:t>CPRA</w:t>
      </w:r>
      <w:r w:rsidR="00041779">
        <w:rPr>
          <w:b w:val="0"/>
          <w:bCs w:val="0"/>
        </w:rPr>
        <w:t>)</w:t>
      </w:r>
    </w:p>
    <w:p w14:paraId="1767802B" w14:textId="26C83504" w:rsidR="001E2F94" w:rsidRPr="008D46FD" w:rsidRDefault="001E2F94" w:rsidP="00CD7BCA">
      <w:pPr>
        <w:pStyle w:val="Heading1"/>
      </w:pPr>
      <w:bookmarkStart w:id="0" w:name="_Toc109950675"/>
      <w:r w:rsidRPr="008D46FD">
        <w:t>Abstract</w:t>
      </w:r>
      <w:bookmarkEnd w:id="0"/>
    </w:p>
    <w:p w14:paraId="41B5E5CB" w14:textId="77777777" w:rsidR="00291953" w:rsidRPr="00291953" w:rsidRDefault="00291953" w:rsidP="00156212">
      <w:pPr>
        <w:rPr>
          <w:b w:val="0"/>
          <w:bCs w:val="0"/>
        </w:rPr>
      </w:pPr>
      <w:r w:rsidRPr="00291953">
        <w:rPr>
          <w:b w:val="0"/>
          <w:bCs w:val="0"/>
        </w:rPr>
        <w:t>The General Data Protection Regulation (GDPR) 2018 and California Privacy Rights and Enforcement Act (CPRA) 2020 are two vital Data Protection Acts whose enactment has proved effective in enhancing the privacy and security of individuals' personal data processing. GDPR became fully effective on May 25, 2018, and has significantly enhanced the protection of individual persons in the European Union (EU). CPRA will take full effect on January 1, 2023, but its predecessor, CCPA 2018, has proved that CPRA will even be more effective in boosting the consumers' personal data security and processing when being processed or shared by businesses. The paper uses the tabular comparison analysis tool to compare and contrast GDPR and CPRA to establish their similarities and differences. The key aim is to establish the similarities and differences in their objectives, roles, applicability, and effectiveness. The study's findings will fill the knowledge gap and highlight the benefits of the data privacy Acts to encourage global adoption.</w:t>
      </w:r>
    </w:p>
    <w:p w14:paraId="7A3D73F6" w14:textId="77777777" w:rsidR="00291953" w:rsidRPr="00471ABA" w:rsidRDefault="00291953" w:rsidP="00CD7BCA">
      <w:pPr>
        <w:pStyle w:val="Heading1"/>
      </w:pPr>
      <w:bookmarkStart w:id="1" w:name="_Toc109950676"/>
      <w:r w:rsidRPr="00471ABA">
        <w:t>1. Introduction</w:t>
      </w:r>
      <w:bookmarkEnd w:id="1"/>
    </w:p>
    <w:p w14:paraId="22968EB1" w14:textId="3EBDD510" w:rsidR="00291953" w:rsidRPr="00291953" w:rsidRDefault="00291953" w:rsidP="00291953">
      <w:pPr>
        <w:ind w:firstLine="720"/>
        <w:rPr>
          <w:b w:val="0"/>
          <w:bCs w:val="0"/>
        </w:rPr>
      </w:pPr>
      <w:r w:rsidRPr="00291953">
        <w:rPr>
          <w:b w:val="0"/>
          <w:bCs w:val="0"/>
        </w:rPr>
        <w:t>General Data Protection Regulation (GDPR) of 2018 is a European Union (EU) updated version of the Data Protection Act of 1998 that provides specific guidelines for collecting and processing personal information from people living in the EU</w:t>
      </w:r>
      <w:r w:rsidR="00D3263C">
        <w:rPr>
          <w:b w:val="0"/>
          <w:bCs w:val="0"/>
        </w:rPr>
        <w:t xml:space="preserve"> (</w:t>
      </w:r>
      <w:r w:rsidR="00D3263C" w:rsidRPr="00D3263C">
        <w:rPr>
          <w:b w:val="0"/>
          <w:bCs w:val="0"/>
        </w:rPr>
        <w:t>Dhar</w:t>
      </w:r>
      <w:r w:rsidR="00D3263C">
        <w:rPr>
          <w:b w:val="0"/>
          <w:bCs w:val="0"/>
        </w:rPr>
        <w:t>, 2021)</w:t>
      </w:r>
      <w:r w:rsidRPr="00291953">
        <w:rPr>
          <w:b w:val="0"/>
          <w:bCs w:val="0"/>
        </w:rPr>
        <w:t xml:space="preserve">. The regulation was adopted in April 2016 but came into effect on May 25, 2018. </w:t>
      </w:r>
      <w:r w:rsidR="005D3181">
        <w:rPr>
          <w:b w:val="0"/>
          <w:bCs w:val="0"/>
        </w:rPr>
        <w:t xml:space="preserve">According to </w:t>
      </w:r>
      <w:r w:rsidR="005D3181" w:rsidRPr="005D3181">
        <w:rPr>
          <w:b w:val="0"/>
          <w:bCs w:val="0"/>
        </w:rPr>
        <w:t>Dhar</w:t>
      </w:r>
      <w:r w:rsidR="005D3181">
        <w:rPr>
          <w:b w:val="0"/>
          <w:bCs w:val="0"/>
        </w:rPr>
        <w:t xml:space="preserve"> (2021)</w:t>
      </w:r>
      <w:r w:rsidRPr="00291953">
        <w:rPr>
          <w:b w:val="0"/>
          <w:bCs w:val="0"/>
        </w:rPr>
        <w:t xml:space="preserve">, the GDPR </w:t>
      </w:r>
      <w:r w:rsidR="005D3181">
        <w:rPr>
          <w:b w:val="0"/>
          <w:bCs w:val="0"/>
        </w:rPr>
        <w:t xml:space="preserve">currently </w:t>
      </w:r>
      <w:r w:rsidRPr="00291953">
        <w:rPr>
          <w:b w:val="0"/>
          <w:bCs w:val="0"/>
        </w:rPr>
        <w:t>regulates how businesses and organizations collect and use individual's personal information to protect people's privacy.</w:t>
      </w:r>
    </w:p>
    <w:p w14:paraId="04ECEC8E" w14:textId="4EA3BE2C" w:rsidR="00291953" w:rsidRPr="00291953" w:rsidRDefault="00291953" w:rsidP="00291953">
      <w:pPr>
        <w:ind w:firstLine="720"/>
        <w:rPr>
          <w:b w:val="0"/>
          <w:bCs w:val="0"/>
        </w:rPr>
      </w:pPr>
      <w:r w:rsidRPr="00291953">
        <w:rPr>
          <w:b w:val="0"/>
          <w:bCs w:val="0"/>
        </w:rPr>
        <w:lastRenderedPageBreak/>
        <w:t>On the other hand, the California Privacy Rights and Enforcement Act (CPRA) of 2020 is a data privacy act passed on November 3, 2020, to replace the California Consumer Privacy Act (CCPA) of 2018</w:t>
      </w:r>
      <w:r w:rsidR="00C63791">
        <w:rPr>
          <w:b w:val="0"/>
          <w:bCs w:val="0"/>
        </w:rPr>
        <w:t xml:space="preserve"> (</w:t>
      </w:r>
      <w:r w:rsidR="00C63791" w:rsidRPr="00C63791">
        <w:rPr>
          <w:b w:val="0"/>
          <w:bCs w:val="0"/>
        </w:rPr>
        <w:t>Dhar</w:t>
      </w:r>
      <w:r w:rsidR="00C63791">
        <w:rPr>
          <w:b w:val="0"/>
          <w:bCs w:val="0"/>
        </w:rPr>
        <w:t>, 2018)</w:t>
      </w:r>
      <w:r w:rsidRPr="00291953">
        <w:rPr>
          <w:b w:val="0"/>
          <w:bCs w:val="0"/>
        </w:rPr>
        <w:t>. The Act is expected to take effect on July 1, 2023, and will regulate how businesses and organizations use consumers' personal data. GDPR 2018 and CPRA 2020 have similar objectives, although they apply in different jurisdictions.</w:t>
      </w:r>
    </w:p>
    <w:p w14:paraId="103BA54F" w14:textId="77777777" w:rsidR="00291953" w:rsidRPr="00471ABA" w:rsidRDefault="00291953" w:rsidP="00471ABA">
      <w:pPr>
        <w:pStyle w:val="Heading2"/>
        <w:rPr>
          <w:rFonts w:ascii="Times New Roman" w:hAnsi="Times New Roman" w:cs="Times New Roman"/>
        </w:rPr>
      </w:pPr>
      <w:bookmarkStart w:id="2" w:name="_Toc109950677"/>
      <w:r w:rsidRPr="00471ABA">
        <w:rPr>
          <w:rFonts w:ascii="Times New Roman" w:hAnsi="Times New Roman" w:cs="Times New Roman"/>
          <w:color w:val="auto"/>
          <w:sz w:val="24"/>
          <w:szCs w:val="24"/>
        </w:rPr>
        <w:t>1.1 Goal</w:t>
      </w:r>
      <w:bookmarkEnd w:id="2"/>
    </w:p>
    <w:p w14:paraId="5B417122" w14:textId="77777777" w:rsidR="00291953" w:rsidRPr="00291953" w:rsidRDefault="00291953" w:rsidP="00291953">
      <w:pPr>
        <w:ind w:firstLine="720"/>
        <w:rPr>
          <w:b w:val="0"/>
          <w:bCs w:val="0"/>
        </w:rPr>
      </w:pPr>
      <w:r w:rsidRPr="00291953">
        <w:rPr>
          <w:b w:val="0"/>
          <w:bCs w:val="0"/>
        </w:rPr>
        <w:t xml:space="preserve">The paper aims to analyze the history of the GDPR 2018 and CPRA 2020 Acts and then compare and contrast their key characteristics. Specifically, the aim is to analytically compare and contrast the two Acts to establish their similarities and differences in terms of their objectives, roles, areas of applicability, and effectiveness, among other relevant legal aspects. </w:t>
      </w:r>
    </w:p>
    <w:p w14:paraId="789E1059" w14:textId="77777777" w:rsidR="00291953" w:rsidRPr="006D37AE" w:rsidRDefault="00291953" w:rsidP="006D37AE">
      <w:pPr>
        <w:pStyle w:val="Heading2"/>
        <w:rPr>
          <w:rFonts w:ascii="Times New Roman" w:hAnsi="Times New Roman" w:cs="Times New Roman"/>
        </w:rPr>
      </w:pPr>
      <w:bookmarkStart w:id="3" w:name="_Toc109950678"/>
      <w:r w:rsidRPr="006D37AE">
        <w:rPr>
          <w:rFonts w:ascii="Times New Roman" w:hAnsi="Times New Roman" w:cs="Times New Roman"/>
          <w:color w:val="auto"/>
          <w:sz w:val="24"/>
          <w:szCs w:val="24"/>
        </w:rPr>
        <w:t>1.2 Motivation: Importance of Privacy</w:t>
      </w:r>
      <w:bookmarkEnd w:id="3"/>
    </w:p>
    <w:p w14:paraId="62E60EDB" w14:textId="3719E9CA" w:rsidR="00291953" w:rsidRPr="00291953" w:rsidRDefault="00291953" w:rsidP="00291953">
      <w:pPr>
        <w:ind w:firstLine="720"/>
        <w:rPr>
          <w:b w:val="0"/>
          <w:bCs w:val="0"/>
        </w:rPr>
      </w:pPr>
      <w:r w:rsidRPr="00291953">
        <w:rPr>
          <w:b w:val="0"/>
          <w:bCs w:val="0"/>
        </w:rPr>
        <w:t>Privacy is the ability of individuals to control who can access data about their private lives or activities, such as businesses. It grants individuals the power and freedom to decide what and who to share their personal thoughts and feelings</w:t>
      </w:r>
      <w:r w:rsidR="00176882">
        <w:rPr>
          <w:b w:val="0"/>
          <w:bCs w:val="0"/>
        </w:rPr>
        <w:t xml:space="preserve"> </w:t>
      </w:r>
      <w:r w:rsidR="00176882" w:rsidRPr="00176882">
        <w:rPr>
          <w:b w:val="0"/>
          <w:bCs w:val="0"/>
        </w:rPr>
        <w:t>(</w:t>
      </w:r>
      <w:proofErr w:type="spellStart"/>
      <w:r w:rsidR="00176882" w:rsidRPr="00176882">
        <w:rPr>
          <w:b w:val="0"/>
          <w:bCs w:val="0"/>
        </w:rPr>
        <w:t>Gaukroger</w:t>
      </w:r>
      <w:proofErr w:type="spellEnd"/>
      <w:r w:rsidR="00176882" w:rsidRPr="00176882">
        <w:rPr>
          <w:b w:val="0"/>
          <w:bCs w:val="0"/>
        </w:rPr>
        <w:t>, 2021)</w:t>
      </w:r>
      <w:r w:rsidRPr="00291953">
        <w:rPr>
          <w:b w:val="0"/>
          <w:bCs w:val="0"/>
        </w:rPr>
        <w:t>. This helps individuals regulate their sensitive information from reaching unintended people. Privacy also helps individuals protect their private information that they do not want to be shared publicly from being shared</w:t>
      </w:r>
      <w:r w:rsidR="003D6AB0">
        <w:rPr>
          <w:b w:val="0"/>
          <w:bCs w:val="0"/>
        </w:rPr>
        <w:t xml:space="preserve"> </w:t>
      </w:r>
      <w:r w:rsidR="003D6AB0" w:rsidRPr="003D6AB0">
        <w:rPr>
          <w:b w:val="0"/>
          <w:bCs w:val="0"/>
        </w:rPr>
        <w:t>(</w:t>
      </w:r>
      <w:proofErr w:type="spellStart"/>
      <w:r w:rsidR="003D6AB0" w:rsidRPr="003D6AB0">
        <w:rPr>
          <w:b w:val="0"/>
          <w:bCs w:val="0"/>
        </w:rPr>
        <w:t>Gaukroger</w:t>
      </w:r>
      <w:proofErr w:type="spellEnd"/>
      <w:r w:rsidR="003D6AB0" w:rsidRPr="003D6AB0">
        <w:rPr>
          <w:b w:val="0"/>
          <w:bCs w:val="0"/>
        </w:rPr>
        <w:t>, 2021; Becker, 2019)</w:t>
      </w:r>
      <w:r w:rsidRPr="00291953">
        <w:rPr>
          <w:b w:val="0"/>
          <w:bCs w:val="0"/>
        </w:rPr>
        <w:t xml:space="preserve">. Such information includes health records, personal financial status, and relationship life. </w:t>
      </w:r>
      <w:r w:rsidR="00286781">
        <w:rPr>
          <w:b w:val="0"/>
          <w:bCs w:val="0"/>
        </w:rPr>
        <w:t xml:space="preserve">According to </w:t>
      </w:r>
      <w:proofErr w:type="spellStart"/>
      <w:r w:rsidR="00286781" w:rsidRPr="00286781">
        <w:rPr>
          <w:b w:val="0"/>
          <w:bCs w:val="0"/>
        </w:rPr>
        <w:t>Gaukroger</w:t>
      </w:r>
      <w:proofErr w:type="spellEnd"/>
      <w:r w:rsidR="00286781" w:rsidRPr="00286781">
        <w:rPr>
          <w:b w:val="0"/>
          <w:bCs w:val="0"/>
        </w:rPr>
        <w:t xml:space="preserve"> </w:t>
      </w:r>
      <w:r w:rsidR="00286781">
        <w:rPr>
          <w:b w:val="0"/>
          <w:bCs w:val="0"/>
        </w:rPr>
        <w:t>(</w:t>
      </w:r>
      <w:r w:rsidR="00286781" w:rsidRPr="00286781">
        <w:rPr>
          <w:b w:val="0"/>
          <w:bCs w:val="0"/>
        </w:rPr>
        <w:t>2021</w:t>
      </w:r>
      <w:r w:rsidR="00286781">
        <w:rPr>
          <w:b w:val="0"/>
          <w:bCs w:val="0"/>
        </w:rPr>
        <w:t xml:space="preserve">), </w:t>
      </w:r>
      <w:r w:rsidR="00272118">
        <w:rPr>
          <w:b w:val="0"/>
          <w:bCs w:val="0"/>
        </w:rPr>
        <w:t>p</w:t>
      </w:r>
      <w:r w:rsidRPr="00291953">
        <w:rPr>
          <w:b w:val="0"/>
          <w:bCs w:val="0"/>
        </w:rPr>
        <w:t>rivacy is important because it promotes the physical safety of individuals by securing information about their real-time geographical locations. This makes it difficult for ill-intentioned people seeking to use location tracking information to track down an individual.</w:t>
      </w:r>
    </w:p>
    <w:p w14:paraId="2ED4D062" w14:textId="2A505DF0" w:rsidR="00291953" w:rsidRPr="00291953" w:rsidRDefault="00291953" w:rsidP="00291953">
      <w:pPr>
        <w:ind w:firstLine="720"/>
        <w:rPr>
          <w:b w:val="0"/>
          <w:bCs w:val="0"/>
        </w:rPr>
      </w:pPr>
      <w:r w:rsidRPr="00291953">
        <w:rPr>
          <w:b w:val="0"/>
          <w:bCs w:val="0"/>
        </w:rPr>
        <w:t xml:space="preserve">Privacy also protects people and their businesses or organizations from competitors and third parties who may use sensitive information to gain business advantage and bring down a </w:t>
      </w:r>
      <w:r w:rsidRPr="00291953">
        <w:rPr>
          <w:b w:val="0"/>
          <w:bCs w:val="0"/>
        </w:rPr>
        <w:lastRenderedPageBreak/>
        <w:t>person's business</w:t>
      </w:r>
      <w:r w:rsidR="00CC65FF">
        <w:rPr>
          <w:b w:val="0"/>
          <w:bCs w:val="0"/>
        </w:rPr>
        <w:t xml:space="preserve"> </w:t>
      </w:r>
      <w:r w:rsidR="00CC65FF" w:rsidRPr="00CC65FF">
        <w:rPr>
          <w:b w:val="0"/>
          <w:bCs w:val="0"/>
        </w:rPr>
        <w:t>(Becker, 2019)</w:t>
      </w:r>
      <w:r w:rsidRPr="00291953">
        <w:rPr>
          <w:b w:val="0"/>
          <w:bCs w:val="0"/>
        </w:rPr>
        <w:t xml:space="preserve">. Most importantly, privacy is linked to people's freedom from surveillance by authorities. </w:t>
      </w:r>
      <w:proofErr w:type="spellStart"/>
      <w:r w:rsidR="001C5A1F" w:rsidRPr="001C5A1F">
        <w:rPr>
          <w:b w:val="0"/>
          <w:bCs w:val="0"/>
        </w:rPr>
        <w:t>Gaukroger</w:t>
      </w:r>
      <w:proofErr w:type="spellEnd"/>
      <w:r w:rsidR="001C5A1F" w:rsidRPr="001C5A1F">
        <w:rPr>
          <w:b w:val="0"/>
          <w:bCs w:val="0"/>
        </w:rPr>
        <w:t xml:space="preserve"> </w:t>
      </w:r>
      <w:r w:rsidR="001C5A1F">
        <w:rPr>
          <w:b w:val="0"/>
          <w:bCs w:val="0"/>
        </w:rPr>
        <w:t>(2020), a</w:t>
      </w:r>
      <w:r w:rsidRPr="00291953">
        <w:rPr>
          <w:b w:val="0"/>
          <w:bCs w:val="0"/>
        </w:rPr>
        <w:t>ll people are entitled to the right to privacy under article 12 of the Universal Declaration of Human Rights (UDHR). Without privacy, freedom cannot be achieved; therefore, privacy is a 'basic human right.' The above importance of privacy to individuals was my primary motivation for assessing the CPRA and GDPR Acts.</w:t>
      </w:r>
    </w:p>
    <w:p w14:paraId="354B1DDD" w14:textId="77777777" w:rsidR="00291953" w:rsidRPr="00721C2E" w:rsidRDefault="00291953" w:rsidP="00721C2E">
      <w:pPr>
        <w:pStyle w:val="Heading2"/>
        <w:rPr>
          <w:rFonts w:ascii="Times New Roman" w:hAnsi="Times New Roman" w:cs="Times New Roman"/>
        </w:rPr>
      </w:pPr>
      <w:bookmarkStart w:id="4" w:name="_Toc109950679"/>
      <w:r w:rsidRPr="00721C2E">
        <w:rPr>
          <w:rFonts w:ascii="Times New Roman" w:hAnsi="Times New Roman" w:cs="Times New Roman"/>
          <w:color w:val="auto"/>
          <w:sz w:val="24"/>
          <w:szCs w:val="24"/>
        </w:rPr>
        <w:t>1.3 Key Characteristics of CPRA and GDPR</w:t>
      </w:r>
      <w:bookmarkEnd w:id="4"/>
    </w:p>
    <w:p w14:paraId="1DC56E18" w14:textId="2A303427" w:rsidR="00291953" w:rsidRPr="00291953" w:rsidRDefault="00291953" w:rsidP="00291953">
      <w:pPr>
        <w:ind w:firstLine="720"/>
        <w:rPr>
          <w:b w:val="0"/>
          <w:bCs w:val="0"/>
        </w:rPr>
      </w:pPr>
      <w:r w:rsidRPr="00291953">
        <w:rPr>
          <w:b w:val="0"/>
          <w:bCs w:val="0"/>
        </w:rPr>
        <w:t>The CPRA 2020 is a US legal privacy Act that intends to provide the residents of California with a set of consumer rights that will allow them to have full control over their personally identifiable information</w:t>
      </w:r>
      <w:r w:rsidR="005938DF">
        <w:rPr>
          <w:b w:val="0"/>
          <w:bCs w:val="0"/>
        </w:rPr>
        <w:t xml:space="preserve"> (</w:t>
      </w:r>
      <w:r w:rsidR="005938DF" w:rsidRPr="005938DF">
        <w:rPr>
          <w:b w:val="0"/>
          <w:bCs w:val="0"/>
        </w:rPr>
        <w:t>Walker</w:t>
      </w:r>
      <w:r w:rsidR="005938DF">
        <w:rPr>
          <w:b w:val="0"/>
          <w:bCs w:val="0"/>
        </w:rPr>
        <w:t xml:space="preserve">, </w:t>
      </w:r>
      <w:r w:rsidR="00B22FDB">
        <w:rPr>
          <w:b w:val="0"/>
          <w:bCs w:val="0"/>
        </w:rPr>
        <w:t>2020)</w:t>
      </w:r>
      <w:r w:rsidRPr="00291953">
        <w:rPr>
          <w:b w:val="0"/>
          <w:bCs w:val="0"/>
        </w:rPr>
        <w:t xml:space="preserve">. This will help them control how businesses use their personal information. </w:t>
      </w:r>
      <w:r w:rsidR="00C532ED">
        <w:rPr>
          <w:b w:val="0"/>
          <w:bCs w:val="0"/>
        </w:rPr>
        <w:t xml:space="preserve">According </w:t>
      </w:r>
      <w:r w:rsidR="00842D03">
        <w:rPr>
          <w:b w:val="0"/>
          <w:bCs w:val="0"/>
        </w:rPr>
        <w:t xml:space="preserve">the </w:t>
      </w:r>
      <w:r w:rsidR="00842D03" w:rsidRPr="00842D03">
        <w:rPr>
          <w:b w:val="0"/>
          <w:bCs w:val="0"/>
        </w:rPr>
        <w:t xml:space="preserve">Walker </w:t>
      </w:r>
      <w:r w:rsidR="00842D03">
        <w:rPr>
          <w:b w:val="0"/>
          <w:bCs w:val="0"/>
        </w:rPr>
        <w:t>(2020), t</w:t>
      </w:r>
      <w:r w:rsidRPr="00291953">
        <w:rPr>
          <w:b w:val="0"/>
          <w:bCs w:val="0"/>
        </w:rPr>
        <w:t>he CPRA is similar to the EU's GDPR, which also provides a set of legal guidelines that enable individuals to fully control how their personal information is collected and used by businesses, organizations, or other people.</w:t>
      </w:r>
    </w:p>
    <w:p w14:paraId="3A1D5B25" w14:textId="0C4584F4" w:rsidR="00291953" w:rsidRPr="00291953" w:rsidRDefault="00291953" w:rsidP="00291953">
      <w:pPr>
        <w:ind w:firstLine="720"/>
        <w:rPr>
          <w:b w:val="0"/>
          <w:bCs w:val="0"/>
        </w:rPr>
      </w:pPr>
      <w:r w:rsidRPr="00291953">
        <w:rPr>
          <w:b w:val="0"/>
          <w:bCs w:val="0"/>
        </w:rPr>
        <w:t>The key characteristics of GDPR 2018 are linked to its seven principles that enforce policies on collecting and processing consumers' personal data by businesses and organizations. The seven principles include data minimization, integrity, and confidentiality (security); purpose limitation; accuracy; lawfulness, fairness, and transparency; accuracy and accountability</w:t>
      </w:r>
      <w:r w:rsidR="00C95014">
        <w:rPr>
          <w:b w:val="0"/>
          <w:bCs w:val="0"/>
        </w:rPr>
        <w:t xml:space="preserve"> (</w:t>
      </w:r>
      <w:r w:rsidR="00C95014" w:rsidRPr="00C95014">
        <w:rPr>
          <w:b w:val="0"/>
          <w:bCs w:val="0"/>
        </w:rPr>
        <w:t>Walker</w:t>
      </w:r>
      <w:r w:rsidR="00C95014">
        <w:rPr>
          <w:b w:val="0"/>
          <w:bCs w:val="0"/>
        </w:rPr>
        <w:t>, 2020)</w:t>
      </w:r>
      <w:r w:rsidRPr="00291953">
        <w:rPr>
          <w:b w:val="0"/>
          <w:bCs w:val="0"/>
        </w:rPr>
        <w:t>. The key features include jurisdiction, rights of data subjects, obligations on the data controllers or processors, data protection officers, and penalties.</w:t>
      </w:r>
    </w:p>
    <w:p w14:paraId="25A7E206" w14:textId="12C9D10B" w:rsidR="000A5453" w:rsidRDefault="00291953" w:rsidP="00291953">
      <w:pPr>
        <w:ind w:firstLine="720"/>
        <w:rPr>
          <w:b w:val="0"/>
          <w:bCs w:val="0"/>
        </w:rPr>
      </w:pPr>
      <w:r w:rsidRPr="00291953">
        <w:rPr>
          <w:b w:val="0"/>
          <w:bCs w:val="0"/>
        </w:rPr>
        <w:t>The CPRA has a similar scope to the GDPR because both apply to profitable business entities handling consumers' personal data</w:t>
      </w:r>
      <w:r w:rsidR="00AE7F4C">
        <w:rPr>
          <w:b w:val="0"/>
          <w:bCs w:val="0"/>
        </w:rPr>
        <w:t xml:space="preserve"> (Dhar, 2021)</w:t>
      </w:r>
      <w:r w:rsidRPr="00291953">
        <w:rPr>
          <w:b w:val="0"/>
          <w:bCs w:val="0"/>
        </w:rPr>
        <w:t>. They also share numerous characteristics. The key characteristics of CPRA are the data collection notice to targeted consumers and privacy policy</w:t>
      </w:r>
      <w:r w:rsidR="005104E1">
        <w:rPr>
          <w:b w:val="0"/>
          <w:bCs w:val="0"/>
        </w:rPr>
        <w:t xml:space="preserve"> (Walker, 202</w:t>
      </w:r>
      <w:r w:rsidR="00C27D0C">
        <w:rPr>
          <w:b w:val="0"/>
          <w:bCs w:val="0"/>
        </w:rPr>
        <w:t>0</w:t>
      </w:r>
      <w:r w:rsidR="005104E1">
        <w:rPr>
          <w:b w:val="0"/>
          <w:bCs w:val="0"/>
        </w:rPr>
        <w:t>)</w:t>
      </w:r>
      <w:r w:rsidRPr="00291953">
        <w:rPr>
          <w:b w:val="0"/>
          <w:bCs w:val="0"/>
        </w:rPr>
        <w:t xml:space="preserve">. The collection notice requires businesses to give the consumers prior notice to inform them that their personal data will be collected. Another </w:t>
      </w:r>
      <w:r w:rsidRPr="00291953">
        <w:rPr>
          <w:b w:val="0"/>
          <w:bCs w:val="0"/>
        </w:rPr>
        <w:lastRenderedPageBreak/>
        <w:t>feature of the CPRA is customers' rights under the CPRA, which ensures that consumers' privacy rights are protected during data collection.</w:t>
      </w:r>
    </w:p>
    <w:p w14:paraId="34D9079A" w14:textId="5FBDB85C" w:rsidR="006546C3" w:rsidRDefault="006546C3" w:rsidP="00D30750">
      <w:pPr>
        <w:ind w:firstLine="720"/>
        <w:rPr>
          <w:b w:val="0"/>
          <w:bCs w:val="0"/>
        </w:rPr>
      </w:pPr>
      <w:r>
        <w:rPr>
          <w:b w:val="0"/>
          <w:bCs w:val="0"/>
        </w:rPr>
        <w:t xml:space="preserve">The </w:t>
      </w:r>
      <w:r w:rsidR="0042398C">
        <w:rPr>
          <w:b w:val="0"/>
          <w:bCs w:val="0"/>
        </w:rPr>
        <w:t>CPRA 2020 provides the following rights to the consumers within</w:t>
      </w:r>
      <w:r w:rsidR="00BA27B8">
        <w:rPr>
          <w:b w:val="0"/>
          <w:bCs w:val="0"/>
        </w:rPr>
        <w:t xml:space="preserve"> EU</w:t>
      </w:r>
      <w:r>
        <w:rPr>
          <w:b w:val="0"/>
          <w:bCs w:val="0"/>
        </w:rPr>
        <w:t xml:space="preserve">: </w:t>
      </w:r>
    </w:p>
    <w:p w14:paraId="29FC9365" w14:textId="11C0736E" w:rsidR="001742E5" w:rsidRPr="00B25FC7" w:rsidRDefault="00B25FC7" w:rsidP="0039504C">
      <w:pPr>
        <w:pStyle w:val="ListParagraph"/>
        <w:numPr>
          <w:ilvl w:val="0"/>
          <w:numId w:val="3"/>
        </w:numPr>
        <w:contextualSpacing w:val="0"/>
        <w:rPr>
          <w:b w:val="0"/>
          <w:bCs w:val="0"/>
        </w:rPr>
      </w:pPr>
      <w:r w:rsidRPr="00B25FC7">
        <w:rPr>
          <w:b w:val="0"/>
          <w:bCs w:val="0"/>
        </w:rPr>
        <w:t>Right to delete personal information</w:t>
      </w:r>
    </w:p>
    <w:p w14:paraId="59AF41E3" w14:textId="2C3618C6" w:rsidR="001742E5" w:rsidRPr="00B25FC7" w:rsidRDefault="00B25FC7" w:rsidP="0039504C">
      <w:pPr>
        <w:pStyle w:val="ListParagraph"/>
        <w:numPr>
          <w:ilvl w:val="0"/>
          <w:numId w:val="3"/>
        </w:numPr>
        <w:contextualSpacing w:val="0"/>
        <w:rPr>
          <w:b w:val="0"/>
          <w:bCs w:val="0"/>
        </w:rPr>
      </w:pPr>
      <w:r w:rsidRPr="00B25FC7">
        <w:rPr>
          <w:b w:val="0"/>
          <w:bCs w:val="0"/>
        </w:rPr>
        <w:t>Right to correct inaccurate personal information</w:t>
      </w:r>
      <w:r w:rsidR="00CA5D43">
        <w:rPr>
          <w:b w:val="0"/>
          <w:bCs w:val="0"/>
        </w:rPr>
        <w:t xml:space="preserve"> (new)</w:t>
      </w:r>
    </w:p>
    <w:p w14:paraId="337F8426" w14:textId="1E287C0A" w:rsidR="001742E5" w:rsidRPr="00B25FC7" w:rsidRDefault="00B25FC7" w:rsidP="0039504C">
      <w:pPr>
        <w:pStyle w:val="ListParagraph"/>
        <w:numPr>
          <w:ilvl w:val="0"/>
          <w:numId w:val="3"/>
        </w:numPr>
        <w:contextualSpacing w:val="0"/>
        <w:rPr>
          <w:b w:val="0"/>
          <w:bCs w:val="0"/>
        </w:rPr>
      </w:pPr>
      <w:r w:rsidRPr="00B25FC7">
        <w:rPr>
          <w:b w:val="0"/>
          <w:bCs w:val="0"/>
        </w:rPr>
        <w:t>Right to know what personal information is being collected</w:t>
      </w:r>
    </w:p>
    <w:p w14:paraId="3DFD61BF" w14:textId="22CA2832" w:rsidR="001742E5" w:rsidRPr="00B25FC7" w:rsidRDefault="00B25FC7" w:rsidP="0039504C">
      <w:pPr>
        <w:pStyle w:val="ListParagraph"/>
        <w:numPr>
          <w:ilvl w:val="0"/>
          <w:numId w:val="3"/>
        </w:numPr>
        <w:contextualSpacing w:val="0"/>
        <w:rPr>
          <w:b w:val="0"/>
          <w:bCs w:val="0"/>
        </w:rPr>
      </w:pPr>
      <w:r w:rsidRPr="00B25FC7">
        <w:rPr>
          <w:b w:val="0"/>
          <w:bCs w:val="0"/>
        </w:rPr>
        <w:t>Right to access personal information</w:t>
      </w:r>
    </w:p>
    <w:p w14:paraId="3C9BC237" w14:textId="02926235" w:rsidR="001742E5" w:rsidRPr="00B25FC7" w:rsidRDefault="00B25FC7" w:rsidP="0039504C">
      <w:pPr>
        <w:pStyle w:val="ListParagraph"/>
        <w:numPr>
          <w:ilvl w:val="0"/>
          <w:numId w:val="3"/>
        </w:numPr>
        <w:contextualSpacing w:val="0"/>
        <w:rPr>
          <w:b w:val="0"/>
          <w:bCs w:val="0"/>
        </w:rPr>
      </w:pPr>
      <w:r w:rsidRPr="00B25FC7">
        <w:rPr>
          <w:b w:val="0"/>
          <w:bCs w:val="0"/>
        </w:rPr>
        <w:t>Right to know what personal information is sold or shared and to whom</w:t>
      </w:r>
    </w:p>
    <w:p w14:paraId="3E768C0D" w14:textId="1C120905" w:rsidR="001742E5" w:rsidRPr="00B25FC7" w:rsidRDefault="00B25FC7" w:rsidP="0039504C">
      <w:pPr>
        <w:pStyle w:val="ListParagraph"/>
        <w:numPr>
          <w:ilvl w:val="0"/>
          <w:numId w:val="3"/>
        </w:numPr>
        <w:contextualSpacing w:val="0"/>
        <w:rPr>
          <w:b w:val="0"/>
          <w:bCs w:val="0"/>
        </w:rPr>
      </w:pPr>
      <w:r w:rsidRPr="00B25FC7">
        <w:rPr>
          <w:b w:val="0"/>
          <w:bCs w:val="0"/>
        </w:rPr>
        <w:t>Right to opt out of sale or sharing of personal information</w:t>
      </w:r>
      <w:r w:rsidR="008305D2">
        <w:rPr>
          <w:b w:val="0"/>
          <w:bCs w:val="0"/>
        </w:rPr>
        <w:t xml:space="preserve"> (new)</w:t>
      </w:r>
    </w:p>
    <w:p w14:paraId="64E7A0EB" w14:textId="0D862790" w:rsidR="001742E5" w:rsidRPr="00B25FC7" w:rsidRDefault="00B25FC7" w:rsidP="0039504C">
      <w:pPr>
        <w:pStyle w:val="ListParagraph"/>
        <w:numPr>
          <w:ilvl w:val="0"/>
          <w:numId w:val="3"/>
        </w:numPr>
        <w:contextualSpacing w:val="0"/>
        <w:rPr>
          <w:b w:val="0"/>
          <w:bCs w:val="0"/>
        </w:rPr>
      </w:pPr>
      <w:r w:rsidRPr="00B25FC7">
        <w:rPr>
          <w:b w:val="0"/>
          <w:bCs w:val="0"/>
        </w:rPr>
        <w:t>Right to limit use and disclosure of sensitive personal information</w:t>
      </w:r>
      <w:r w:rsidR="00CA59F3">
        <w:rPr>
          <w:b w:val="0"/>
          <w:bCs w:val="0"/>
        </w:rPr>
        <w:t xml:space="preserve"> (new)</w:t>
      </w:r>
    </w:p>
    <w:p w14:paraId="571E674C" w14:textId="2AB050B7" w:rsidR="001742E5" w:rsidRPr="00B25FC7" w:rsidRDefault="00B25FC7" w:rsidP="0039504C">
      <w:pPr>
        <w:pStyle w:val="ListParagraph"/>
        <w:numPr>
          <w:ilvl w:val="0"/>
          <w:numId w:val="3"/>
        </w:numPr>
        <w:contextualSpacing w:val="0"/>
        <w:rPr>
          <w:b w:val="0"/>
          <w:bCs w:val="0"/>
        </w:rPr>
      </w:pPr>
      <w:r w:rsidRPr="00B25FC7">
        <w:rPr>
          <w:b w:val="0"/>
          <w:bCs w:val="0"/>
        </w:rPr>
        <w:t>Right of no retaliation following opt out or exercise of other right</w:t>
      </w:r>
    </w:p>
    <w:p w14:paraId="4152D6C9" w14:textId="70E93CC1" w:rsidR="001E2F94" w:rsidRPr="00F74BE4" w:rsidRDefault="001E2F94" w:rsidP="00F74BE4">
      <w:pPr>
        <w:pStyle w:val="Heading2"/>
        <w:rPr>
          <w:rFonts w:ascii="Times New Roman" w:hAnsi="Times New Roman" w:cs="Times New Roman"/>
        </w:rPr>
      </w:pPr>
      <w:bookmarkStart w:id="5" w:name="_Toc109950680"/>
      <w:r w:rsidRPr="00F74BE4">
        <w:rPr>
          <w:rFonts w:ascii="Times New Roman" w:hAnsi="Times New Roman" w:cs="Times New Roman"/>
          <w:color w:val="auto"/>
          <w:sz w:val="24"/>
          <w:szCs w:val="24"/>
        </w:rPr>
        <w:t>1.4 History of CPRA and GDPR</w:t>
      </w:r>
      <w:bookmarkEnd w:id="5"/>
    </w:p>
    <w:p w14:paraId="3ECCB9BD" w14:textId="1AB50190" w:rsidR="008823D2" w:rsidRPr="004A3D3F" w:rsidRDefault="00C8792E" w:rsidP="004A3D3F">
      <w:pPr>
        <w:pStyle w:val="Heading3"/>
        <w:rPr>
          <w:rFonts w:ascii="Times New Roman" w:hAnsi="Times New Roman" w:cs="Times New Roman"/>
          <w:i/>
          <w:iCs/>
        </w:rPr>
      </w:pPr>
      <w:bookmarkStart w:id="6" w:name="_Toc109950681"/>
      <w:r w:rsidRPr="004A3D3F">
        <w:rPr>
          <w:rFonts w:ascii="Times New Roman" w:hAnsi="Times New Roman" w:cs="Times New Roman"/>
          <w:i/>
          <w:iCs/>
          <w:color w:val="auto"/>
        </w:rPr>
        <w:t>1.4.1 CPRA 2020</w:t>
      </w:r>
      <w:bookmarkEnd w:id="6"/>
    </w:p>
    <w:p w14:paraId="3975778B" w14:textId="41EE035E" w:rsidR="00415F12" w:rsidRPr="00415F12" w:rsidRDefault="00415F12" w:rsidP="00415F12">
      <w:pPr>
        <w:ind w:firstLine="720"/>
        <w:rPr>
          <w:b w:val="0"/>
          <w:bCs w:val="0"/>
        </w:rPr>
      </w:pPr>
      <w:r w:rsidRPr="00415F12">
        <w:rPr>
          <w:b w:val="0"/>
          <w:bCs w:val="0"/>
        </w:rPr>
        <w:t>CPRA 2020 is a privacy Act passed in California on November 3, 2020, to update the CCPA 2018 and strengthen the privacy rights of the citizens of California</w:t>
      </w:r>
      <w:r w:rsidR="004A2283">
        <w:rPr>
          <w:b w:val="0"/>
          <w:bCs w:val="0"/>
        </w:rPr>
        <w:t xml:space="preserve"> (</w:t>
      </w:r>
      <w:proofErr w:type="spellStart"/>
      <w:r w:rsidR="004A2283" w:rsidRPr="004A2283">
        <w:rPr>
          <w:b w:val="0"/>
          <w:bCs w:val="0"/>
        </w:rPr>
        <w:t>Determann</w:t>
      </w:r>
      <w:proofErr w:type="spellEnd"/>
      <w:r w:rsidR="004A2283">
        <w:rPr>
          <w:b w:val="0"/>
          <w:bCs w:val="0"/>
        </w:rPr>
        <w:t xml:space="preserve"> &amp; Tam, 2020)</w:t>
      </w:r>
      <w:r w:rsidRPr="00415F12">
        <w:rPr>
          <w:b w:val="0"/>
          <w:bCs w:val="0"/>
        </w:rPr>
        <w:t>. Alastair Mactaggart, a real estate developer who later became a leader of a consumers’ advocacy group in California, proposed the CPRA</w:t>
      </w:r>
      <w:r w:rsidR="008D0E13">
        <w:rPr>
          <w:b w:val="0"/>
          <w:bCs w:val="0"/>
        </w:rPr>
        <w:t xml:space="preserve"> (</w:t>
      </w:r>
      <w:r w:rsidR="008D0E13" w:rsidRPr="008D0E13">
        <w:rPr>
          <w:b w:val="0"/>
          <w:bCs w:val="0"/>
        </w:rPr>
        <w:t>Walker</w:t>
      </w:r>
      <w:r w:rsidR="008D0E13">
        <w:rPr>
          <w:b w:val="0"/>
          <w:bCs w:val="0"/>
        </w:rPr>
        <w:t>, 202</w:t>
      </w:r>
      <w:r w:rsidR="00C27D0C">
        <w:rPr>
          <w:b w:val="0"/>
          <w:bCs w:val="0"/>
        </w:rPr>
        <w:t>0</w:t>
      </w:r>
      <w:r w:rsidR="008D0E13">
        <w:rPr>
          <w:b w:val="0"/>
          <w:bCs w:val="0"/>
        </w:rPr>
        <w:t>)</w:t>
      </w:r>
      <w:r w:rsidRPr="00415F12">
        <w:rPr>
          <w:b w:val="0"/>
          <w:bCs w:val="0"/>
        </w:rPr>
        <w:t>. He was motivated by the growing privacy issues that Californian consumers faced from business entities that used their personal information in a manner that violated the CCPA. </w:t>
      </w:r>
    </w:p>
    <w:p w14:paraId="6A77E2BD" w14:textId="2BB2736A" w:rsidR="00415F12" w:rsidRPr="00415F12" w:rsidRDefault="00415F12" w:rsidP="00415F12">
      <w:pPr>
        <w:ind w:firstLine="720"/>
        <w:rPr>
          <w:b w:val="0"/>
          <w:bCs w:val="0"/>
        </w:rPr>
      </w:pPr>
      <w:r w:rsidRPr="00415F12">
        <w:rPr>
          <w:b w:val="0"/>
          <w:bCs w:val="0"/>
        </w:rPr>
        <w:t xml:space="preserve">Mactaggart’s proposition quickly drew the attention of the Californian lawmakers and activists who joined hands to amend the changes to the existing CCPA that was considered less </w:t>
      </w:r>
      <w:r w:rsidRPr="00415F12">
        <w:rPr>
          <w:b w:val="0"/>
          <w:bCs w:val="0"/>
        </w:rPr>
        <w:lastRenderedPageBreak/>
        <w:t>effective in protecting the consumers’ privacy rights</w:t>
      </w:r>
      <w:r w:rsidR="0052675E">
        <w:rPr>
          <w:b w:val="0"/>
          <w:bCs w:val="0"/>
        </w:rPr>
        <w:t xml:space="preserve"> (</w:t>
      </w:r>
      <w:proofErr w:type="spellStart"/>
      <w:r w:rsidR="0052675E" w:rsidRPr="0052675E">
        <w:rPr>
          <w:b w:val="0"/>
          <w:bCs w:val="0"/>
        </w:rPr>
        <w:t>Gamwell</w:t>
      </w:r>
      <w:proofErr w:type="spellEnd"/>
      <w:r w:rsidR="0052675E">
        <w:rPr>
          <w:b w:val="0"/>
          <w:bCs w:val="0"/>
        </w:rPr>
        <w:t>, 2022)</w:t>
      </w:r>
      <w:r w:rsidRPr="00415F12">
        <w:rPr>
          <w:b w:val="0"/>
          <w:bCs w:val="0"/>
        </w:rPr>
        <w:t>. California’s Senator, Bob Hertzberg, was also attracted to the proposition. The Senator urged Mactaggart to establish an initiative to people’s vote so that the CPRA could be passed through the ballot</w:t>
      </w:r>
      <w:r w:rsidR="007B37B9">
        <w:rPr>
          <w:b w:val="0"/>
          <w:bCs w:val="0"/>
        </w:rPr>
        <w:t xml:space="preserve"> (Walker, 202</w:t>
      </w:r>
      <w:r w:rsidR="00C27D0C">
        <w:rPr>
          <w:b w:val="0"/>
          <w:bCs w:val="0"/>
        </w:rPr>
        <w:t>0</w:t>
      </w:r>
      <w:r w:rsidR="007B37B9">
        <w:rPr>
          <w:b w:val="0"/>
          <w:bCs w:val="0"/>
        </w:rPr>
        <w:t>)</w:t>
      </w:r>
      <w:r w:rsidRPr="00415F12">
        <w:rPr>
          <w:b w:val="0"/>
          <w:bCs w:val="0"/>
        </w:rPr>
        <w:t>. Mactaggart responded by proposing the “California Privacy Rights Act” ballot initiative. The Act was finally passed on November 3, 2020, after being voted for.</w:t>
      </w:r>
    </w:p>
    <w:p w14:paraId="1442654C" w14:textId="0C4DE485" w:rsidR="00415F12" w:rsidRPr="00415F12" w:rsidRDefault="00415F12" w:rsidP="00415F12">
      <w:pPr>
        <w:ind w:firstLine="720"/>
        <w:rPr>
          <w:b w:val="0"/>
          <w:bCs w:val="0"/>
        </w:rPr>
      </w:pPr>
      <w:r w:rsidRPr="00415F12">
        <w:rPr>
          <w:b w:val="0"/>
          <w:bCs w:val="0"/>
        </w:rPr>
        <w:t>Although the CPRA 2020 will become fully operative on January 1, 2023, it was set into operation in January 2021</w:t>
      </w:r>
      <w:r w:rsidR="00CD242D">
        <w:rPr>
          <w:b w:val="0"/>
          <w:bCs w:val="0"/>
        </w:rPr>
        <w:t xml:space="preserve"> to block</w:t>
      </w:r>
      <w:r w:rsidRPr="00415F12">
        <w:rPr>
          <w:b w:val="0"/>
          <w:bCs w:val="0"/>
        </w:rPr>
        <w:t xml:space="preserve"> the passage of any subsequent laws that </w:t>
      </w:r>
      <w:r w:rsidR="00CD242D">
        <w:rPr>
          <w:b w:val="0"/>
          <w:bCs w:val="0"/>
        </w:rPr>
        <w:t xml:space="preserve">would conflict </w:t>
      </w:r>
      <w:r w:rsidRPr="00415F12">
        <w:rPr>
          <w:b w:val="0"/>
          <w:bCs w:val="0"/>
        </w:rPr>
        <w:t>with the privacy legislation</w:t>
      </w:r>
      <w:r w:rsidR="00810B37">
        <w:rPr>
          <w:b w:val="0"/>
          <w:bCs w:val="0"/>
        </w:rPr>
        <w:t xml:space="preserve"> (</w:t>
      </w:r>
      <w:proofErr w:type="spellStart"/>
      <w:r w:rsidR="00810B37" w:rsidRPr="00810B37">
        <w:rPr>
          <w:b w:val="0"/>
          <w:bCs w:val="0"/>
        </w:rPr>
        <w:t>Federman</w:t>
      </w:r>
      <w:proofErr w:type="spellEnd"/>
      <w:r w:rsidR="00810B37">
        <w:rPr>
          <w:b w:val="0"/>
          <w:bCs w:val="0"/>
        </w:rPr>
        <w:t>, 2020)</w:t>
      </w:r>
      <w:r w:rsidRPr="00415F12">
        <w:rPr>
          <w:b w:val="0"/>
          <w:bCs w:val="0"/>
        </w:rPr>
        <w:t>. In July 2021, the rulemaking process began, and in January 2022, a one-year reflection duration of the collected data started. CPRA 2020 was scheduled to complete its final regulations and get into full effect in January 2023</w:t>
      </w:r>
      <w:r w:rsidR="00C27D0C">
        <w:rPr>
          <w:b w:val="0"/>
          <w:bCs w:val="0"/>
        </w:rPr>
        <w:t xml:space="preserve"> (</w:t>
      </w:r>
      <w:proofErr w:type="spellStart"/>
      <w:r w:rsidR="00C27D0C" w:rsidRPr="00C27D0C">
        <w:rPr>
          <w:b w:val="0"/>
          <w:bCs w:val="0"/>
        </w:rPr>
        <w:t>Federman</w:t>
      </w:r>
      <w:proofErr w:type="spellEnd"/>
      <w:r w:rsidR="00C27D0C">
        <w:rPr>
          <w:b w:val="0"/>
          <w:bCs w:val="0"/>
        </w:rPr>
        <w:t>, 2020; Walker, 2020)</w:t>
      </w:r>
      <w:r w:rsidRPr="00415F12">
        <w:rPr>
          <w:b w:val="0"/>
          <w:bCs w:val="0"/>
        </w:rPr>
        <w:t>. The CPRA will become fully enforceable by the CPPA in July 2023.</w:t>
      </w:r>
    </w:p>
    <w:p w14:paraId="5234D905" w14:textId="004A175D" w:rsidR="00415F12" w:rsidRPr="00415F12" w:rsidRDefault="00415F12" w:rsidP="00415F12">
      <w:pPr>
        <w:ind w:firstLine="720"/>
        <w:rPr>
          <w:b w:val="0"/>
          <w:bCs w:val="0"/>
        </w:rPr>
      </w:pPr>
      <w:r w:rsidRPr="00415F12">
        <w:rPr>
          <w:b w:val="0"/>
          <w:bCs w:val="0"/>
        </w:rPr>
        <w:t>In addition to strengthening the rights of Californian citizens (consumers), the CPRA 2020 intended to tighten the business policies on collecting and using the consumers’ personal information</w:t>
      </w:r>
      <w:r w:rsidR="00B3557A">
        <w:rPr>
          <w:b w:val="0"/>
          <w:bCs w:val="0"/>
        </w:rPr>
        <w:t xml:space="preserve"> (</w:t>
      </w:r>
      <w:proofErr w:type="spellStart"/>
      <w:r w:rsidR="00B3557A" w:rsidRPr="00B3557A">
        <w:rPr>
          <w:b w:val="0"/>
          <w:bCs w:val="0"/>
        </w:rPr>
        <w:t>Federman</w:t>
      </w:r>
      <w:proofErr w:type="spellEnd"/>
      <w:r w:rsidR="00B3557A">
        <w:rPr>
          <w:b w:val="0"/>
          <w:bCs w:val="0"/>
        </w:rPr>
        <w:t>, 2020)</w:t>
      </w:r>
      <w:r w:rsidRPr="00415F12">
        <w:rPr>
          <w:b w:val="0"/>
          <w:bCs w:val="0"/>
        </w:rPr>
        <w:t>. The Act was expected to offer a state-wide legal enforcement framework for addressing the privacy violation issues affecting Californian consumers.</w:t>
      </w:r>
    </w:p>
    <w:p w14:paraId="50766870" w14:textId="77777777" w:rsidR="00415F12" w:rsidRPr="00590CC6" w:rsidRDefault="00415F12" w:rsidP="00E74E01">
      <w:pPr>
        <w:pStyle w:val="Heading3"/>
        <w:rPr>
          <w:rFonts w:ascii="Times New Roman" w:hAnsi="Times New Roman" w:cs="Times New Roman"/>
          <w:i/>
          <w:iCs/>
        </w:rPr>
      </w:pPr>
      <w:bookmarkStart w:id="7" w:name="_Toc109950682"/>
      <w:r w:rsidRPr="00590CC6">
        <w:rPr>
          <w:rFonts w:ascii="Times New Roman" w:hAnsi="Times New Roman" w:cs="Times New Roman"/>
          <w:i/>
          <w:iCs/>
          <w:color w:val="auto"/>
        </w:rPr>
        <w:t>1.4.2 GDPR</w:t>
      </w:r>
      <w:bookmarkEnd w:id="7"/>
    </w:p>
    <w:p w14:paraId="69915F6F" w14:textId="5341AE2A" w:rsidR="00415F12" w:rsidRPr="00415F12" w:rsidRDefault="00415F12" w:rsidP="00415F12">
      <w:pPr>
        <w:ind w:firstLine="720"/>
        <w:rPr>
          <w:b w:val="0"/>
          <w:bCs w:val="0"/>
        </w:rPr>
      </w:pPr>
      <w:r w:rsidRPr="00415F12">
        <w:rPr>
          <w:b w:val="0"/>
          <w:bCs w:val="0"/>
        </w:rPr>
        <w:t>EU’s GDPR 2018 started as the European Data Protection Directive that was adopted on October 24, 1995, to protect individuals in terms of collecting, processing, and sharing personal data by business entities</w:t>
      </w:r>
      <w:r w:rsidR="005E4554">
        <w:rPr>
          <w:b w:val="0"/>
          <w:bCs w:val="0"/>
        </w:rPr>
        <w:t xml:space="preserve"> </w:t>
      </w:r>
      <w:r w:rsidR="005E4554" w:rsidRPr="005E4554">
        <w:rPr>
          <w:b w:val="0"/>
          <w:bCs w:val="0"/>
        </w:rPr>
        <w:t xml:space="preserve">(Mondschein &amp; </w:t>
      </w:r>
      <w:proofErr w:type="spellStart"/>
      <w:r w:rsidR="005E4554" w:rsidRPr="005E4554">
        <w:rPr>
          <w:b w:val="0"/>
          <w:bCs w:val="0"/>
        </w:rPr>
        <w:t>Monda</w:t>
      </w:r>
      <w:proofErr w:type="spellEnd"/>
      <w:r w:rsidR="005E4554" w:rsidRPr="005E4554">
        <w:rPr>
          <w:b w:val="0"/>
          <w:bCs w:val="0"/>
        </w:rPr>
        <w:t>, 2019)</w:t>
      </w:r>
      <w:r w:rsidRPr="00415F12">
        <w:rPr>
          <w:b w:val="0"/>
          <w:bCs w:val="0"/>
        </w:rPr>
        <w:t>. The aim was to reinforce the consumers’ confidence by strictly protecting their private data from unethical use by businesses. On June 22, 2011, the European Data Protection Supervisor published the European Commission’s Communication opinion, allowing member states to provide opinions for revising the existing Directive</w:t>
      </w:r>
      <w:r w:rsidR="00806FE3">
        <w:rPr>
          <w:b w:val="0"/>
          <w:bCs w:val="0"/>
        </w:rPr>
        <w:t xml:space="preserve"> </w:t>
      </w:r>
      <w:r w:rsidR="00806FE3" w:rsidRPr="00806FE3">
        <w:rPr>
          <w:b w:val="0"/>
          <w:bCs w:val="0"/>
        </w:rPr>
        <w:t>(Regulation, 2018)</w:t>
      </w:r>
      <w:r w:rsidRPr="00415F12">
        <w:rPr>
          <w:b w:val="0"/>
          <w:bCs w:val="0"/>
        </w:rPr>
        <w:t xml:space="preserve">. The opinions helped update the EU regulations and </w:t>
      </w:r>
      <w:proofErr w:type="spellStart"/>
      <w:r w:rsidRPr="00415F12">
        <w:rPr>
          <w:b w:val="0"/>
          <w:bCs w:val="0"/>
        </w:rPr>
        <w:t>ePrivacy</w:t>
      </w:r>
      <w:proofErr w:type="spellEnd"/>
      <w:r w:rsidRPr="00415F12">
        <w:rPr>
          <w:b w:val="0"/>
          <w:bCs w:val="0"/>
        </w:rPr>
        <w:t xml:space="preserve"> </w:t>
      </w:r>
      <w:r w:rsidRPr="00415F12">
        <w:rPr>
          <w:b w:val="0"/>
          <w:bCs w:val="0"/>
        </w:rPr>
        <w:lastRenderedPageBreak/>
        <w:t>Directive that controlled the confidentiality of communications and use of cookies by business entities</w:t>
      </w:r>
      <w:r w:rsidR="00993D2E">
        <w:rPr>
          <w:b w:val="0"/>
          <w:bCs w:val="0"/>
        </w:rPr>
        <w:t xml:space="preserve"> </w:t>
      </w:r>
      <w:r w:rsidR="00993D2E" w:rsidRPr="00993D2E">
        <w:rPr>
          <w:b w:val="0"/>
          <w:bCs w:val="0"/>
        </w:rPr>
        <w:t>(Regulation, 2018)</w:t>
      </w:r>
      <w:r w:rsidRPr="00415F12">
        <w:rPr>
          <w:b w:val="0"/>
          <w:bCs w:val="0"/>
        </w:rPr>
        <w:t>. The revised regulation strengthened the privacy policies on collecting and processing the personal data of individuals by businesses.</w:t>
      </w:r>
    </w:p>
    <w:p w14:paraId="090721DC" w14:textId="2903A467" w:rsidR="00415F12" w:rsidRPr="00415F12" w:rsidRDefault="00415F12" w:rsidP="00415F12">
      <w:pPr>
        <w:ind w:firstLine="720"/>
        <w:rPr>
          <w:b w:val="0"/>
          <w:bCs w:val="0"/>
        </w:rPr>
      </w:pPr>
      <w:r w:rsidRPr="00415F12">
        <w:rPr>
          <w:b w:val="0"/>
          <w:bCs w:val="0"/>
        </w:rPr>
        <w:t>On January 25, 2012, the European Commission proposed a comprehensive revision and reform of the Data Protection Directive of 1995</w:t>
      </w:r>
      <w:r w:rsidR="00CB396C">
        <w:rPr>
          <w:b w:val="0"/>
          <w:bCs w:val="0"/>
        </w:rPr>
        <w:t xml:space="preserve"> </w:t>
      </w:r>
      <w:r w:rsidR="00CB396C" w:rsidRPr="00CB396C">
        <w:rPr>
          <w:b w:val="0"/>
          <w:bCs w:val="0"/>
        </w:rPr>
        <w:t>(Regulation, 2018)</w:t>
      </w:r>
      <w:r w:rsidRPr="00415F12">
        <w:rPr>
          <w:b w:val="0"/>
          <w:bCs w:val="0"/>
        </w:rPr>
        <w:t>. This strategy was intended to strengthen the online privacy rights of individuals and enhance Europe’s digital economy. Accountability reforms were implemented in the EU’s Data Protection Regulation to hold businesses accountable for violating the privacy rights of individuals in the same year</w:t>
      </w:r>
      <w:r w:rsidR="00E27389">
        <w:rPr>
          <w:b w:val="0"/>
          <w:bCs w:val="0"/>
        </w:rPr>
        <w:t xml:space="preserve"> </w:t>
      </w:r>
      <w:r w:rsidR="00E27389" w:rsidRPr="00E27389">
        <w:rPr>
          <w:b w:val="0"/>
          <w:bCs w:val="0"/>
        </w:rPr>
        <w:t>(Regulation, 2018)</w:t>
      </w:r>
      <w:r w:rsidRPr="00415F12">
        <w:rPr>
          <w:b w:val="0"/>
          <w:bCs w:val="0"/>
        </w:rPr>
        <w:t>. Subsequently, the consent policy was implemented to direct organizations to seek the consent of individuals before collecting, processing, or sharing their personal data. In the case of children aged 13-16 years, organizations were directed to seek parental consent.</w:t>
      </w:r>
    </w:p>
    <w:p w14:paraId="71AAA40D" w14:textId="0FFAF408" w:rsidR="00415F12" w:rsidRPr="00415F12" w:rsidRDefault="00415F12" w:rsidP="00415F12">
      <w:pPr>
        <w:ind w:firstLine="720"/>
        <w:rPr>
          <w:b w:val="0"/>
          <w:bCs w:val="0"/>
        </w:rPr>
      </w:pPr>
      <w:r w:rsidRPr="00415F12">
        <w:rPr>
          <w:b w:val="0"/>
          <w:bCs w:val="0"/>
        </w:rPr>
        <w:t xml:space="preserve">In October 2012, the data breach notification policy was implemented in the data privacy regulation. </w:t>
      </w:r>
      <w:r w:rsidR="00B9273D">
        <w:rPr>
          <w:b w:val="0"/>
          <w:bCs w:val="0"/>
        </w:rPr>
        <w:t>According to Regulation</w:t>
      </w:r>
      <w:r w:rsidRPr="00415F12">
        <w:rPr>
          <w:b w:val="0"/>
          <w:bCs w:val="0"/>
        </w:rPr>
        <w:t xml:space="preserve"> </w:t>
      </w:r>
      <w:r w:rsidR="00B9273D">
        <w:rPr>
          <w:b w:val="0"/>
          <w:bCs w:val="0"/>
        </w:rPr>
        <w:t xml:space="preserve">(2018), </w:t>
      </w:r>
      <w:r w:rsidRPr="00415F12">
        <w:rPr>
          <w:b w:val="0"/>
          <w:bCs w:val="0"/>
        </w:rPr>
        <w:t>directed the organizations to report the data breaches to their data protection authorities within 72 hours and inform their affected consumers in certain scenarios. On March 12, 2014, the EU adopted the GDPR after the EU Parliament voted in favor of the regulation with 621 supporting votes, 10 opposing votes, and 22 abstained votes</w:t>
      </w:r>
      <w:r w:rsidR="00C15EFC">
        <w:rPr>
          <w:b w:val="0"/>
          <w:bCs w:val="0"/>
        </w:rPr>
        <w:t xml:space="preserve"> </w:t>
      </w:r>
      <w:r w:rsidR="00C15EFC" w:rsidRPr="00C15EFC">
        <w:rPr>
          <w:b w:val="0"/>
          <w:bCs w:val="0"/>
        </w:rPr>
        <w:t xml:space="preserve">(Mondschein &amp; </w:t>
      </w:r>
      <w:proofErr w:type="spellStart"/>
      <w:r w:rsidR="00C15EFC" w:rsidRPr="00C15EFC">
        <w:rPr>
          <w:b w:val="0"/>
          <w:bCs w:val="0"/>
        </w:rPr>
        <w:t>Monda</w:t>
      </w:r>
      <w:proofErr w:type="spellEnd"/>
      <w:r w:rsidR="00C15EFC" w:rsidRPr="00C15EFC">
        <w:rPr>
          <w:b w:val="0"/>
          <w:bCs w:val="0"/>
        </w:rPr>
        <w:t>, 2019)</w:t>
      </w:r>
      <w:r w:rsidRPr="00415F12">
        <w:rPr>
          <w:b w:val="0"/>
          <w:bCs w:val="0"/>
        </w:rPr>
        <w:t>. On June 15, 2015, the EU Council agreed that the European Data Protection Board (EDPB) would replace the existing panel. EDPB’s supervisor was given the secretariat role over the newly established independent governing body.</w:t>
      </w:r>
    </w:p>
    <w:p w14:paraId="3A646A3A" w14:textId="48043355" w:rsidR="00415F12" w:rsidRPr="00415F12" w:rsidRDefault="00415F12" w:rsidP="00415F12">
      <w:pPr>
        <w:ind w:firstLine="720"/>
        <w:rPr>
          <w:b w:val="0"/>
          <w:bCs w:val="0"/>
        </w:rPr>
      </w:pPr>
      <w:r w:rsidRPr="00415F12">
        <w:rPr>
          <w:b w:val="0"/>
          <w:bCs w:val="0"/>
        </w:rPr>
        <w:t>In July 2015, EDPB’s supervisor published a recommendation to the EU co-legislators to negotiate the final text of the GDPR and compared it with the Council and Parliament’s reports. The commission, parliament, and the council finally agreed on the final text on December 15, 2015</w:t>
      </w:r>
      <w:r w:rsidR="001D377F">
        <w:rPr>
          <w:b w:val="0"/>
          <w:bCs w:val="0"/>
        </w:rPr>
        <w:t xml:space="preserve"> </w:t>
      </w:r>
      <w:r w:rsidR="001D377F" w:rsidRPr="001D377F">
        <w:rPr>
          <w:b w:val="0"/>
          <w:bCs w:val="0"/>
        </w:rPr>
        <w:t xml:space="preserve">(Mondschein &amp; </w:t>
      </w:r>
      <w:proofErr w:type="spellStart"/>
      <w:r w:rsidR="001D377F" w:rsidRPr="001D377F">
        <w:rPr>
          <w:b w:val="0"/>
          <w:bCs w:val="0"/>
        </w:rPr>
        <w:t>Monda</w:t>
      </w:r>
      <w:proofErr w:type="spellEnd"/>
      <w:r w:rsidR="001D377F" w:rsidRPr="001D377F">
        <w:rPr>
          <w:b w:val="0"/>
          <w:bCs w:val="0"/>
        </w:rPr>
        <w:t>, 2019)</w:t>
      </w:r>
      <w:r w:rsidRPr="00415F12">
        <w:rPr>
          <w:b w:val="0"/>
          <w:bCs w:val="0"/>
        </w:rPr>
        <w:t xml:space="preserve">. On February 2, 2016, an action plan was issued in </w:t>
      </w:r>
      <w:r w:rsidRPr="00415F12">
        <w:rPr>
          <w:b w:val="0"/>
          <w:bCs w:val="0"/>
        </w:rPr>
        <w:lastRenderedPageBreak/>
        <w:t>preparation for the implementation of the regulation. The EU’s GDPR was finally adopted on April 27, 2016, and became operative 20 days after being published in the EU’s official journal</w:t>
      </w:r>
      <w:r w:rsidR="00965F78">
        <w:rPr>
          <w:b w:val="0"/>
          <w:bCs w:val="0"/>
        </w:rPr>
        <w:t xml:space="preserve"> </w:t>
      </w:r>
      <w:r w:rsidR="00965F78" w:rsidRPr="00965F78">
        <w:rPr>
          <w:b w:val="0"/>
          <w:bCs w:val="0"/>
        </w:rPr>
        <w:t>(Regulation, 2018)</w:t>
      </w:r>
      <w:r w:rsidRPr="00415F12">
        <w:rPr>
          <w:b w:val="0"/>
          <w:bCs w:val="0"/>
        </w:rPr>
        <w:t>. Additional amendments were made to the GDPR on data protection, privacy, electronic communications, and corrigendum. On May 25, 2018, the Data Protection Officer was appointed, and GDPR became fully effective.</w:t>
      </w:r>
    </w:p>
    <w:p w14:paraId="394C154D" w14:textId="77777777" w:rsidR="00415F12" w:rsidRPr="00FB0160" w:rsidRDefault="00415F12" w:rsidP="00CD7BCA">
      <w:pPr>
        <w:pStyle w:val="Heading1"/>
      </w:pPr>
      <w:bookmarkStart w:id="8" w:name="_Toc109950683"/>
      <w:r w:rsidRPr="00FB0160">
        <w:t>2. Comparative Analysis</w:t>
      </w:r>
      <w:bookmarkEnd w:id="8"/>
    </w:p>
    <w:p w14:paraId="36DA09D5" w14:textId="77777777" w:rsidR="00415F12" w:rsidRPr="00FB0160" w:rsidRDefault="00415F12" w:rsidP="00FB0160">
      <w:pPr>
        <w:pStyle w:val="Heading2"/>
        <w:rPr>
          <w:rFonts w:ascii="Times New Roman" w:hAnsi="Times New Roman" w:cs="Times New Roman"/>
        </w:rPr>
      </w:pPr>
      <w:bookmarkStart w:id="9" w:name="_Toc109950684"/>
      <w:r w:rsidRPr="00FB0160">
        <w:rPr>
          <w:rFonts w:ascii="Times New Roman" w:hAnsi="Times New Roman" w:cs="Times New Roman"/>
          <w:color w:val="auto"/>
          <w:sz w:val="24"/>
          <w:szCs w:val="24"/>
        </w:rPr>
        <w:t>2.1 Study Method</w:t>
      </w:r>
      <w:bookmarkEnd w:id="9"/>
    </w:p>
    <w:p w14:paraId="3C287DCD" w14:textId="6ADFA62F" w:rsidR="00D70CC9" w:rsidRPr="001E2F94" w:rsidRDefault="00415F12" w:rsidP="00415F12">
      <w:pPr>
        <w:ind w:firstLine="720"/>
        <w:rPr>
          <w:b w:val="0"/>
          <w:bCs w:val="0"/>
        </w:rPr>
      </w:pPr>
      <w:r w:rsidRPr="00415F12">
        <w:rPr>
          <w:b w:val="0"/>
          <w:bCs w:val="0"/>
        </w:rPr>
        <w:t>A comparative analysis approach will be applied in this case to compare and contrast the GDPR 2018 and CPRA 2020 with the aim of establishing the similarities and differences. A side-by-side, tabular format will be used to perform the comparative analysis as provided below.</w:t>
      </w:r>
    </w:p>
    <w:p w14:paraId="200781B0" w14:textId="443F6A1F" w:rsidR="002F1C1B" w:rsidRPr="00EA79F5" w:rsidRDefault="001E2F94" w:rsidP="00EA79F5">
      <w:pPr>
        <w:pStyle w:val="Heading2"/>
        <w:rPr>
          <w:rFonts w:ascii="Times New Roman" w:hAnsi="Times New Roman" w:cs="Times New Roman"/>
        </w:rPr>
      </w:pPr>
      <w:bookmarkStart w:id="10" w:name="_Toc109950685"/>
      <w:r w:rsidRPr="00EA79F5">
        <w:rPr>
          <w:rFonts w:ascii="Times New Roman" w:hAnsi="Times New Roman" w:cs="Times New Roman"/>
          <w:color w:val="auto"/>
          <w:sz w:val="24"/>
          <w:szCs w:val="24"/>
        </w:rPr>
        <w:t>2.2 Study Results</w:t>
      </w:r>
      <w:r w:rsidR="00673CAF" w:rsidRPr="00EA79F5">
        <w:rPr>
          <w:rFonts w:ascii="Times New Roman" w:hAnsi="Times New Roman" w:cs="Times New Roman"/>
          <w:color w:val="auto"/>
          <w:sz w:val="24"/>
          <w:szCs w:val="24"/>
        </w:rPr>
        <w:t xml:space="preserve"> Analysis</w:t>
      </w:r>
      <w:bookmarkEnd w:id="10"/>
    </w:p>
    <w:p w14:paraId="2DB8C261" w14:textId="4BFA8791" w:rsidR="00EB0F1D" w:rsidRPr="000E4149" w:rsidRDefault="00EB0F1D" w:rsidP="00EA79F5">
      <w:pPr>
        <w:pStyle w:val="Heading3"/>
        <w:rPr>
          <w:rFonts w:ascii="Times New Roman" w:hAnsi="Times New Roman" w:cs="Times New Roman"/>
          <w:i/>
          <w:iCs/>
          <w:color w:val="auto"/>
        </w:rPr>
      </w:pPr>
      <w:bookmarkStart w:id="11" w:name="_Toc109950686"/>
      <w:r w:rsidRPr="000E4149">
        <w:rPr>
          <w:rFonts w:ascii="Times New Roman" w:hAnsi="Times New Roman" w:cs="Times New Roman"/>
          <w:i/>
          <w:iCs/>
          <w:color w:val="auto"/>
        </w:rPr>
        <w:t>2.2.1 Key Differences</w:t>
      </w:r>
      <w:bookmarkEnd w:id="11"/>
    </w:p>
    <w:tbl>
      <w:tblPr>
        <w:tblStyle w:val="TableGrid"/>
        <w:tblW w:w="10345" w:type="dxa"/>
        <w:tblLook w:val="04A0" w:firstRow="1" w:lastRow="0" w:firstColumn="1" w:lastColumn="0" w:noHBand="0" w:noVBand="1"/>
      </w:tblPr>
      <w:tblGrid>
        <w:gridCol w:w="1563"/>
        <w:gridCol w:w="4659"/>
        <w:gridCol w:w="4123"/>
      </w:tblGrid>
      <w:tr w:rsidR="00C66400" w:rsidRPr="00647FAE" w14:paraId="431A9D65" w14:textId="77777777" w:rsidTr="00BD128F">
        <w:trPr>
          <w:trHeight w:val="438"/>
        </w:trPr>
        <w:tc>
          <w:tcPr>
            <w:tcW w:w="1563" w:type="dxa"/>
          </w:tcPr>
          <w:p w14:paraId="23376344" w14:textId="04E9A289" w:rsidR="00C66400" w:rsidRPr="00647FAE" w:rsidRDefault="00C66400" w:rsidP="00100341">
            <w:pPr>
              <w:spacing w:after="120" w:line="276" w:lineRule="auto"/>
            </w:pPr>
            <w:r w:rsidRPr="00647FAE">
              <w:t>Subject</w:t>
            </w:r>
          </w:p>
        </w:tc>
        <w:tc>
          <w:tcPr>
            <w:tcW w:w="4659" w:type="dxa"/>
          </w:tcPr>
          <w:p w14:paraId="1EE7F5A2" w14:textId="27C6D32A" w:rsidR="00C66400" w:rsidRPr="00647FAE" w:rsidRDefault="00C66400" w:rsidP="00100341">
            <w:pPr>
              <w:spacing w:after="120" w:line="276" w:lineRule="auto"/>
            </w:pPr>
            <w:r w:rsidRPr="00647FAE">
              <w:t>GDPR 2018</w:t>
            </w:r>
          </w:p>
        </w:tc>
        <w:tc>
          <w:tcPr>
            <w:tcW w:w="4123" w:type="dxa"/>
          </w:tcPr>
          <w:p w14:paraId="43C6F7BB" w14:textId="48B62755" w:rsidR="00C66400" w:rsidRPr="00647FAE" w:rsidRDefault="00C66400" w:rsidP="00100341">
            <w:pPr>
              <w:spacing w:after="120" w:line="276" w:lineRule="auto"/>
            </w:pPr>
            <w:r w:rsidRPr="00647FAE">
              <w:t>CPRA 2020</w:t>
            </w:r>
          </w:p>
        </w:tc>
      </w:tr>
      <w:tr w:rsidR="00C66400" w:rsidRPr="00647FAE" w14:paraId="31E695DF" w14:textId="77777777" w:rsidTr="00BD128F">
        <w:trPr>
          <w:trHeight w:val="438"/>
        </w:trPr>
        <w:tc>
          <w:tcPr>
            <w:tcW w:w="1563" w:type="dxa"/>
          </w:tcPr>
          <w:p w14:paraId="6535CC08" w14:textId="1D9BE7CA" w:rsidR="00C66400" w:rsidRPr="00647FAE" w:rsidRDefault="004653DC" w:rsidP="00100341">
            <w:pPr>
              <w:spacing w:after="120" w:line="276" w:lineRule="auto"/>
              <w:rPr>
                <w:b w:val="0"/>
                <w:bCs w:val="0"/>
              </w:rPr>
            </w:pPr>
            <w:r>
              <w:rPr>
                <w:b w:val="0"/>
                <w:bCs w:val="0"/>
              </w:rPr>
              <w:t>Applicability</w:t>
            </w:r>
          </w:p>
        </w:tc>
        <w:tc>
          <w:tcPr>
            <w:tcW w:w="4659" w:type="dxa"/>
          </w:tcPr>
          <w:p w14:paraId="3407B8C2" w14:textId="0D808F82" w:rsidR="000049D0" w:rsidRDefault="000049D0" w:rsidP="00100341">
            <w:pPr>
              <w:pStyle w:val="ListParagraph"/>
              <w:numPr>
                <w:ilvl w:val="0"/>
                <w:numId w:val="5"/>
              </w:numPr>
              <w:spacing w:after="120" w:line="276" w:lineRule="auto"/>
              <w:ind w:left="160" w:hanging="180"/>
              <w:rPr>
                <w:b w:val="0"/>
                <w:bCs w:val="0"/>
              </w:rPr>
            </w:pPr>
            <w:r>
              <w:rPr>
                <w:b w:val="0"/>
                <w:bCs w:val="0"/>
              </w:rPr>
              <w:t>Effective from May 25, 2018.</w:t>
            </w:r>
          </w:p>
          <w:p w14:paraId="28E21897" w14:textId="63B2E3AB" w:rsidR="00FE1EA1" w:rsidRDefault="00B3510F" w:rsidP="00100341">
            <w:pPr>
              <w:pStyle w:val="ListParagraph"/>
              <w:numPr>
                <w:ilvl w:val="0"/>
                <w:numId w:val="5"/>
              </w:numPr>
              <w:spacing w:after="120" w:line="276" w:lineRule="auto"/>
              <w:ind w:left="160" w:hanging="180"/>
              <w:rPr>
                <w:b w:val="0"/>
                <w:bCs w:val="0"/>
              </w:rPr>
            </w:pPr>
            <w:r>
              <w:rPr>
                <w:b w:val="0"/>
                <w:bCs w:val="0"/>
              </w:rPr>
              <w:t>Applies to organizations that process personal data of consumers within EU jurisdiction</w:t>
            </w:r>
            <w:r w:rsidR="008E13AC">
              <w:rPr>
                <w:b w:val="0"/>
                <w:bCs w:val="0"/>
              </w:rPr>
              <w:t xml:space="preserve"> (Dhar, 2021)</w:t>
            </w:r>
            <w:r w:rsidR="00FE1EA1">
              <w:rPr>
                <w:b w:val="0"/>
                <w:bCs w:val="0"/>
              </w:rPr>
              <w:t>.</w:t>
            </w:r>
          </w:p>
          <w:p w14:paraId="14092151" w14:textId="2879D028" w:rsidR="001E20F7" w:rsidRDefault="00B644E3" w:rsidP="00100341">
            <w:pPr>
              <w:pStyle w:val="ListParagraph"/>
              <w:numPr>
                <w:ilvl w:val="0"/>
                <w:numId w:val="5"/>
              </w:numPr>
              <w:spacing w:after="120" w:line="276" w:lineRule="auto"/>
              <w:ind w:left="160" w:hanging="180"/>
              <w:rPr>
                <w:b w:val="0"/>
                <w:bCs w:val="0"/>
              </w:rPr>
            </w:pPr>
            <w:r>
              <w:rPr>
                <w:b w:val="0"/>
                <w:bCs w:val="0"/>
              </w:rPr>
              <w:t>A</w:t>
            </w:r>
            <w:r w:rsidR="00FE1EA1">
              <w:rPr>
                <w:b w:val="0"/>
                <w:bCs w:val="0"/>
              </w:rPr>
              <w:t xml:space="preserve">pplies to </w:t>
            </w:r>
            <w:r w:rsidR="00935550">
              <w:rPr>
                <w:b w:val="0"/>
                <w:bCs w:val="0"/>
              </w:rPr>
              <w:t xml:space="preserve">processing </w:t>
            </w:r>
            <w:r w:rsidR="00FE1EA1">
              <w:rPr>
                <w:b w:val="0"/>
                <w:bCs w:val="0"/>
              </w:rPr>
              <w:t xml:space="preserve">of personal data of </w:t>
            </w:r>
            <w:r w:rsidR="00935550">
              <w:rPr>
                <w:b w:val="0"/>
                <w:bCs w:val="0"/>
              </w:rPr>
              <w:t xml:space="preserve">activities </w:t>
            </w:r>
            <w:r w:rsidR="00FE1EA1">
              <w:rPr>
                <w:b w:val="0"/>
                <w:bCs w:val="0"/>
              </w:rPr>
              <w:t xml:space="preserve">in the context of </w:t>
            </w:r>
            <w:r w:rsidR="00935550">
              <w:rPr>
                <w:b w:val="0"/>
                <w:bCs w:val="0"/>
              </w:rPr>
              <w:t>EU.</w:t>
            </w:r>
          </w:p>
          <w:p w14:paraId="56B9CB45" w14:textId="6780972D" w:rsidR="00413DFB" w:rsidRDefault="00A37871" w:rsidP="00100341">
            <w:pPr>
              <w:pStyle w:val="ListParagraph"/>
              <w:numPr>
                <w:ilvl w:val="0"/>
                <w:numId w:val="5"/>
              </w:numPr>
              <w:spacing w:after="120" w:line="276" w:lineRule="auto"/>
              <w:ind w:left="160" w:hanging="180"/>
              <w:rPr>
                <w:b w:val="0"/>
                <w:bCs w:val="0"/>
              </w:rPr>
            </w:pPr>
            <w:r>
              <w:rPr>
                <w:b w:val="0"/>
                <w:bCs w:val="0"/>
              </w:rPr>
              <w:t>Applies to processing activities of data controllers</w:t>
            </w:r>
            <w:r w:rsidR="00880837">
              <w:rPr>
                <w:b w:val="0"/>
                <w:bCs w:val="0"/>
              </w:rPr>
              <w:t xml:space="preserve"> and </w:t>
            </w:r>
            <w:r w:rsidR="00F21269">
              <w:rPr>
                <w:b w:val="0"/>
                <w:bCs w:val="0"/>
              </w:rPr>
              <w:t xml:space="preserve">data </w:t>
            </w:r>
            <w:r w:rsidR="00880837">
              <w:rPr>
                <w:b w:val="0"/>
                <w:bCs w:val="0"/>
              </w:rPr>
              <w:t xml:space="preserve">processors </w:t>
            </w:r>
            <w:r w:rsidR="00086285">
              <w:rPr>
                <w:b w:val="0"/>
                <w:bCs w:val="0"/>
              </w:rPr>
              <w:t xml:space="preserve">not based in the EU but their processing </w:t>
            </w:r>
            <w:r w:rsidR="001C604E">
              <w:rPr>
                <w:b w:val="0"/>
                <w:bCs w:val="0"/>
              </w:rPr>
              <w:t xml:space="preserve">or monitoring </w:t>
            </w:r>
            <w:r w:rsidR="008E4019">
              <w:rPr>
                <w:b w:val="0"/>
                <w:bCs w:val="0"/>
              </w:rPr>
              <w:t xml:space="preserve">activities </w:t>
            </w:r>
            <w:r w:rsidR="001C604E">
              <w:rPr>
                <w:b w:val="0"/>
                <w:bCs w:val="0"/>
              </w:rPr>
              <w:t xml:space="preserve">relate to provision of goods and services to individuals </w:t>
            </w:r>
            <w:r w:rsidR="00C455AB">
              <w:rPr>
                <w:b w:val="0"/>
                <w:bCs w:val="0"/>
              </w:rPr>
              <w:t>within</w:t>
            </w:r>
            <w:r w:rsidR="001C604E">
              <w:rPr>
                <w:b w:val="0"/>
                <w:bCs w:val="0"/>
              </w:rPr>
              <w:t xml:space="preserve"> EU</w:t>
            </w:r>
            <w:r w:rsidR="00A14A20">
              <w:rPr>
                <w:b w:val="0"/>
                <w:bCs w:val="0"/>
              </w:rPr>
              <w:t xml:space="preserve"> (Dhar, 2021)</w:t>
            </w:r>
            <w:r w:rsidR="001C604E">
              <w:rPr>
                <w:b w:val="0"/>
                <w:bCs w:val="0"/>
              </w:rPr>
              <w:t>.</w:t>
            </w:r>
          </w:p>
          <w:p w14:paraId="5BE14AFC" w14:textId="17A3E040" w:rsidR="00D959B3" w:rsidRPr="00413DFB" w:rsidRDefault="00D959B3" w:rsidP="00100341">
            <w:pPr>
              <w:pStyle w:val="ListParagraph"/>
              <w:numPr>
                <w:ilvl w:val="0"/>
                <w:numId w:val="5"/>
              </w:numPr>
              <w:spacing w:after="120" w:line="276" w:lineRule="auto"/>
              <w:ind w:left="160" w:hanging="180"/>
              <w:rPr>
                <w:b w:val="0"/>
                <w:bCs w:val="0"/>
              </w:rPr>
            </w:pPr>
            <w:r>
              <w:rPr>
                <w:b w:val="0"/>
                <w:bCs w:val="0"/>
              </w:rPr>
              <w:t>Protects personal data of the living individuals only.</w:t>
            </w:r>
          </w:p>
        </w:tc>
        <w:tc>
          <w:tcPr>
            <w:tcW w:w="4123" w:type="dxa"/>
          </w:tcPr>
          <w:p w14:paraId="71AE425F" w14:textId="2290AEA0" w:rsidR="000049D0" w:rsidRDefault="000049D0" w:rsidP="00100341">
            <w:pPr>
              <w:pStyle w:val="ListParagraph"/>
              <w:numPr>
                <w:ilvl w:val="0"/>
                <w:numId w:val="5"/>
              </w:numPr>
              <w:spacing w:after="120" w:line="276" w:lineRule="auto"/>
              <w:ind w:left="169" w:hanging="180"/>
              <w:rPr>
                <w:b w:val="0"/>
                <w:bCs w:val="0"/>
              </w:rPr>
            </w:pPr>
            <w:r>
              <w:rPr>
                <w:b w:val="0"/>
                <w:bCs w:val="0"/>
              </w:rPr>
              <w:t>Effective from January 1, 2023.</w:t>
            </w:r>
          </w:p>
          <w:p w14:paraId="2098C784" w14:textId="13F0518B" w:rsidR="00C66400" w:rsidRDefault="002E6E19" w:rsidP="00100341">
            <w:pPr>
              <w:pStyle w:val="ListParagraph"/>
              <w:numPr>
                <w:ilvl w:val="0"/>
                <w:numId w:val="5"/>
              </w:numPr>
              <w:spacing w:after="120" w:line="276" w:lineRule="auto"/>
              <w:ind w:left="169" w:hanging="180"/>
              <w:rPr>
                <w:b w:val="0"/>
                <w:bCs w:val="0"/>
              </w:rPr>
            </w:pPr>
            <w:r>
              <w:rPr>
                <w:b w:val="0"/>
                <w:bCs w:val="0"/>
              </w:rPr>
              <w:t xml:space="preserve">Applies only to profitable organizations that perform business in </w:t>
            </w:r>
            <w:r w:rsidR="005C6E08">
              <w:rPr>
                <w:b w:val="0"/>
                <w:bCs w:val="0"/>
              </w:rPr>
              <w:t>California</w:t>
            </w:r>
            <w:r w:rsidR="00E4195F">
              <w:rPr>
                <w:b w:val="0"/>
                <w:bCs w:val="0"/>
              </w:rPr>
              <w:t xml:space="preserve"> with at least $25 million </w:t>
            </w:r>
            <w:r w:rsidR="00595DFF">
              <w:rPr>
                <w:b w:val="0"/>
                <w:bCs w:val="0"/>
              </w:rPr>
              <w:t xml:space="preserve">annual </w:t>
            </w:r>
            <w:r w:rsidR="00E4195F">
              <w:rPr>
                <w:b w:val="0"/>
                <w:bCs w:val="0"/>
              </w:rPr>
              <w:t>gross revenue</w:t>
            </w:r>
            <w:r w:rsidR="005B64E0">
              <w:rPr>
                <w:b w:val="0"/>
                <w:bCs w:val="0"/>
              </w:rPr>
              <w:t>;</w:t>
            </w:r>
            <w:r w:rsidR="00E4195F">
              <w:rPr>
                <w:b w:val="0"/>
                <w:bCs w:val="0"/>
              </w:rPr>
              <w:t xml:space="preserve"> </w:t>
            </w:r>
            <w:r w:rsidR="005B64E0">
              <w:rPr>
                <w:b w:val="0"/>
                <w:bCs w:val="0"/>
              </w:rPr>
              <w:t>sell, buy or share personal data of at least 100,000</w:t>
            </w:r>
            <w:r w:rsidR="000914D0">
              <w:rPr>
                <w:b w:val="0"/>
                <w:bCs w:val="0"/>
              </w:rPr>
              <w:t xml:space="preserve"> Californian </w:t>
            </w:r>
            <w:r w:rsidR="00631DE3">
              <w:rPr>
                <w:b w:val="0"/>
                <w:bCs w:val="0"/>
              </w:rPr>
              <w:t>consumers</w:t>
            </w:r>
            <w:r w:rsidR="00F72D31">
              <w:rPr>
                <w:b w:val="0"/>
                <w:bCs w:val="0"/>
              </w:rPr>
              <w:t xml:space="preserve"> (Dhar, 2021)</w:t>
            </w:r>
            <w:r w:rsidR="00631DE3">
              <w:rPr>
                <w:b w:val="0"/>
                <w:bCs w:val="0"/>
              </w:rPr>
              <w:t>.</w:t>
            </w:r>
          </w:p>
          <w:p w14:paraId="4397FCD9" w14:textId="0B39DBD9" w:rsidR="0079445A" w:rsidRDefault="00C32098" w:rsidP="00100341">
            <w:pPr>
              <w:pStyle w:val="ListParagraph"/>
              <w:numPr>
                <w:ilvl w:val="0"/>
                <w:numId w:val="5"/>
              </w:numPr>
              <w:spacing w:after="120" w:line="276" w:lineRule="auto"/>
              <w:ind w:left="169" w:hanging="180"/>
              <w:rPr>
                <w:b w:val="0"/>
                <w:bCs w:val="0"/>
              </w:rPr>
            </w:pPr>
            <w:r>
              <w:rPr>
                <w:b w:val="0"/>
                <w:bCs w:val="0"/>
              </w:rPr>
              <w:t>A</w:t>
            </w:r>
            <w:r w:rsidR="0079445A">
              <w:rPr>
                <w:b w:val="0"/>
                <w:bCs w:val="0"/>
              </w:rPr>
              <w:t xml:space="preserve">pplies to joint venture partnership </w:t>
            </w:r>
            <w:r>
              <w:rPr>
                <w:b w:val="0"/>
                <w:bCs w:val="0"/>
              </w:rPr>
              <w:t xml:space="preserve">but </w:t>
            </w:r>
            <w:r w:rsidR="0079445A">
              <w:rPr>
                <w:b w:val="0"/>
                <w:bCs w:val="0"/>
              </w:rPr>
              <w:t xml:space="preserve">each organization </w:t>
            </w:r>
            <w:r>
              <w:rPr>
                <w:b w:val="0"/>
                <w:bCs w:val="0"/>
              </w:rPr>
              <w:t xml:space="preserve">must have </w:t>
            </w:r>
            <w:r w:rsidR="0079445A">
              <w:rPr>
                <w:b w:val="0"/>
                <w:bCs w:val="0"/>
              </w:rPr>
              <w:t>at least 40 percent interest</w:t>
            </w:r>
            <w:r w:rsidR="00FB3603">
              <w:rPr>
                <w:b w:val="0"/>
                <w:bCs w:val="0"/>
              </w:rPr>
              <w:t xml:space="preserve"> (Dhar, 2021)</w:t>
            </w:r>
            <w:r w:rsidR="0079445A">
              <w:rPr>
                <w:b w:val="0"/>
                <w:bCs w:val="0"/>
              </w:rPr>
              <w:t>.</w:t>
            </w:r>
          </w:p>
          <w:p w14:paraId="6D069DF4" w14:textId="0C3199B5" w:rsidR="00944BF3" w:rsidRPr="00265F4A" w:rsidRDefault="00944BF3" w:rsidP="00100341">
            <w:pPr>
              <w:pStyle w:val="ListParagraph"/>
              <w:numPr>
                <w:ilvl w:val="0"/>
                <w:numId w:val="5"/>
              </w:numPr>
              <w:spacing w:after="120" w:line="276" w:lineRule="auto"/>
              <w:ind w:left="169" w:hanging="180"/>
              <w:rPr>
                <w:b w:val="0"/>
                <w:bCs w:val="0"/>
              </w:rPr>
            </w:pPr>
            <w:r>
              <w:rPr>
                <w:b w:val="0"/>
                <w:bCs w:val="0"/>
              </w:rPr>
              <w:t>Protects personal data of both the living and the deceased individuals.</w:t>
            </w:r>
          </w:p>
        </w:tc>
      </w:tr>
      <w:tr w:rsidR="000A4E90" w:rsidRPr="00647FAE" w14:paraId="0834E9E6" w14:textId="77777777" w:rsidTr="00D63408">
        <w:trPr>
          <w:trHeight w:val="438"/>
        </w:trPr>
        <w:tc>
          <w:tcPr>
            <w:tcW w:w="1563" w:type="dxa"/>
          </w:tcPr>
          <w:p w14:paraId="33B9A78A" w14:textId="77777777" w:rsidR="000A4E90" w:rsidRDefault="000A4E90" w:rsidP="00100341">
            <w:pPr>
              <w:spacing w:after="120" w:line="276" w:lineRule="auto"/>
              <w:rPr>
                <w:b w:val="0"/>
                <w:bCs w:val="0"/>
              </w:rPr>
            </w:pPr>
            <w:r>
              <w:rPr>
                <w:b w:val="0"/>
                <w:bCs w:val="0"/>
              </w:rPr>
              <w:lastRenderedPageBreak/>
              <w:t>Right to access</w:t>
            </w:r>
          </w:p>
        </w:tc>
        <w:tc>
          <w:tcPr>
            <w:tcW w:w="4659" w:type="dxa"/>
          </w:tcPr>
          <w:p w14:paraId="745D2662" w14:textId="417D517B" w:rsidR="000A4E90" w:rsidRDefault="000A4E90" w:rsidP="00100341">
            <w:pPr>
              <w:pStyle w:val="ListParagraph"/>
              <w:numPr>
                <w:ilvl w:val="0"/>
                <w:numId w:val="7"/>
              </w:numPr>
              <w:spacing w:after="120" w:line="276" w:lineRule="auto"/>
              <w:ind w:left="250" w:hanging="270"/>
              <w:rPr>
                <w:b w:val="0"/>
                <w:bCs w:val="0"/>
              </w:rPr>
            </w:pPr>
            <w:r>
              <w:rPr>
                <w:b w:val="0"/>
                <w:bCs w:val="0"/>
              </w:rPr>
              <w:t>Subject have legal right to confirm the processing of their personal data held by the organization and acquire a copy</w:t>
            </w:r>
            <w:r w:rsidR="00665301">
              <w:rPr>
                <w:b w:val="0"/>
                <w:bCs w:val="0"/>
              </w:rPr>
              <w:t xml:space="preserve"> (Dhar, 2021)</w:t>
            </w:r>
            <w:r>
              <w:rPr>
                <w:b w:val="0"/>
                <w:bCs w:val="0"/>
              </w:rPr>
              <w:t>.</w:t>
            </w:r>
          </w:p>
        </w:tc>
        <w:tc>
          <w:tcPr>
            <w:tcW w:w="4123" w:type="dxa"/>
          </w:tcPr>
          <w:p w14:paraId="349661DB" w14:textId="476B0B20" w:rsidR="000A4E90" w:rsidRDefault="000A4E90" w:rsidP="00100341">
            <w:pPr>
              <w:pStyle w:val="ListParagraph"/>
              <w:numPr>
                <w:ilvl w:val="0"/>
                <w:numId w:val="7"/>
              </w:numPr>
              <w:spacing w:after="120" w:line="276" w:lineRule="auto"/>
              <w:ind w:left="169" w:hanging="180"/>
              <w:rPr>
                <w:b w:val="0"/>
                <w:bCs w:val="0"/>
              </w:rPr>
            </w:pPr>
            <w:r>
              <w:rPr>
                <w:b w:val="0"/>
                <w:bCs w:val="0"/>
              </w:rPr>
              <w:t>Consumers have the right to request to access their PI for up to 12 months from the business entity</w:t>
            </w:r>
            <w:r w:rsidR="00A87E36">
              <w:rPr>
                <w:b w:val="0"/>
                <w:bCs w:val="0"/>
              </w:rPr>
              <w:t xml:space="preserve"> (Dhar, 2021)</w:t>
            </w:r>
            <w:r>
              <w:rPr>
                <w:b w:val="0"/>
                <w:bCs w:val="0"/>
              </w:rPr>
              <w:t>.</w:t>
            </w:r>
          </w:p>
        </w:tc>
      </w:tr>
      <w:tr w:rsidR="00AC0A84" w14:paraId="444CF5A7" w14:textId="77777777" w:rsidTr="00D63408">
        <w:trPr>
          <w:trHeight w:val="438"/>
        </w:trPr>
        <w:tc>
          <w:tcPr>
            <w:tcW w:w="1563" w:type="dxa"/>
          </w:tcPr>
          <w:p w14:paraId="4C0CF8BA" w14:textId="77777777" w:rsidR="00AC0A84" w:rsidRDefault="00AC0A84" w:rsidP="00100341">
            <w:pPr>
              <w:spacing w:after="120" w:line="276" w:lineRule="auto"/>
              <w:rPr>
                <w:b w:val="0"/>
                <w:bCs w:val="0"/>
              </w:rPr>
            </w:pPr>
            <w:r>
              <w:rPr>
                <w:b w:val="0"/>
                <w:bCs w:val="0"/>
              </w:rPr>
              <w:t>Data control and processing</w:t>
            </w:r>
          </w:p>
        </w:tc>
        <w:tc>
          <w:tcPr>
            <w:tcW w:w="4659" w:type="dxa"/>
          </w:tcPr>
          <w:p w14:paraId="58FA4B69" w14:textId="77777777" w:rsidR="00AC0A84" w:rsidRDefault="00AC0A84" w:rsidP="00100341">
            <w:pPr>
              <w:pStyle w:val="ListParagraph"/>
              <w:numPr>
                <w:ilvl w:val="0"/>
                <w:numId w:val="7"/>
              </w:numPr>
              <w:spacing w:after="120" w:line="276" w:lineRule="auto"/>
              <w:ind w:left="250" w:hanging="270"/>
              <w:rPr>
                <w:b w:val="0"/>
                <w:bCs w:val="0"/>
              </w:rPr>
            </w:pPr>
            <w:r>
              <w:rPr>
                <w:b w:val="0"/>
                <w:bCs w:val="0"/>
              </w:rPr>
              <w:t>All records of data processing activities kept in written or electronic formats.</w:t>
            </w:r>
          </w:p>
          <w:p w14:paraId="152BCF24" w14:textId="21E21BCB" w:rsidR="00AC0A84" w:rsidRPr="009F7855" w:rsidRDefault="00AC0A84" w:rsidP="00100341">
            <w:pPr>
              <w:pStyle w:val="ListParagraph"/>
              <w:numPr>
                <w:ilvl w:val="0"/>
                <w:numId w:val="7"/>
              </w:numPr>
              <w:spacing w:after="120" w:line="276" w:lineRule="auto"/>
              <w:ind w:left="250" w:hanging="270"/>
              <w:rPr>
                <w:b w:val="0"/>
                <w:bCs w:val="0"/>
              </w:rPr>
            </w:pPr>
            <w:r>
              <w:rPr>
                <w:b w:val="0"/>
                <w:bCs w:val="0"/>
              </w:rPr>
              <w:t>Data processing records requirements does not apply to organizations with less than 250 employees</w:t>
            </w:r>
            <w:r w:rsidR="00D86EBE">
              <w:rPr>
                <w:b w:val="0"/>
                <w:bCs w:val="0"/>
              </w:rPr>
              <w:t xml:space="preserve"> (Regulation, 2018)</w:t>
            </w:r>
            <w:r>
              <w:rPr>
                <w:b w:val="0"/>
                <w:bCs w:val="0"/>
              </w:rPr>
              <w:t>.</w:t>
            </w:r>
          </w:p>
        </w:tc>
        <w:tc>
          <w:tcPr>
            <w:tcW w:w="4123" w:type="dxa"/>
          </w:tcPr>
          <w:p w14:paraId="0C0C8F44" w14:textId="49D08858" w:rsidR="00AC0A84" w:rsidRDefault="00AC0A84" w:rsidP="00100341">
            <w:pPr>
              <w:pStyle w:val="ListParagraph"/>
              <w:numPr>
                <w:ilvl w:val="0"/>
                <w:numId w:val="7"/>
              </w:numPr>
              <w:spacing w:after="120" w:line="276" w:lineRule="auto"/>
              <w:ind w:left="169" w:hanging="180"/>
              <w:rPr>
                <w:b w:val="0"/>
                <w:bCs w:val="0"/>
              </w:rPr>
            </w:pPr>
            <w:r>
              <w:rPr>
                <w:b w:val="0"/>
                <w:bCs w:val="0"/>
              </w:rPr>
              <w:t>No specific format of keeping data processing records given</w:t>
            </w:r>
            <w:r w:rsidR="007F5D16">
              <w:rPr>
                <w:b w:val="0"/>
                <w:bCs w:val="0"/>
              </w:rPr>
              <w:t xml:space="preserve"> (</w:t>
            </w:r>
            <w:r w:rsidR="007F5D16" w:rsidRPr="007F5D16">
              <w:rPr>
                <w:b w:val="0"/>
                <w:bCs w:val="0"/>
              </w:rPr>
              <w:t>Walker</w:t>
            </w:r>
            <w:r w:rsidR="007F5D16">
              <w:rPr>
                <w:b w:val="0"/>
                <w:bCs w:val="0"/>
              </w:rPr>
              <w:t>, 2021)</w:t>
            </w:r>
            <w:r>
              <w:rPr>
                <w:b w:val="0"/>
                <w:bCs w:val="0"/>
              </w:rPr>
              <w:t>.</w:t>
            </w:r>
          </w:p>
          <w:p w14:paraId="58E0D4B4" w14:textId="77777777" w:rsidR="00AC0A84" w:rsidRDefault="00AC0A84" w:rsidP="00100341">
            <w:pPr>
              <w:pStyle w:val="ListParagraph"/>
              <w:numPr>
                <w:ilvl w:val="0"/>
                <w:numId w:val="7"/>
              </w:numPr>
              <w:spacing w:after="120" w:line="276" w:lineRule="auto"/>
              <w:ind w:left="169" w:hanging="180"/>
              <w:rPr>
                <w:b w:val="0"/>
                <w:bCs w:val="0"/>
              </w:rPr>
            </w:pPr>
            <w:r>
              <w:rPr>
                <w:b w:val="0"/>
                <w:bCs w:val="0"/>
              </w:rPr>
              <w:t>No specific minimum number of employees set for a business to be subjected to the provision.</w:t>
            </w:r>
          </w:p>
        </w:tc>
      </w:tr>
      <w:tr w:rsidR="008B79A6" w:rsidRPr="00647FAE" w14:paraId="6296107A" w14:textId="77777777" w:rsidTr="009F56F2">
        <w:trPr>
          <w:trHeight w:val="438"/>
        </w:trPr>
        <w:tc>
          <w:tcPr>
            <w:tcW w:w="1563" w:type="dxa"/>
            <w:tcBorders>
              <w:bottom w:val="single" w:sz="4" w:space="0" w:color="auto"/>
            </w:tcBorders>
          </w:tcPr>
          <w:p w14:paraId="5172B3E8" w14:textId="77777777" w:rsidR="008B79A6" w:rsidRDefault="008B79A6" w:rsidP="00100341">
            <w:pPr>
              <w:spacing w:after="120" w:line="276" w:lineRule="auto"/>
              <w:rPr>
                <w:b w:val="0"/>
                <w:bCs w:val="0"/>
              </w:rPr>
            </w:pPr>
            <w:r>
              <w:rPr>
                <w:b w:val="0"/>
                <w:bCs w:val="0"/>
              </w:rPr>
              <w:t>Enforcement</w:t>
            </w:r>
          </w:p>
        </w:tc>
        <w:tc>
          <w:tcPr>
            <w:tcW w:w="4659" w:type="dxa"/>
            <w:tcBorders>
              <w:bottom w:val="single" w:sz="4" w:space="0" w:color="auto"/>
            </w:tcBorders>
          </w:tcPr>
          <w:p w14:paraId="386CBE4C" w14:textId="3A01A8E6" w:rsidR="008B79A6" w:rsidRDefault="008B79A6" w:rsidP="00100341">
            <w:pPr>
              <w:pStyle w:val="ListParagraph"/>
              <w:numPr>
                <w:ilvl w:val="0"/>
                <w:numId w:val="7"/>
              </w:numPr>
              <w:spacing w:after="120" w:line="276" w:lineRule="auto"/>
              <w:ind w:left="250" w:hanging="270"/>
              <w:rPr>
                <w:b w:val="0"/>
                <w:bCs w:val="0"/>
              </w:rPr>
            </w:pPr>
            <w:r>
              <w:rPr>
                <w:b w:val="0"/>
                <w:bCs w:val="0"/>
              </w:rPr>
              <w:t>EDPB ensures the regulation apply equally to all member states</w:t>
            </w:r>
            <w:r w:rsidR="00C629E9">
              <w:rPr>
                <w:b w:val="0"/>
                <w:bCs w:val="0"/>
              </w:rPr>
              <w:t xml:space="preserve"> (</w:t>
            </w:r>
            <w:r w:rsidR="00C629E9" w:rsidRPr="00C629E9">
              <w:rPr>
                <w:b w:val="0"/>
                <w:bCs w:val="0"/>
              </w:rPr>
              <w:t>Regulation</w:t>
            </w:r>
            <w:r w:rsidR="00C629E9">
              <w:rPr>
                <w:b w:val="0"/>
                <w:bCs w:val="0"/>
              </w:rPr>
              <w:t>, 2018)</w:t>
            </w:r>
            <w:r>
              <w:rPr>
                <w:b w:val="0"/>
                <w:bCs w:val="0"/>
              </w:rPr>
              <w:t>. Every EU state must designate a monitoring authority to supervise GDPR application.</w:t>
            </w:r>
          </w:p>
        </w:tc>
        <w:tc>
          <w:tcPr>
            <w:tcW w:w="4123" w:type="dxa"/>
            <w:tcBorders>
              <w:bottom w:val="single" w:sz="4" w:space="0" w:color="auto"/>
            </w:tcBorders>
          </w:tcPr>
          <w:p w14:paraId="3ECD3C7B" w14:textId="7C57F3E9" w:rsidR="008B79A6" w:rsidRDefault="008B79A6" w:rsidP="00100341">
            <w:pPr>
              <w:pStyle w:val="ListParagraph"/>
              <w:numPr>
                <w:ilvl w:val="0"/>
                <w:numId w:val="7"/>
              </w:numPr>
              <w:spacing w:after="120" w:line="276" w:lineRule="auto"/>
              <w:ind w:left="169" w:hanging="180"/>
              <w:rPr>
                <w:b w:val="0"/>
                <w:bCs w:val="0"/>
              </w:rPr>
            </w:pPr>
            <w:r>
              <w:rPr>
                <w:b w:val="0"/>
                <w:bCs w:val="0"/>
              </w:rPr>
              <w:t>CPRA has the full administrative authority and jurisdiction to implement and enforce the Act</w:t>
            </w:r>
            <w:r w:rsidR="00376266">
              <w:rPr>
                <w:b w:val="0"/>
                <w:bCs w:val="0"/>
              </w:rPr>
              <w:t xml:space="preserve"> (</w:t>
            </w:r>
            <w:proofErr w:type="spellStart"/>
            <w:r w:rsidR="00376266" w:rsidRPr="00376266">
              <w:rPr>
                <w:b w:val="0"/>
                <w:bCs w:val="0"/>
              </w:rPr>
              <w:t>Federman</w:t>
            </w:r>
            <w:proofErr w:type="spellEnd"/>
            <w:r w:rsidR="00376266">
              <w:rPr>
                <w:b w:val="0"/>
                <w:bCs w:val="0"/>
              </w:rPr>
              <w:t>, 2020)</w:t>
            </w:r>
            <w:r>
              <w:rPr>
                <w:b w:val="0"/>
                <w:bCs w:val="0"/>
              </w:rPr>
              <w:t>.</w:t>
            </w:r>
          </w:p>
        </w:tc>
      </w:tr>
      <w:tr w:rsidR="008252FC" w:rsidRPr="00647FAE" w14:paraId="0D817A9F" w14:textId="77777777" w:rsidTr="009F56F2">
        <w:trPr>
          <w:trHeight w:val="438"/>
        </w:trPr>
        <w:tc>
          <w:tcPr>
            <w:tcW w:w="1563" w:type="dxa"/>
            <w:tcBorders>
              <w:bottom w:val="single" w:sz="4" w:space="0" w:color="auto"/>
            </w:tcBorders>
          </w:tcPr>
          <w:p w14:paraId="5D080561" w14:textId="77777777" w:rsidR="008252FC" w:rsidRDefault="008252FC" w:rsidP="00100341">
            <w:pPr>
              <w:spacing w:after="120" w:line="276" w:lineRule="auto"/>
              <w:rPr>
                <w:b w:val="0"/>
                <w:bCs w:val="0"/>
              </w:rPr>
            </w:pPr>
            <w:r>
              <w:rPr>
                <w:b w:val="0"/>
                <w:bCs w:val="0"/>
              </w:rPr>
              <w:t>Fines and Penalties</w:t>
            </w:r>
          </w:p>
        </w:tc>
        <w:tc>
          <w:tcPr>
            <w:tcW w:w="4659" w:type="dxa"/>
            <w:tcBorders>
              <w:bottom w:val="single" w:sz="4" w:space="0" w:color="auto"/>
            </w:tcBorders>
          </w:tcPr>
          <w:p w14:paraId="17C341DE" w14:textId="4A43ED19" w:rsidR="008252FC" w:rsidRDefault="008252FC" w:rsidP="00100341">
            <w:pPr>
              <w:pStyle w:val="ListParagraph"/>
              <w:numPr>
                <w:ilvl w:val="0"/>
                <w:numId w:val="7"/>
              </w:numPr>
              <w:spacing w:after="120" w:line="276" w:lineRule="auto"/>
              <w:ind w:left="250" w:hanging="270"/>
              <w:rPr>
                <w:b w:val="0"/>
                <w:bCs w:val="0"/>
              </w:rPr>
            </w:pPr>
            <w:r>
              <w:rPr>
                <w:b w:val="0"/>
                <w:bCs w:val="0"/>
              </w:rPr>
              <w:t>Up to EUR 20 million or 4 percent of annual global revenue (higher value applie</w:t>
            </w:r>
            <w:r w:rsidR="00E5076B">
              <w:rPr>
                <w:b w:val="0"/>
                <w:bCs w:val="0"/>
              </w:rPr>
              <w:t>d</w:t>
            </w:r>
            <w:r>
              <w:rPr>
                <w:b w:val="0"/>
                <w:bCs w:val="0"/>
              </w:rPr>
              <w:t>)</w:t>
            </w:r>
            <w:r w:rsidR="00E5076B">
              <w:rPr>
                <w:b w:val="0"/>
                <w:bCs w:val="0"/>
              </w:rPr>
              <w:t xml:space="preserve"> (Regulation, 2018</w:t>
            </w:r>
            <w:r w:rsidR="0031229D">
              <w:rPr>
                <w:b w:val="0"/>
                <w:bCs w:val="0"/>
              </w:rPr>
              <w:t>)</w:t>
            </w:r>
            <w:r>
              <w:rPr>
                <w:b w:val="0"/>
                <w:bCs w:val="0"/>
              </w:rPr>
              <w:t>.</w:t>
            </w:r>
          </w:p>
          <w:p w14:paraId="38C29D24" w14:textId="77777777" w:rsidR="008252FC" w:rsidRDefault="008252FC" w:rsidP="00100341">
            <w:pPr>
              <w:pStyle w:val="ListParagraph"/>
              <w:numPr>
                <w:ilvl w:val="0"/>
                <w:numId w:val="7"/>
              </w:numPr>
              <w:spacing w:after="120" w:line="276" w:lineRule="auto"/>
              <w:ind w:left="250" w:hanging="270"/>
              <w:rPr>
                <w:b w:val="0"/>
                <w:bCs w:val="0"/>
              </w:rPr>
            </w:pPr>
            <w:r>
              <w:rPr>
                <w:b w:val="0"/>
                <w:bCs w:val="0"/>
              </w:rPr>
              <w:t>Organization may be sanctioned by individual member states.</w:t>
            </w:r>
          </w:p>
        </w:tc>
        <w:tc>
          <w:tcPr>
            <w:tcW w:w="4123" w:type="dxa"/>
            <w:tcBorders>
              <w:bottom w:val="single" w:sz="4" w:space="0" w:color="auto"/>
            </w:tcBorders>
          </w:tcPr>
          <w:p w14:paraId="1D135076" w14:textId="77777777" w:rsidR="008252FC" w:rsidRDefault="008252FC" w:rsidP="00100341">
            <w:pPr>
              <w:pStyle w:val="ListParagraph"/>
              <w:numPr>
                <w:ilvl w:val="0"/>
                <w:numId w:val="7"/>
              </w:numPr>
              <w:spacing w:after="120" w:line="276" w:lineRule="auto"/>
              <w:ind w:left="169" w:hanging="180"/>
              <w:rPr>
                <w:b w:val="0"/>
                <w:bCs w:val="0"/>
              </w:rPr>
            </w:pPr>
            <w:r>
              <w:rPr>
                <w:b w:val="0"/>
                <w:bCs w:val="0"/>
              </w:rPr>
              <w:t>$2,500 per unintentional violation.</w:t>
            </w:r>
          </w:p>
          <w:p w14:paraId="0902854E" w14:textId="77777777" w:rsidR="008252FC" w:rsidRDefault="008252FC" w:rsidP="00100341">
            <w:pPr>
              <w:pStyle w:val="ListParagraph"/>
              <w:numPr>
                <w:ilvl w:val="0"/>
                <w:numId w:val="7"/>
              </w:numPr>
              <w:spacing w:after="120" w:line="276" w:lineRule="auto"/>
              <w:ind w:left="169" w:hanging="180"/>
              <w:rPr>
                <w:b w:val="0"/>
                <w:bCs w:val="0"/>
              </w:rPr>
            </w:pPr>
            <w:r>
              <w:rPr>
                <w:b w:val="0"/>
                <w:bCs w:val="0"/>
              </w:rPr>
              <w:t>Up to $7,500 for intentional violation.</w:t>
            </w:r>
          </w:p>
          <w:p w14:paraId="40C0AAEC" w14:textId="3A7A2A4B" w:rsidR="008252FC" w:rsidRDefault="008252FC" w:rsidP="00100341">
            <w:pPr>
              <w:pStyle w:val="ListParagraph"/>
              <w:numPr>
                <w:ilvl w:val="0"/>
                <w:numId w:val="7"/>
              </w:numPr>
              <w:spacing w:after="120" w:line="276" w:lineRule="auto"/>
              <w:ind w:left="169" w:hanging="180"/>
              <w:rPr>
                <w:b w:val="0"/>
                <w:bCs w:val="0"/>
              </w:rPr>
            </w:pPr>
            <w:r>
              <w:rPr>
                <w:b w:val="0"/>
                <w:bCs w:val="0"/>
              </w:rPr>
              <w:t>$7,500 for intentional violation in cases involving minors</w:t>
            </w:r>
            <w:r w:rsidR="0031229D">
              <w:rPr>
                <w:b w:val="0"/>
                <w:bCs w:val="0"/>
              </w:rPr>
              <w:t xml:space="preserve"> 9Walker, 2020)</w:t>
            </w:r>
            <w:r>
              <w:rPr>
                <w:b w:val="0"/>
                <w:bCs w:val="0"/>
              </w:rPr>
              <w:t>.</w:t>
            </w:r>
          </w:p>
          <w:p w14:paraId="3A69F24E" w14:textId="77777777" w:rsidR="008252FC" w:rsidRDefault="008252FC" w:rsidP="00100341">
            <w:pPr>
              <w:pStyle w:val="ListParagraph"/>
              <w:numPr>
                <w:ilvl w:val="0"/>
                <w:numId w:val="7"/>
              </w:numPr>
              <w:spacing w:after="120" w:line="276" w:lineRule="auto"/>
              <w:ind w:left="169" w:hanging="180"/>
              <w:rPr>
                <w:b w:val="0"/>
                <w:bCs w:val="0"/>
              </w:rPr>
            </w:pPr>
            <w:r>
              <w:rPr>
                <w:b w:val="0"/>
                <w:bCs w:val="0"/>
              </w:rPr>
              <w:t>No 30-day cure period before fining.</w:t>
            </w:r>
          </w:p>
        </w:tc>
      </w:tr>
    </w:tbl>
    <w:p w14:paraId="78337FD8" w14:textId="56E17C94" w:rsidR="00E11F9C" w:rsidRDefault="00E11F9C" w:rsidP="0039504C">
      <w:pPr>
        <w:rPr>
          <w:b w:val="0"/>
          <w:bCs w:val="0"/>
        </w:rPr>
      </w:pPr>
    </w:p>
    <w:p w14:paraId="23752464" w14:textId="6BFD54B7" w:rsidR="009F56F2" w:rsidRPr="001567CE" w:rsidRDefault="00244C11" w:rsidP="001567CE">
      <w:pPr>
        <w:pStyle w:val="Heading3"/>
        <w:rPr>
          <w:rFonts w:ascii="Times New Roman" w:hAnsi="Times New Roman" w:cs="Times New Roman"/>
          <w:i/>
          <w:iCs/>
        </w:rPr>
      </w:pPr>
      <w:bookmarkStart w:id="12" w:name="_Toc109950687"/>
      <w:r w:rsidRPr="001567CE">
        <w:rPr>
          <w:rFonts w:ascii="Times New Roman" w:hAnsi="Times New Roman" w:cs="Times New Roman"/>
          <w:i/>
          <w:iCs/>
          <w:color w:val="auto"/>
        </w:rPr>
        <w:t xml:space="preserve">2.1.2 </w:t>
      </w:r>
      <w:r w:rsidR="00F74A06" w:rsidRPr="001567CE">
        <w:rPr>
          <w:rFonts w:ascii="Times New Roman" w:hAnsi="Times New Roman" w:cs="Times New Roman"/>
          <w:i/>
          <w:iCs/>
          <w:color w:val="auto"/>
        </w:rPr>
        <w:t>Key Similarities</w:t>
      </w:r>
      <w:bookmarkEnd w:id="12"/>
    </w:p>
    <w:tbl>
      <w:tblPr>
        <w:tblStyle w:val="TableGrid"/>
        <w:tblW w:w="10345" w:type="dxa"/>
        <w:tblLook w:val="04A0" w:firstRow="1" w:lastRow="0" w:firstColumn="1" w:lastColumn="0" w:noHBand="0" w:noVBand="1"/>
      </w:tblPr>
      <w:tblGrid>
        <w:gridCol w:w="1563"/>
        <w:gridCol w:w="4659"/>
        <w:gridCol w:w="4123"/>
      </w:tblGrid>
      <w:tr w:rsidR="00B156DE" w:rsidRPr="00647FAE" w14:paraId="07BA1BF4" w14:textId="77777777" w:rsidTr="00D63408">
        <w:trPr>
          <w:trHeight w:val="438"/>
        </w:trPr>
        <w:tc>
          <w:tcPr>
            <w:tcW w:w="1563" w:type="dxa"/>
          </w:tcPr>
          <w:p w14:paraId="1D105C0E" w14:textId="77777777" w:rsidR="00B156DE" w:rsidRPr="00647FAE" w:rsidRDefault="00B156DE" w:rsidP="00D63408">
            <w:pPr>
              <w:spacing w:after="160" w:line="276" w:lineRule="auto"/>
            </w:pPr>
            <w:r w:rsidRPr="00647FAE">
              <w:t>Subject</w:t>
            </w:r>
          </w:p>
        </w:tc>
        <w:tc>
          <w:tcPr>
            <w:tcW w:w="4659" w:type="dxa"/>
          </w:tcPr>
          <w:p w14:paraId="17A85556" w14:textId="77777777" w:rsidR="00B156DE" w:rsidRPr="00647FAE" w:rsidRDefault="00B156DE" w:rsidP="00D63408">
            <w:pPr>
              <w:spacing w:after="160" w:line="276" w:lineRule="auto"/>
            </w:pPr>
            <w:r w:rsidRPr="00647FAE">
              <w:t>GDPR 2018</w:t>
            </w:r>
          </w:p>
        </w:tc>
        <w:tc>
          <w:tcPr>
            <w:tcW w:w="4123" w:type="dxa"/>
          </w:tcPr>
          <w:p w14:paraId="2FDE8C53" w14:textId="77777777" w:rsidR="00B156DE" w:rsidRPr="00647FAE" w:rsidRDefault="00B156DE" w:rsidP="00D63408">
            <w:pPr>
              <w:spacing w:after="160" w:line="276" w:lineRule="auto"/>
            </w:pPr>
            <w:r w:rsidRPr="00647FAE">
              <w:t>CPRA 2020</w:t>
            </w:r>
          </w:p>
        </w:tc>
      </w:tr>
      <w:tr w:rsidR="00B156DE" w:rsidRPr="00647FAE" w14:paraId="10D8B043" w14:textId="77777777" w:rsidTr="00D63408">
        <w:trPr>
          <w:trHeight w:val="438"/>
        </w:trPr>
        <w:tc>
          <w:tcPr>
            <w:tcW w:w="1563" w:type="dxa"/>
            <w:tcBorders>
              <w:top w:val="single" w:sz="4" w:space="0" w:color="auto"/>
            </w:tcBorders>
          </w:tcPr>
          <w:p w14:paraId="23B4A3B1" w14:textId="77777777" w:rsidR="00B156DE" w:rsidRDefault="00B156DE" w:rsidP="00D63408">
            <w:pPr>
              <w:spacing w:line="276" w:lineRule="auto"/>
              <w:rPr>
                <w:b w:val="0"/>
                <w:bCs w:val="0"/>
              </w:rPr>
            </w:pPr>
            <w:r>
              <w:rPr>
                <w:b w:val="0"/>
                <w:bCs w:val="0"/>
              </w:rPr>
              <w:t>Data minimization</w:t>
            </w:r>
          </w:p>
        </w:tc>
        <w:tc>
          <w:tcPr>
            <w:tcW w:w="4659" w:type="dxa"/>
            <w:tcBorders>
              <w:top w:val="single" w:sz="4" w:space="0" w:color="auto"/>
            </w:tcBorders>
          </w:tcPr>
          <w:p w14:paraId="63F8895A" w14:textId="77777777" w:rsidR="00B156DE" w:rsidRDefault="00B156DE" w:rsidP="00D63408">
            <w:pPr>
              <w:pStyle w:val="ListParagraph"/>
              <w:numPr>
                <w:ilvl w:val="0"/>
                <w:numId w:val="6"/>
              </w:numPr>
              <w:spacing w:line="276" w:lineRule="auto"/>
              <w:ind w:left="160" w:hanging="180"/>
              <w:rPr>
                <w:b w:val="0"/>
                <w:bCs w:val="0"/>
              </w:rPr>
            </w:pPr>
            <w:r>
              <w:rPr>
                <w:b w:val="0"/>
                <w:bCs w:val="0"/>
              </w:rPr>
              <w:t>Organizations required to collect data within the limits of the existing need and processing purpose (relevant, adequate and limited to present needs).</w:t>
            </w:r>
          </w:p>
        </w:tc>
        <w:tc>
          <w:tcPr>
            <w:tcW w:w="4123" w:type="dxa"/>
            <w:tcBorders>
              <w:top w:val="single" w:sz="4" w:space="0" w:color="auto"/>
            </w:tcBorders>
          </w:tcPr>
          <w:p w14:paraId="50BA298C" w14:textId="77777777" w:rsidR="00B156DE" w:rsidRDefault="00B156DE" w:rsidP="00D63408">
            <w:pPr>
              <w:pStyle w:val="ListParagraph"/>
              <w:numPr>
                <w:ilvl w:val="0"/>
                <w:numId w:val="6"/>
              </w:numPr>
              <w:spacing w:line="276" w:lineRule="auto"/>
              <w:ind w:left="169" w:hanging="180"/>
              <w:rPr>
                <w:b w:val="0"/>
                <w:bCs w:val="0"/>
              </w:rPr>
            </w:pPr>
            <w:r>
              <w:rPr>
                <w:b w:val="0"/>
                <w:bCs w:val="0"/>
              </w:rPr>
              <w:t>The business entity required to collect only the relevant and necessary data without exceeding the present data and processing purpose need limits.</w:t>
            </w:r>
          </w:p>
        </w:tc>
      </w:tr>
      <w:tr w:rsidR="00C22BC3" w:rsidRPr="00647FAE" w14:paraId="164661F8" w14:textId="77777777" w:rsidTr="00D63408">
        <w:trPr>
          <w:trHeight w:val="438"/>
        </w:trPr>
        <w:tc>
          <w:tcPr>
            <w:tcW w:w="1563" w:type="dxa"/>
            <w:tcBorders>
              <w:top w:val="single" w:sz="4" w:space="0" w:color="auto"/>
            </w:tcBorders>
          </w:tcPr>
          <w:p w14:paraId="3D27B576" w14:textId="76332374" w:rsidR="00C22BC3" w:rsidRDefault="003A48E8" w:rsidP="00DA2408">
            <w:pPr>
              <w:spacing w:line="276" w:lineRule="auto"/>
              <w:rPr>
                <w:b w:val="0"/>
                <w:bCs w:val="0"/>
              </w:rPr>
            </w:pPr>
            <w:r>
              <w:rPr>
                <w:b w:val="0"/>
                <w:bCs w:val="0"/>
              </w:rPr>
              <w:t>Storage Limitation</w:t>
            </w:r>
          </w:p>
        </w:tc>
        <w:tc>
          <w:tcPr>
            <w:tcW w:w="4659" w:type="dxa"/>
            <w:tcBorders>
              <w:top w:val="single" w:sz="4" w:space="0" w:color="auto"/>
            </w:tcBorders>
          </w:tcPr>
          <w:p w14:paraId="4F983651" w14:textId="0D35E79B" w:rsidR="00C22BC3" w:rsidRDefault="003A48E8" w:rsidP="00DA2408">
            <w:pPr>
              <w:pStyle w:val="ListParagraph"/>
              <w:numPr>
                <w:ilvl w:val="0"/>
                <w:numId w:val="6"/>
              </w:numPr>
              <w:spacing w:line="276" w:lineRule="auto"/>
              <w:ind w:left="160" w:hanging="180"/>
              <w:rPr>
                <w:b w:val="0"/>
                <w:bCs w:val="0"/>
              </w:rPr>
            </w:pPr>
            <w:r>
              <w:rPr>
                <w:b w:val="0"/>
                <w:bCs w:val="0"/>
              </w:rPr>
              <w:t>Organizations are prohibited from retaining the personal data beyond the necessary period</w:t>
            </w:r>
            <w:r w:rsidR="00A416E0">
              <w:rPr>
                <w:b w:val="0"/>
                <w:bCs w:val="0"/>
              </w:rPr>
              <w:t xml:space="preserve"> of processing</w:t>
            </w:r>
            <w:r w:rsidR="00E62573">
              <w:rPr>
                <w:b w:val="0"/>
                <w:bCs w:val="0"/>
              </w:rPr>
              <w:t xml:space="preserve"> (</w:t>
            </w:r>
            <w:r w:rsidR="005911E9" w:rsidRPr="005911E9">
              <w:rPr>
                <w:b w:val="0"/>
                <w:bCs w:val="0"/>
              </w:rPr>
              <w:t>Mondschein</w:t>
            </w:r>
            <w:r w:rsidR="005911E9">
              <w:rPr>
                <w:b w:val="0"/>
                <w:bCs w:val="0"/>
              </w:rPr>
              <w:t xml:space="preserve"> &amp; </w:t>
            </w:r>
            <w:proofErr w:type="spellStart"/>
            <w:r w:rsidR="005911E9">
              <w:rPr>
                <w:b w:val="0"/>
                <w:bCs w:val="0"/>
              </w:rPr>
              <w:t>Monda</w:t>
            </w:r>
            <w:proofErr w:type="spellEnd"/>
            <w:r w:rsidR="005911E9">
              <w:rPr>
                <w:b w:val="0"/>
                <w:bCs w:val="0"/>
              </w:rPr>
              <w:t>, 2019).</w:t>
            </w:r>
          </w:p>
          <w:p w14:paraId="37693F71" w14:textId="3A2B0546" w:rsidR="00A416E0" w:rsidRDefault="00A416E0" w:rsidP="00DA2408">
            <w:pPr>
              <w:pStyle w:val="ListParagraph"/>
              <w:numPr>
                <w:ilvl w:val="0"/>
                <w:numId w:val="6"/>
              </w:numPr>
              <w:spacing w:line="276" w:lineRule="auto"/>
              <w:ind w:left="160" w:hanging="180"/>
              <w:rPr>
                <w:b w:val="0"/>
                <w:bCs w:val="0"/>
              </w:rPr>
            </w:pPr>
            <w:r>
              <w:rPr>
                <w:b w:val="0"/>
                <w:bCs w:val="0"/>
              </w:rPr>
              <w:t>Personal data whose legitimate purpose has been attained must be deleted immediately.</w:t>
            </w:r>
          </w:p>
        </w:tc>
        <w:tc>
          <w:tcPr>
            <w:tcW w:w="4123" w:type="dxa"/>
            <w:tcBorders>
              <w:top w:val="single" w:sz="4" w:space="0" w:color="auto"/>
            </w:tcBorders>
          </w:tcPr>
          <w:p w14:paraId="5BB3A824" w14:textId="7789B9CC" w:rsidR="00951C27" w:rsidRPr="001647D2" w:rsidRDefault="008A31A3" w:rsidP="001647D2">
            <w:pPr>
              <w:pStyle w:val="ListParagraph"/>
              <w:numPr>
                <w:ilvl w:val="0"/>
                <w:numId w:val="6"/>
              </w:numPr>
              <w:spacing w:line="276" w:lineRule="auto"/>
              <w:ind w:left="169" w:hanging="180"/>
              <w:rPr>
                <w:b w:val="0"/>
                <w:bCs w:val="0"/>
              </w:rPr>
            </w:pPr>
            <w:r>
              <w:rPr>
                <w:b w:val="0"/>
                <w:bCs w:val="0"/>
              </w:rPr>
              <w:t xml:space="preserve">Organizations must not keep the PI for periods longer than the </w:t>
            </w:r>
            <w:r w:rsidR="00BA18D7">
              <w:rPr>
                <w:b w:val="0"/>
                <w:bCs w:val="0"/>
              </w:rPr>
              <w:t>periods stated during collection</w:t>
            </w:r>
            <w:r w:rsidR="001647D2">
              <w:rPr>
                <w:b w:val="0"/>
                <w:bCs w:val="0"/>
              </w:rPr>
              <w:t xml:space="preserve"> (</w:t>
            </w:r>
            <w:r w:rsidR="001647D2" w:rsidRPr="001647D2">
              <w:rPr>
                <w:b w:val="0"/>
                <w:bCs w:val="0"/>
              </w:rPr>
              <w:t>Regulation</w:t>
            </w:r>
            <w:r w:rsidR="001647D2">
              <w:rPr>
                <w:b w:val="0"/>
                <w:bCs w:val="0"/>
              </w:rPr>
              <w:t>, 2018).</w:t>
            </w:r>
          </w:p>
        </w:tc>
      </w:tr>
      <w:tr w:rsidR="00C22BC3" w:rsidRPr="00647FAE" w14:paraId="3A7051E2" w14:textId="77777777" w:rsidTr="00D63408">
        <w:trPr>
          <w:trHeight w:val="438"/>
        </w:trPr>
        <w:tc>
          <w:tcPr>
            <w:tcW w:w="1563" w:type="dxa"/>
            <w:tcBorders>
              <w:top w:val="single" w:sz="4" w:space="0" w:color="auto"/>
            </w:tcBorders>
          </w:tcPr>
          <w:p w14:paraId="704FBFD9" w14:textId="615EEA59" w:rsidR="00C22BC3" w:rsidRDefault="00106E9E" w:rsidP="00DA2408">
            <w:pPr>
              <w:spacing w:line="276" w:lineRule="auto"/>
              <w:rPr>
                <w:b w:val="0"/>
                <w:bCs w:val="0"/>
              </w:rPr>
            </w:pPr>
            <w:r>
              <w:rPr>
                <w:b w:val="0"/>
                <w:bCs w:val="0"/>
              </w:rPr>
              <w:t xml:space="preserve">Purpose </w:t>
            </w:r>
            <w:r w:rsidR="0043023F">
              <w:rPr>
                <w:b w:val="0"/>
                <w:bCs w:val="0"/>
              </w:rPr>
              <w:t>L</w:t>
            </w:r>
            <w:r>
              <w:rPr>
                <w:b w:val="0"/>
                <w:bCs w:val="0"/>
              </w:rPr>
              <w:t>imitation</w:t>
            </w:r>
          </w:p>
        </w:tc>
        <w:tc>
          <w:tcPr>
            <w:tcW w:w="4659" w:type="dxa"/>
            <w:tcBorders>
              <w:top w:val="single" w:sz="4" w:space="0" w:color="auto"/>
            </w:tcBorders>
          </w:tcPr>
          <w:p w14:paraId="3E7FD2D4" w14:textId="694A5CE8" w:rsidR="00C22BC3" w:rsidRDefault="0043023F" w:rsidP="00DA2408">
            <w:pPr>
              <w:pStyle w:val="ListParagraph"/>
              <w:numPr>
                <w:ilvl w:val="0"/>
                <w:numId w:val="6"/>
              </w:numPr>
              <w:spacing w:line="276" w:lineRule="auto"/>
              <w:ind w:left="160" w:hanging="180"/>
              <w:rPr>
                <w:b w:val="0"/>
                <w:bCs w:val="0"/>
              </w:rPr>
            </w:pPr>
            <w:r>
              <w:rPr>
                <w:b w:val="0"/>
                <w:bCs w:val="0"/>
              </w:rPr>
              <w:t xml:space="preserve">The organization allowed to process the personal data only for the previously </w:t>
            </w:r>
            <w:r>
              <w:rPr>
                <w:b w:val="0"/>
                <w:bCs w:val="0"/>
              </w:rPr>
              <w:lastRenderedPageBreak/>
              <w:t>specified and legitimate purposes</w:t>
            </w:r>
            <w:r w:rsidR="002431FB">
              <w:rPr>
                <w:b w:val="0"/>
                <w:bCs w:val="0"/>
              </w:rPr>
              <w:t xml:space="preserve"> (</w:t>
            </w:r>
            <w:r w:rsidR="002431FB" w:rsidRPr="002431FB">
              <w:rPr>
                <w:b w:val="0"/>
                <w:bCs w:val="0"/>
              </w:rPr>
              <w:t>Mondschein</w:t>
            </w:r>
            <w:r w:rsidR="002431FB">
              <w:rPr>
                <w:b w:val="0"/>
                <w:bCs w:val="0"/>
              </w:rPr>
              <w:t xml:space="preserve"> &amp; </w:t>
            </w:r>
            <w:proofErr w:type="spellStart"/>
            <w:r w:rsidR="002431FB" w:rsidRPr="002431FB">
              <w:rPr>
                <w:b w:val="0"/>
                <w:bCs w:val="0"/>
              </w:rPr>
              <w:t>Monda</w:t>
            </w:r>
            <w:proofErr w:type="spellEnd"/>
            <w:r w:rsidR="002431FB">
              <w:rPr>
                <w:b w:val="0"/>
                <w:bCs w:val="0"/>
              </w:rPr>
              <w:t>, 2019)</w:t>
            </w:r>
            <w:r>
              <w:rPr>
                <w:b w:val="0"/>
                <w:bCs w:val="0"/>
              </w:rPr>
              <w:t>. Exceeding the limits violates the regulation requirements.</w:t>
            </w:r>
          </w:p>
        </w:tc>
        <w:tc>
          <w:tcPr>
            <w:tcW w:w="4123" w:type="dxa"/>
            <w:tcBorders>
              <w:top w:val="single" w:sz="4" w:space="0" w:color="auto"/>
            </w:tcBorders>
          </w:tcPr>
          <w:p w14:paraId="48C7F78A" w14:textId="6CEE3899" w:rsidR="00C22BC3" w:rsidRDefault="002A0BA5" w:rsidP="00DA2408">
            <w:pPr>
              <w:pStyle w:val="ListParagraph"/>
              <w:numPr>
                <w:ilvl w:val="0"/>
                <w:numId w:val="6"/>
              </w:numPr>
              <w:spacing w:line="276" w:lineRule="auto"/>
              <w:ind w:left="169" w:hanging="180"/>
              <w:rPr>
                <w:b w:val="0"/>
                <w:bCs w:val="0"/>
              </w:rPr>
            </w:pPr>
            <w:r>
              <w:rPr>
                <w:b w:val="0"/>
                <w:bCs w:val="0"/>
              </w:rPr>
              <w:lastRenderedPageBreak/>
              <w:t xml:space="preserve">Entities that wish to use the personal information of individual persons for </w:t>
            </w:r>
            <w:r>
              <w:rPr>
                <w:b w:val="0"/>
                <w:bCs w:val="0"/>
              </w:rPr>
              <w:lastRenderedPageBreak/>
              <w:t>reasons different from those stated to the consumers must notify them and get permission before proceeding</w:t>
            </w:r>
            <w:r w:rsidR="00057699">
              <w:rPr>
                <w:b w:val="0"/>
                <w:bCs w:val="0"/>
              </w:rPr>
              <w:t xml:space="preserve"> (</w:t>
            </w:r>
            <w:proofErr w:type="spellStart"/>
            <w:r w:rsidR="00057699" w:rsidRPr="00057699">
              <w:rPr>
                <w:b w:val="0"/>
                <w:bCs w:val="0"/>
              </w:rPr>
              <w:t>Determann</w:t>
            </w:r>
            <w:proofErr w:type="spellEnd"/>
            <w:r w:rsidR="00057699">
              <w:rPr>
                <w:b w:val="0"/>
                <w:bCs w:val="0"/>
              </w:rPr>
              <w:t>, 2022)</w:t>
            </w:r>
            <w:r>
              <w:rPr>
                <w:b w:val="0"/>
                <w:bCs w:val="0"/>
              </w:rPr>
              <w:t>.</w:t>
            </w:r>
          </w:p>
        </w:tc>
      </w:tr>
      <w:tr w:rsidR="0010751B" w:rsidRPr="00647FAE" w14:paraId="7A274ABA" w14:textId="77777777" w:rsidTr="00D63408">
        <w:trPr>
          <w:trHeight w:val="438"/>
        </w:trPr>
        <w:tc>
          <w:tcPr>
            <w:tcW w:w="1563" w:type="dxa"/>
          </w:tcPr>
          <w:p w14:paraId="62976DE0" w14:textId="77777777" w:rsidR="0010751B" w:rsidRPr="00647FAE" w:rsidRDefault="0010751B" w:rsidP="00D63408">
            <w:pPr>
              <w:spacing w:after="160" w:line="276" w:lineRule="auto"/>
              <w:rPr>
                <w:b w:val="0"/>
                <w:bCs w:val="0"/>
              </w:rPr>
            </w:pPr>
            <w:r>
              <w:rPr>
                <w:b w:val="0"/>
                <w:bCs w:val="0"/>
              </w:rPr>
              <w:lastRenderedPageBreak/>
              <w:t>Data of minors (Children)</w:t>
            </w:r>
          </w:p>
        </w:tc>
        <w:tc>
          <w:tcPr>
            <w:tcW w:w="4659" w:type="dxa"/>
          </w:tcPr>
          <w:p w14:paraId="665F2555" w14:textId="56326200" w:rsidR="0010751B" w:rsidRPr="0058367B" w:rsidRDefault="0010751B" w:rsidP="00D63408">
            <w:pPr>
              <w:pStyle w:val="ListParagraph"/>
              <w:numPr>
                <w:ilvl w:val="0"/>
                <w:numId w:val="7"/>
              </w:numPr>
              <w:spacing w:after="160" w:line="276" w:lineRule="auto"/>
              <w:ind w:left="250" w:hanging="270"/>
              <w:rPr>
                <w:b w:val="0"/>
                <w:bCs w:val="0"/>
              </w:rPr>
            </w:pPr>
            <w:r w:rsidRPr="009F7855">
              <w:rPr>
                <w:b w:val="0"/>
                <w:bCs w:val="0"/>
              </w:rPr>
              <w:t>Parents provide consent in cases where individuals are children between 13 and 16 years</w:t>
            </w:r>
            <w:r w:rsidR="00305022">
              <w:rPr>
                <w:b w:val="0"/>
                <w:bCs w:val="0"/>
              </w:rPr>
              <w:t xml:space="preserve"> </w:t>
            </w:r>
            <w:r w:rsidR="00012158">
              <w:rPr>
                <w:b w:val="0"/>
                <w:bCs w:val="0"/>
              </w:rPr>
              <w:t>(</w:t>
            </w:r>
            <w:r w:rsidR="000F393A" w:rsidRPr="000F393A">
              <w:rPr>
                <w:b w:val="0"/>
                <w:bCs w:val="0"/>
              </w:rPr>
              <w:t>Mondschein</w:t>
            </w:r>
            <w:r w:rsidR="000F393A">
              <w:rPr>
                <w:b w:val="0"/>
                <w:bCs w:val="0"/>
              </w:rPr>
              <w:t xml:space="preserve"> &amp; </w:t>
            </w:r>
            <w:proofErr w:type="spellStart"/>
            <w:r w:rsidR="000F393A">
              <w:rPr>
                <w:b w:val="0"/>
                <w:bCs w:val="0"/>
              </w:rPr>
              <w:t>Monda</w:t>
            </w:r>
            <w:proofErr w:type="spellEnd"/>
            <w:r w:rsidR="000F393A">
              <w:rPr>
                <w:b w:val="0"/>
                <w:bCs w:val="0"/>
              </w:rPr>
              <w:t>, 2019)</w:t>
            </w:r>
            <w:r w:rsidRPr="009F7855">
              <w:rPr>
                <w:b w:val="0"/>
                <w:bCs w:val="0"/>
              </w:rPr>
              <w:t>.</w:t>
            </w:r>
          </w:p>
        </w:tc>
        <w:tc>
          <w:tcPr>
            <w:tcW w:w="4123" w:type="dxa"/>
          </w:tcPr>
          <w:p w14:paraId="6B280A7D" w14:textId="2EB68BCA" w:rsidR="0010751B" w:rsidRPr="0058367B" w:rsidRDefault="0010751B" w:rsidP="00D63408">
            <w:pPr>
              <w:pStyle w:val="ListParagraph"/>
              <w:numPr>
                <w:ilvl w:val="0"/>
                <w:numId w:val="7"/>
              </w:numPr>
              <w:spacing w:after="160" w:line="276" w:lineRule="auto"/>
              <w:ind w:left="169" w:hanging="180"/>
              <w:rPr>
                <w:b w:val="0"/>
                <w:bCs w:val="0"/>
              </w:rPr>
            </w:pPr>
            <w:r>
              <w:rPr>
                <w:b w:val="0"/>
                <w:bCs w:val="0"/>
              </w:rPr>
              <w:t>Parents provide consent on behalf of children aged 13-16 years</w:t>
            </w:r>
            <w:r w:rsidR="001000A2">
              <w:rPr>
                <w:b w:val="0"/>
                <w:bCs w:val="0"/>
              </w:rPr>
              <w:t xml:space="preserve"> (</w:t>
            </w:r>
            <w:proofErr w:type="spellStart"/>
            <w:r w:rsidR="001000A2" w:rsidRPr="001000A2">
              <w:rPr>
                <w:b w:val="0"/>
                <w:bCs w:val="0"/>
              </w:rPr>
              <w:t>Federman</w:t>
            </w:r>
            <w:proofErr w:type="spellEnd"/>
            <w:r w:rsidR="001000A2">
              <w:rPr>
                <w:b w:val="0"/>
                <w:bCs w:val="0"/>
              </w:rPr>
              <w:t>, 2020)</w:t>
            </w:r>
            <w:r>
              <w:rPr>
                <w:b w:val="0"/>
                <w:bCs w:val="0"/>
              </w:rPr>
              <w:t>.</w:t>
            </w:r>
          </w:p>
        </w:tc>
      </w:tr>
      <w:tr w:rsidR="00D755AD" w:rsidRPr="00EB4490" w14:paraId="1070B6A3" w14:textId="77777777" w:rsidTr="00D63408">
        <w:trPr>
          <w:trHeight w:val="438"/>
        </w:trPr>
        <w:tc>
          <w:tcPr>
            <w:tcW w:w="1563" w:type="dxa"/>
          </w:tcPr>
          <w:p w14:paraId="2708871A" w14:textId="77777777" w:rsidR="00D755AD" w:rsidRPr="00647FAE" w:rsidRDefault="00D755AD" w:rsidP="00D63408">
            <w:pPr>
              <w:spacing w:after="120" w:line="276" w:lineRule="auto"/>
              <w:rPr>
                <w:b w:val="0"/>
                <w:bCs w:val="0"/>
              </w:rPr>
            </w:pPr>
            <w:r w:rsidRPr="00647FAE">
              <w:rPr>
                <w:b w:val="0"/>
                <w:bCs w:val="0"/>
              </w:rPr>
              <w:t>Scope</w:t>
            </w:r>
          </w:p>
        </w:tc>
        <w:tc>
          <w:tcPr>
            <w:tcW w:w="4659" w:type="dxa"/>
          </w:tcPr>
          <w:p w14:paraId="16432B70" w14:textId="27380F9E" w:rsidR="00D755AD" w:rsidRPr="00D755AD" w:rsidRDefault="00D755AD" w:rsidP="00D755AD">
            <w:pPr>
              <w:pStyle w:val="ListParagraph"/>
              <w:numPr>
                <w:ilvl w:val="0"/>
                <w:numId w:val="4"/>
              </w:numPr>
              <w:spacing w:after="120" w:line="276" w:lineRule="auto"/>
              <w:ind w:left="162" w:hanging="180"/>
              <w:rPr>
                <w:b w:val="0"/>
                <w:bCs w:val="0"/>
              </w:rPr>
            </w:pPr>
            <w:r>
              <w:rPr>
                <w:b w:val="0"/>
                <w:bCs w:val="0"/>
              </w:rPr>
              <w:t>Exclusively protects the natural individuals but does not cover the legal individuals.</w:t>
            </w:r>
          </w:p>
        </w:tc>
        <w:tc>
          <w:tcPr>
            <w:tcW w:w="4123" w:type="dxa"/>
          </w:tcPr>
          <w:p w14:paraId="7BB2ABAB" w14:textId="2CBBE555" w:rsidR="00D755AD" w:rsidRPr="00EB4490" w:rsidRDefault="00D755AD" w:rsidP="00D755AD">
            <w:pPr>
              <w:pStyle w:val="ListParagraph"/>
              <w:numPr>
                <w:ilvl w:val="0"/>
                <w:numId w:val="4"/>
              </w:numPr>
              <w:spacing w:after="120" w:line="276" w:lineRule="auto"/>
              <w:ind w:left="169" w:hanging="180"/>
              <w:rPr>
                <w:b w:val="0"/>
                <w:bCs w:val="0"/>
              </w:rPr>
            </w:pPr>
            <w:r>
              <w:rPr>
                <w:b w:val="0"/>
                <w:bCs w:val="0"/>
              </w:rPr>
              <w:t>Exclusively protects natural persons and omits the legal individuals.</w:t>
            </w:r>
          </w:p>
        </w:tc>
      </w:tr>
      <w:tr w:rsidR="0098412B" w14:paraId="6526C271" w14:textId="77777777" w:rsidTr="00D63408">
        <w:trPr>
          <w:trHeight w:val="438"/>
        </w:trPr>
        <w:tc>
          <w:tcPr>
            <w:tcW w:w="1563" w:type="dxa"/>
          </w:tcPr>
          <w:p w14:paraId="07669507" w14:textId="77777777" w:rsidR="0098412B" w:rsidRDefault="0098412B" w:rsidP="00D63408">
            <w:pPr>
              <w:spacing w:line="276" w:lineRule="auto"/>
              <w:rPr>
                <w:b w:val="0"/>
                <w:bCs w:val="0"/>
              </w:rPr>
            </w:pPr>
            <w:r>
              <w:rPr>
                <w:b w:val="0"/>
                <w:bCs w:val="0"/>
              </w:rPr>
              <w:t>Data control and processing</w:t>
            </w:r>
          </w:p>
        </w:tc>
        <w:tc>
          <w:tcPr>
            <w:tcW w:w="4659" w:type="dxa"/>
          </w:tcPr>
          <w:p w14:paraId="0A4CF7A1" w14:textId="0F915349" w:rsidR="0098412B" w:rsidRPr="0098412B" w:rsidRDefault="0098412B" w:rsidP="0098412B">
            <w:pPr>
              <w:pStyle w:val="ListParagraph"/>
              <w:numPr>
                <w:ilvl w:val="0"/>
                <w:numId w:val="7"/>
              </w:numPr>
              <w:spacing w:line="276" w:lineRule="auto"/>
              <w:ind w:left="250" w:hanging="270"/>
              <w:rPr>
                <w:b w:val="0"/>
                <w:bCs w:val="0"/>
              </w:rPr>
            </w:pPr>
            <w:r>
              <w:rPr>
                <w:b w:val="0"/>
                <w:bCs w:val="0"/>
              </w:rPr>
              <w:t>Data controllers are responsible for maintaining the records of data processing activities</w:t>
            </w:r>
            <w:r w:rsidR="004873B2">
              <w:rPr>
                <w:b w:val="0"/>
                <w:bCs w:val="0"/>
              </w:rPr>
              <w:t xml:space="preserve"> (</w:t>
            </w:r>
            <w:r w:rsidR="004873B2" w:rsidRPr="004873B2">
              <w:rPr>
                <w:b w:val="0"/>
                <w:bCs w:val="0"/>
              </w:rPr>
              <w:t>Regulation</w:t>
            </w:r>
            <w:r w:rsidR="004873B2">
              <w:rPr>
                <w:b w:val="0"/>
                <w:bCs w:val="0"/>
              </w:rPr>
              <w:t>, 2018)</w:t>
            </w:r>
            <w:r>
              <w:rPr>
                <w:b w:val="0"/>
                <w:bCs w:val="0"/>
              </w:rPr>
              <w:t>.</w:t>
            </w:r>
          </w:p>
        </w:tc>
        <w:tc>
          <w:tcPr>
            <w:tcW w:w="4123" w:type="dxa"/>
          </w:tcPr>
          <w:p w14:paraId="460912E5" w14:textId="3D0AEC27" w:rsidR="0098412B" w:rsidRPr="0098412B" w:rsidRDefault="0098412B" w:rsidP="0098412B">
            <w:pPr>
              <w:pStyle w:val="ListParagraph"/>
              <w:numPr>
                <w:ilvl w:val="0"/>
                <w:numId w:val="7"/>
              </w:numPr>
              <w:spacing w:line="276" w:lineRule="auto"/>
              <w:ind w:left="169" w:hanging="180"/>
              <w:rPr>
                <w:b w:val="0"/>
                <w:bCs w:val="0"/>
              </w:rPr>
            </w:pPr>
            <w:r>
              <w:rPr>
                <w:b w:val="0"/>
                <w:bCs w:val="0"/>
              </w:rPr>
              <w:t>Business entities responsible for maintaining records of data processing activities (requests or verifications) and offer guideline of the information to be collected</w:t>
            </w:r>
            <w:r w:rsidR="002A13E8">
              <w:rPr>
                <w:b w:val="0"/>
                <w:bCs w:val="0"/>
              </w:rPr>
              <w:t xml:space="preserve"> </w:t>
            </w:r>
            <w:r w:rsidR="000C4F96">
              <w:rPr>
                <w:b w:val="0"/>
                <w:bCs w:val="0"/>
              </w:rPr>
              <w:t>(Dhar, 2021)</w:t>
            </w:r>
          </w:p>
        </w:tc>
      </w:tr>
      <w:tr w:rsidR="00C22BC3" w:rsidRPr="00647FAE" w14:paraId="4F315CEC" w14:textId="77777777" w:rsidTr="00D63408">
        <w:trPr>
          <w:trHeight w:val="438"/>
        </w:trPr>
        <w:tc>
          <w:tcPr>
            <w:tcW w:w="1563" w:type="dxa"/>
            <w:tcBorders>
              <w:top w:val="single" w:sz="4" w:space="0" w:color="auto"/>
            </w:tcBorders>
          </w:tcPr>
          <w:p w14:paraId="49EC75C3" w14:textId="7B058658" w:rsidR="00C22BC3" w:rsidRDefault="008D69AB" w:rsidP="00DA2408">
            <w:pPr>
              <w:spacing w:line="276" w:lineRule="auto"/>
              <w:rPr>
                <w:b w:val="0"/>
                <w:bCs w:val="0"/>
              </w:rPr>
            </w:pPr>
            <w:r>
              <w:rPr>
                <w:b w:val="0"/>
                <w:bCs w:val="0"/>
              </w:rPr>
              <w:t>Sensitive Personal Information</w:t>
            </w:r>
            <w:r w:rsidR="00F06D2A">
              <w:rPr>
                <w:b w:val="0"/>
                <w:bCs w:val="0"/>
              </w:rPr>
              <w:t xml:space="preserve"> (SPI)</w:t>
            </w:r>
          </w:p>
        </w:tc>
        <w:tc>
          <w:tcPr>
            <w:tcW w:w="4659" w:type="dxa"/>
            <w:tcBorders>
              <w:top w:val="single" w:sz="4" w:space="0" w:color="auto"/>
            </w:tcBorders>
          </w:tcPr>
          <w:p w14:paraId="0F6E89CB" w14:textId="51D16186" w:rsidR="00C22BC3" w:rsidRDefault="00B76B49" w:rsidP="00DA2408">
            <w:pPr>
              <w:pStyle w:val="ListParagraph"/>
              <w:numPr>
                <w:ilvl w:val="0"/>
                <w:numId w:val="6"/>
              </w:numPr>
              <w:spacing w:line="276" w:lineRule="auto"/>
              <w:ind w:left="160" w:hanging="180"/>
              <w:rPr>
                <w:b w:val="0"/>
                <w:bCs w:val="0"/>
              </w:rPr>
            </w:pPr>
            <w:r>
              <w:rPr>
                <w:b w:val="0"/>
                <w:bCs w:val="0"/>
              </w:rPr>
              <w:t>Sensitive personal data (SPD) include: race, political affiliation, religious beliefs, genetic, biometric, health and trade union data</w:t>
            </w:r>
            <w:r w:rsidR="006B29F2">
              <w:rPr>
                <w:b w:val="0"/>
                <w:bCs w:val="0"/>
              </w:rPr>
              <w:t xml:space="preserve"> (</w:t>
            </w:r>
            <w:r w:rsidR="006B29F2" w:rsidRPr="006B29F2">
              <w:rPr>
                <w:b w:val="0"/>
                <w:bCs w:val="0"/>
              </w:rPr>
              <w:t>Mondschein</w:t>
            </w:r>
            <w:r w:rsidR="006B29F2">
              <w:rPr>
                <w:b w:val="0"/>
                <w:bCs w:val="0"/>
              </w:rPr>
              <w:t xml:space="preserve"> &amp; </w:t>
            </w:r>
            <w:proofErr w:type="spellStart"/>
            <w:r w:rsidR="006B29F2" w:rsidRPr="006B29F2">
              <w:rPr>
                <w:b w:val="0"/>
                <w:bCs w:val="0"/>
              </w:rPr>
              <w:t>Monda</w:t>
            </w:r>
            <w:proofErr w:type="spellEnd"/>
            <w:r w:rsidR="006B29F2">
              <w:rPr>
                <w:b w:val="0"/>
                <w:bCs w:val="0"/>
              </w:rPr>
              <w:t xml:space="preserve">, </w:t>
            </w:r>
            <w:r w:rsidR="006033B4">
              <w:rPr>
                <w:b w:val="0"/>
                <w:bCs w:val="0"/>
              </w:rPr>
              <w:t>2019)</w:t>
            </w:r>
            <w:r>
              <w:rPr>
                <w:b w:val="0"/>
                <w:bCs w:val="0"/>
              </w:rPr>
              <w:t>.</w:t>
            </w:r>
          </w:p>
        </w:tc>
        <w:tc>
          <w:tcPr>
            <w:tcW w:w="4123" w:type="dxa"/>
            <w:tcBorders>
              <w:top w:val="single" w:sz="4" w:space="0" w:color="auto"/>
            </w:tcBorders>
          </w:tcPr>
          <w:p w14:paraId="1EA8DCF5" w14:textId="103E001C" w:rsidR="00C22BC3" w:rsidRDefault="00F06D2A" w:rsidP="00DA2408">
            <w:pPr>
              <w:pStyle w:val="ListParagraph"/>
              <w:numPr>
                <w:ilvl w:val="0"/>
                <w:numId w:val="6"/>
              </w:numPr>
              <w:spacing w:line="276" w:lineRule="auto"/>
              <w:ind w:left="169" w:hanging="180"/>
              <w:rPr>
                <w:b w:val="0"/>
                <w:bCs w:val="0"/>
              </w:rPr>
            </w:pPr>
            <w:r>
              <w:rPr>
                <w:b w:val="0"/>
                <w:bCs w:val="0"/>
              </w:rPr>
              <w:t xml:space="preserve">SPI include: </w:t>
            </w:r>
            <w:r w:rsidR="00B719BC">
              <w:rPr>
                <w:b w:val="0"/>
                <w:bCs w:val="0"/>
              </w:rPr>
              <w:t xml:space="preserve">government-issued identifiers, </w:t>
            </w:r>
            <w:r w:rsidR="001004C1">
              <w:rPr>
                <w:b w:val="0"/>
                <w:bCs w:val="0"/>
              </w:rPr>
              <w:t>geolocation, religious</w:t>
            </w:r>
            <w:r w:rsidR="003C5EFA">
              <w:rPr>
                <w:b w:val="0"/>
                <w:bCs w:val="0"/>
              </w:rPr>
              <w:t xml:space="preserve"> beliefs, financial, health and genetic</w:t>
            </w:r>
            <w:r w:rsidR="006326D3">
              <w:rPr>
                <w:b w:val="0"/>
                <w:bCs w:val="0"/>
              </w:rPr>
              <w:t xml:space="preserve"> (</w:t>
            </w:r>
            <w:proofErr w:type="spellStart"/>
            <w:r w:rsidR="006326D3" w:rsidRPr="006326D3">
              <w:rPr>
                <w:b w:val="0"/>
                <w:bCs w:val="0"/>
              </w:rPr>
              <w:t>Gamwell</w:t>
            </w:r>
            <w:proofErr w:type="spellEnd"/>
            <w:r w:rsidR="006326D3">
              <w:rPr>
                <w:b w:val="0"/>
                <w:bCs w:val="0"/>
              </w:rPr>
              <w:t>, 2022)</w:t>
            </w:r>
            <w:r w:rsidR="003C5EFA">
              <w:rPr>
                <w:b w:val="0"/>
                <w:bCs w:val="0"/>
              </w:rPr>
              <w:t>.</w:t>
            </w:r>
          </w:p>
        </w:tc>
      </w:tr>
      <w:tr w:rsidR="002A04E4" w:rsidRPr="00647FAE" w14:paraId="12FB07D5" w14:textId="77777777" w:rsidTr="00D63408">
        <w:trPr>
          <w:trHeight w:val="438"/>
        </w:trPr>
        <w:tc>
          <w:tcPr>
            <w:tcW w:w="1563" w:type="dxa"/>
          </w:tcPr>
          <w:p w14:paraId="0D27191C" w14:textId="2DCBA664" w:rsidR="002A04E4" w:rsidRDefault="002A04E4" w:rsidP="00D63408">
            <w:pPr>
              <w:spacing w:after="160" w:line="276" w:lineRule="auto"/>
              <w:rPr>
                <w:b w:val="0"/>
                <w:bCs w:val="0"/>
              </w:rPr>
            </w:pPr>
            <w:r>
              <w:rPr>
                <w:b w:val="0"/>
                <w:bCs w:val="0"/>
              </w:rPr>
              <w:t>Data Privacy Impact Assessment</w:t>
            </w:r>
            <w:r w:rsidR="00674878">
              <w:rPr>
                <w:b w:val="0"/>
                <w:bCs w:val="0"/>
              </w:rPr>
              <w:t xml:space="preserve"> (DPIA)</w:t>
            </w:r>
          </w:p>
        </w:tc>
        <w:tc>
          <w:tcPr>
            <w:tcW w:w="4659" w:type="dxa"/>
          </w:tcPr>
          <w:p w14:paraId="2FFAEF43" w14:textId="62E7F943" w:rsidR="002A04E4" w:rsidRDefault="00674878" w:rsidP="00D63408">
            <w:pPr>
              <w:pStyle w:val="ListParagraph"/>
              <w:numPr>
                <w:ilvl w:val="0"/>
                <w:numId w:val="7"/>
              </w:numPr>
              <w:spacing w:after="160" w:line="276" w:lineRule="auto"/>
              <w:ind w:left="250" w:hanging="270"/>
              <w:rPr>
                <w:b w:val="0"/>
                <w:bCs w:val="0"/>
              </w:rPr>
            </w:pPr>
            <w:r>
              <w:rPr>
                <w:b w:val="0"/>
                <w:bCs w:val="0"/>
              </w:rPr>
              <w:t>Organizations performing high-risk data processing must conduct DPIA before processing</w:t>
            </w:r>
            <w:r w:rsidR="00B046BB">
              <w:rPr>
                <w:b w:val="0"/>
                <w:bCs w:val="0"/>
              </w:rPr>
              <w:t xml:space="preserve"> (</w:t>
            </w:r>
            <w:r w:rsidR="00B046BB" w:rsidRPr="00B046BB">
              <w:rPr>
                <w:b w:val="0"/>
                <w:bCs w:val="0"/>
              </w:rPr>
              <w:t>Regulation</w:t>
            </w:r>
            <w:r w:rsidR="00B046BB">
              <w:rPr>
                <w:b w:val="0"/>
                <w:bCs w:val="0"/>
              </w:rPr>
              <w:t>, 2018)</w:t>
            </w:r>
            <w:r>
              <w:rPr>
                <w:b w:val="0"/>
                <w:bCs w:val="0"/>
              </w:rPr>
              <w:t>.</w:t>
            </w:r>
          </w:p>
        </w:tc>
        <w:tc>
          <w:tcPr>
            <w:tcW w:w="4123" w:type="dxa"/>
          </w:tcPr>
          <w:p w14:paraId="48B997A2" w14:textId="358972E4" w:rsidR="002A04E4" w:rsidRDefault="002A04E4" w:rsidP="00D63408">
            <w:pPr>
              <w:pStyle w:val="ListParagraph"/>
              <w:numPr>
                <w:ilvl w:val="0"/>
                <w:numId w:val="7"/>
              </w:numPr>
              <w:spacing w:after="160" w:line="276" w:lineRule="auto"/>
              <w:ind w:left="169" w:hanging="180"/>
              <w:rPr>
                <w:b w:val="0"/>
                <w:bCs w:val="0"/>
              </w:rPr>
            </w:pPr>
            <w:r>
              <w:rPr>
                <w:b w:val="0"/>
                <w:bCs w:val="0"/>
              </w:rPr>
              <w:t xml:space="preserve">Businesses </w:t>
            </w:r>
            <w:r w:rsidR="00DD3A56">
              <w:rPr>
                <w:b w:val="0"/>
                <w:bCs w:val="0"/>
              </w:rPr>
              <w:t xml:space="preserve">that </w:t>
            </w:r>
            <w:r w:rsidR="00857261">
              <w:rPr>
                <w:b w:val="0"/>
                <w:bCs w:val="0"/>
              </w:rPr>
              <w:t>process</w:t>
            </w:r>
            <w:r w:rsidR="00DD3A56">
              <w:rPr>
                <w:b w:val="0"/>
                <w:bCs w:val="0"/>
              </w:rPr>
              <w:t xml:space="preserve"> high-risk consumer personal information must </w:t>
            </w:r>
            <w:r w:rsidR="00857261">
              <w:rPr>
                <w:b w:val="0"/>
                <w:bCs w:val="0"/>
              </w:rPr>
              <w:t>perform regular risk assessments and annual cybersecurity audit</w:t>
            </w:r>
            <w:r w:rsidR="00BF3561">
              <w:rPr>
                <w:b w:val="0"/>
                <w:bCs w:val="0"/>
              </w:rPr>
              <w:t xml:space="preserve"> then submit the report to CPRA</w:t>
            </w:r>
            <w:r w:rsidR="00982DD5">
              <w:rPr>
                <w:b w:val="0"/>
                <w:bCs w:val="0"/>
              </w:rPr>
              <w:t xml:space="preserve"> (Walker, 2020)</w:t>
            </w:r>
            <w:r w:rsidR="00BF3561">
              <w:rPr>
                <w:b w:val="0"/>
                <w:bCs w:val="0"/>
              </w:rPr>
              <w:t>.</w:t>
            </w:r>
          </w:p>
        </w:tc>
      </w:tr>
    </w:tbl>
    <w:p w14:paraId="5A2113C0" w14:textId="77777777" w:rsidR="00E11F9C" w:rsidRDefault="00E11F9C" w:rsidP="0039504C">
      <w:pPr>
        <w:rPr>
          <w:b w:val="0"/>
          <w:bCs w:val="0"/>
        </w:rPr>
      </w:pPr>
    </w:p>
    <w:p w14:paraId="1F5FEADC" w14:textId="0F8C67E7" w:rsidR="001E2F94" w:rsidRPr="001A5C40" w:rsidRDefault="001E2F94" w:rsidP="001A5C40">
      <w:pPr>
        <w:pStyle w:val="Heading2"/>
        <w:rPr>
          <w:rFonts w:ascii="Times New Roman" w:hAnsi="Times New Roman" w:cs="Times New Roman"/>
        </w:rPr>
      </w:pPr>
      <w:bookmarkStart w:id="13" w:name="_Toc109950688"/>
      <w:r w:rsidRPr="001A5C40">
        <w:rPr>
          <w:rFonts w:ascii="Times New Roman" w:hAnsi="Times New Roman" w:cs="Times New Roman"/>
          <w:color w:val="auto"/>
          <w:sz w:val="24"/>
          <w:szCs w:val="24"/>
        </w:rPr>
        <w:t>2.3 Discussion</w:t>
      </w:r>
      <w:bookmarkEnd w:id="13"/>
    </w:p>
    <w:p w14:paraId="3BF92D7C" w14:textId="56230DC4" w:rsidR="00B2030D" w:rsidRPr="00B2030D" w:rsidRDefault="00B2030D" w:rsidP="00F27859">
      <w:pPr>
        <w:ind w:firstLine="720"/>
        <w:rPr>
          <w:b w:val="0"/>
          <w:bCs w:val="0"/>
        </w:rPr>
      </w:pPr>
      <w:r w:rsidRPr="00B2030D">
        <w:rPr>
          <w:b w:val="0"/>
          <w:bCs w:val="0"/>
        </w:rPr>
        <w:t xml:space="preserve">From the analysis of GDPR 2018 and CPRA 2020, it’s clear that they are similar in terms of their roles and purposes. </w:t>
      </w:r>
      <w:r w:rsidR="00975CDA">
        <w:rPr>
          <w:b w:val="0"/>
          <w:bCs w:val="0"/>
        </w:rPr>
        <w:t xml:space="preserve">According to </w:t>
      </w:r>
      <w:r w:rsidR="009013EF">
        <w:rPr>
          <w:b w:val="0"/>
          <w:bCs w:val="0"/>
        </w:rPr>
        <w:t>Dhar (2021), b</w:t>
      </w:r>
      <w:r w:rsidRPr="00B2030D">
        <w:rPr>
          <w:b w:val="0"/>
          <w:bCs w:val="0"/>
        </w:rPr>
        <w:t xml:space="preserve">oth of them provide individuals with data privacy rights within which organizations or business entities can process their personal data. For example, both of them grant individuals the right to be informed on how their personal data will be processed or shared before being collected. Examples of the common rights in GDPR and CPRA are the right to know and the right to delete personal data after the legitimate </w:t>
      </w:r>
      <w:r w:rsidRPr="00B2030D">
        <w:rPr>
          <w:b w:val="0"/>
          <w:bCs w:val="0"/>
        </w:rPr>
        <w:lastRenderedPageBreak/>
        <w:t>processing period</w:t>
      </w:r>
      <w:r w:rsidR="00CB1284">
        <w:rPr>
          <w:b w:val="0"/>
          <w:bCs w:val="0"/>
        </w:rPr>
        <w:t xml:space="preserve"> (Dhar, 2021)</w:t>
      </w:r>
      <w:r w:rsidRPr="00B2030D">
        <w:rPr>
          <w:b w:val="0"/>
          <w:bCs w:val="0"/>
        </w:rPr>
        <w:t>. The key similarities manifest under data minimization, SPI, purpose, DPIA, and storage limitation.</w:t>
      </w:r>
    </w:p>
    <w:p w14:paraId="57EBAB83" w14:textId="3C7A137B" w:rsidR="000768E3" w:rsidRPr="00B27000" w:rsidRDefault="00B2030D" w:rsidP="00F27859">
      <w:pPr>
        <w:ind w:firstLine="720"/>
        <w:rPr>
          <w:b w:val="0"/>
          <w:bCs w:val="0"/>
        </w:rPr>
      </w:pPr>
      <w:r w:rsidRPr="00B2030D">
        <w:rPr>
          <w:b w:val="0"/>
          <w:bCs w:val="0"/>
        </w:rPr>
        <w:t>Based on the study, GDPR emphasizes accountability and governance elements of personal data processing. In contrast, CPRA emphasizes offering to boost consumer confidence by offering them robust sale limiting tools inform of legal rights</w:t>
      </w:r>
      <w:r w:rsidR="0054432D">
        <w:rPr>
          <w:b w:val="0"/>
          <w:bCs w:val="0"/>
        </w:rPr>
        <w:t xml:space="preserve"> </w:t>
      </w:r>
      <w:r w:rsidR="002F5C73">
        <w:rPr>
          <w:b w:val="0"/>
          <w:bCs w:val="0"/>
        </w:rPr>
        <w:t>(Walker, 2020)</w:t>
      </w:r>
      <w:r w:rsidRPr="00B2030D">
        <w:rPr>
          <w:b w:val="0"/>
          <w:bCs w:val="0"/>
        </w:rPr>
        <w:t>. Another difference between the two is that under GDPR, individuals are obliged to use the tools, while CPRA does not oblige the consumers to use the provided tools. Even if individuals take no action against the organization in GDPR, the regulation still takes effect. In contrast, no restrictions affect how business entities use personal data if the consumers fail to take charge under CPRA. CPRA is a recommendation of data privacy regulation for other US states to adopt.</w:t>
      </w:r>
    </w:p>
    <w:p w14:paraId="3DC1C8AC" w14:textId="032F6DA2" w:rsidR="001E2F94" w:rsidRPr="00111170" w:rsidRDefault="001E2F94" w:rsidP="00CD7BCA">
      <w:pPr>
        <w:pStyle w:val="Heading1"/>
      </w:pPr>
      <w:bookmarkStart w:id="14" w:name="_Toc109950689"/>
      <w:r w:rsidRPr="00CD7BCA">
        <w:t>3. Conclusion</w:t>
      </w:r>
      <w:bookmarkEnd w:id="14"/>
    </w:p>
    <w:p w14:paraId="44F93CC9" w14:textId="0EE4F151" w:rsidR="001E2F94" w:rsidRPr="00CD7BCA" w:rsidRDefault="001E2F94" w:rsidP="00CD7BCA">
      <w:pPr>
        <w:pStyle w:val="Heading2"/>
        <w:rPr>
          <w:rFonts w:ascii="Times New Roman" w:hAnsi="Times New Roman" w:cs="Times New Roman"/>
        </w:rPr>
      </w:pPr>
      <w:bookmarkStart w:id="15" w:name="_Toc109950690"/>
      <w:r w:rsidRPr="00CD7BCA">
        <w:rPr>
          <w:rFonts w:ascii="Times New Roman" w:hAnsi="Times New Roman" w:cs="Times New Roman"/>
          <w:color w:val="auto"/>
          <w:sz w:val="24"/>
          <w:szCs w:val="24"/>
        </w:rPr>
        <w:t xml:space="preserve">3.1 </w:t>
      </w:r>
      <w:r w:rsidR="00807FBE" w:rsidRPr="00CD7BCA">
        <w:rPr>
          <w:rFonts w:ascii="Times New Roman" w:hAnsi="Times New Roman" w:cs="Times New Roman"/>
          <w:color w:val="auto"/>
          <w:sz w:val="24"/>
          <w:szCs w:val="24"/>
        </w:rPr>
        <w:t>C</w:t>
      </w:r>
      <w:r w:rsidRPr="00CD7BCA">
        <w:rPr>
          <w:rFonts w:ascii="Times New Roman" w:hAnsi="Times New Roman" w:cs="Times New Roman"/>
          <w:color w:val="auto"/>
          <w:sz w:val="24"/>
          <w:szCs w:val="24"/>
        </w:rPr>
        <w:t xml:space="preserve">laims and </w:t>
      </w:r>
      <w:r w:rsidR="00807FBE" w:rsidRPr="00CD7BCA">
        <w:rPr>
          <w:rFonts w:ascii="Times New Roman" w:hAnsi="Times New Roman" w:cs="Times New Roman"/>
          <w:color w:val="auto"/>
          <w:sz w:val="24"/>
          <w:szCs w:val="24"/>
        </w:rPr>
        <w:t>F</w:t>
      </w:r>
      <w:r w:rsidRPr="00CD7BCA">
        <w:rPr>
          <w:rFonts w:ascii="Times New Roman" w:hAnsi="Times New Roman" w:cs="Times New Roman"/>
          <w:color w:val="auto"/>
          <w:sz w:val="24"/>
          <w:szCs w:val="24"/>
        </w:rPr>
        <w:t xml:space="preserve">indings </w:t>
      </w:r>
      <w:r w:rsidR="00807FBE" w:rsidRPr="00CD7BCA">
        <w:rPr>
          <w:rFonts w:ascii="Times New Roman" w:hAnsi="Times New Roman" w:cs="Times New Roman"/>
          <w:color w:val="auto"/>
          <w:sz w:val="24"/>
          <w:szCs w:val="24"/>
        </w:rPr>
        <w:t>S</w:t>
      </w:r>
      <w:r w:rsidRPr="00CD7BCA">
        <w:rPr>
          <w:rFonts w:ascii="Times New Roman" w:hAnsi="Times New Roman" w:cs="Times New Roman"/>
          <w:color w:val="auto"/>
          <w:sz w:val="24"/>
          <w:szCs w:val="24"/>
        </w:rPr>
        <w:t>upport</w:t>
      </w:r>
      <w:r w:rsidR="00807FBE" w:rsidRPr="00CD7BCA">
        <w:rPr>
          <w:rFonts w:ascii="Times New Roman" w:hAnsi="Times New Roman" w:cs="Times New Roman"/>
          <w:color w:val="auto"/>
          <w:sz w:val="24"/>
          <w:szCs w:val="24"/>
        </w:rPr>
        <w:t>ing</w:t>
      </w:r>
      <w:r w:rsidRPr="00CD7BCA">
        <w:rPr>
          <w:rFonts w:ascii="Times New Roman" w:hAnsi="Times New Roman" w:cs="Times New Roman"/>
          <w:color w:val="auto"/>
          <w:sz w:val="24"/>
          <w:szCs w:val="24"/>
        </w:rPr>
        <w:t xml:space="preserve"> </w:t>
      </w:r>
      <w:r w:rsidR="004D791F" w:rsidRPr="00CD7BCA">
        <w:rPr>
          <w:rFonts w:ascii="Times New Roman" w:hAnsi="Times New Roman" w:cs="Times New Roman"/>
          <w:color w:val="auto"/>
          <w:sz w:val="24"/>
          <w:szCs w:val="24"/>
        </w:rPr>
        <w:t>the C</w:t>
      </w:r>
      <w:r w:rsidRPr="00CD7BCA">
        <w:rPr>
          <w:rFonts w:ascii="Times New Roman" w:hAnsi="Times New Roman" w:cs="Times New Roman"/>
          <w:color w:val="auto"/>
          <w:sz w:val="24"/>
          <w:szCs w:val="24"/>
        </w:rPr>
        <w:t>laims</w:t>
      </w:r>
      <w:bookmarkEnd w:id="15"/>
    </w:p>
    <w:p w14:paraId="48042032" w14:textId="77777777" w:rsidR="0022079E" w:rsidRPr="003619A3" w:rsidRDefault="0022079E" w:rsidP="00646CDD">
      <w:pPr>
        <w:pStyle w:val="ListParagraph"/>
        <w:numPr>
          <w:ilvl w:val="0"/>
          <w:numId w:val="9"/>
        </w:numPr>
        <w:ind w:left="360"/>
        <w:rPr>
          <w:b w:val="0"/>
          <w:bCs w:val="0"/>
        </w:rPr>
      </w:pPr>
      <w:r w:rsidRPr="003619A3">
        <w:rPr>
          <w:b w:val="0"/>
          <w:bCs w:val="0"/>
        </w:rPr>
        <w:t>GDPR 2018 and CPRA 2020 are similar in their purpose and roles within their jurisdictions.</w:t>
      </w:r>
    </w:p>
    <w:p w14:paraId="6153EF29" w14:textId="77777777" w:rsidR="0022079E" w:rsidRPr="003619A3" w:rsidRDefault="0022079E" w:rsidP="00646CDD">
      <w:pPr>
        <w:pStyle w:val="ListParagraph"/>
        <w:numPr>
          <w:ilvl w:val="0"/>
          <w:numId w:val="9"/>
        </w:numPr>
        <w:ind w:left="360"/>
        <w:rPr>
          <w:b w:val="0"/>
          <w:bCs w:val="0"/>
        </w:rPr>
      </w:pPr>
      <w:r w:rsidRPr="003619A3">
        <w:rPr>
          <w:b w:val="0"/>
          <w:bCs w:val="0"/>
        </w:rPr>
        <w:t>Both GDPR and CPRA are updated versions of the Data Privacy Acts. GDPR 2018 was reformed and passed to replace the EU Data Protection Directive of 1995. On the other hand, CAPR 2020 is an updated version of CCPA 2018.</w:t>
      </w:r>
    </w:p>
    <w:p w14:paraId="6C0ADF4B" w14:textId="77777777" w:rsidR="0022079E" w:rsidRPr="003619A3" w:rsidRDefault="0022079E" w:rsidP="00646CDD">
      <w:pPr>
        <w:pStyle w:val="ListParagraph"/>
        <w:numPr>
          <w:ilvl w:val="0"/>
          <w:numId w:val="9"/>
        </w:numPr>
        <w:ind w:left="360"/>
        <w:rPr>
          <w:b w:val="0"/>
          <w:bCs w:val="0"/>
        </w:rPr>
      </w:pPr>
      <w:r w:rsidRPr="003619A3">
        <w:rPr>
          <w:b w:val="0"/>
          <w:bCs w:val="0"/>
        </w:rPr>
        <w:t>The two Acts protect the personal data processing rights and security of ‘individual persons’ from being violated by organizations and businesses.</w:t>
      </w:r>
    </w:p>
    <w:p w14:paraId="7825338F" w14:textId="77777777" w:rsidR="0022079E" w:rsidRPr="003619A3" w:rsidRDefault="0022079E" w:rsidP="00646CDD">
      <w:pPr>
        <w:pStyle w:val="ListParagraph"/>
        <w:numPr>
          <w:ilvl w:val="0"/>
          <w:numId w:val="9"/>
        </w:numPr>
        <w:ind w:left="360"/>
        <w:rPr>
          <w:b w:val="0"/>
          <w:bCs w:val="0"/>
        </w:rPr>
      </w:pPr>
      <w:r w:rsidRPr="003619A3">
        <w:rPr>
          <w:b w:val="0"/>
          <w:bCs w:val="0"/>
        </w:rPr>
        <w:t>Similarities between GDPR and CPRA are numerous compared to the differences. This is reflected by a large number of similar rights and legal aspects.</w:t>
      </w:r>
    </w:p>
    <w:p w14:paraId="0CF01944" w14:textId="030DBCBC" w:rsidR="00A7332B" w:rsidRPr="003619A3" w:rsidRDefault="0022079E" w:rsidP="00646CDD">
      <w:pPr>
        <w:pStyle w:val="ListParagraph"/>
        <w:numPr>
          <w:ilvl w:val="0"/>
          <w:numId w:val="9"/>
        </w:numPr>
        <w:ind w:left="360"/>
        <w:rPr>
          <w:b w:val="0"/>
          <w:bCs w:val="0"/>
        </w:rPr>
      </w:pPr>
      <w:r w:rsidRPr="003619A3">
        <w:rPr>
          <w:b w:val="0"/>
          <w:bCs w:val="0"/>
        </w:rPr>
        <w:t>After CPRA gets to full power on January 1, 2023, there are chances of the Act being adopted by the Federal government in less than eight years. Several American states have already shown interest in the CPRA and will likely push for adoption across the country.</w:t>
      </w:r>
      <w:r w:rsidR="00A7332B" w:rsidRPr="003619A3">
        <w:rPr>
          <w:b w:val="0"/>
          <w:bCs w:val="0"/>
        </w:rPr>
        <w:br w:type="page"/>
      </w:r>
    </w:p>
    <w:p w14:paraId="53377D06" w14:textId="07EEB855" w:rsidR="005D1550" w:rsidRPr="00813C85" w:rsidRDefault="00A7332B" w:rsidP="00A7332B">
      <w:pPr>
        <w:jc w:val="center"/>
      </w:pPr>
      <w:r w:rsidRPr="00813C85">
        <w:lastRenderedPageBreak/>
        <w:t>References</w:t>
      </w:r>
    </w:p>
    <w:p w14:paraId="71ACD08B" w14:textId="77777777" w:rsidR="00813C85" w:rsidRPr="0048720B" w:rsidRDefault="00813C85" w:rsidP="0048720B">
      <w:pPr>
        <w:ind w:left="720" w:hanging="720"/>
        <w:rPr>
          <w:b w:val="0"/>
          <w:bCs w:val="0"/>
        </w:rPr>
      </w:pPr>
      <w:r w:rsidRPr="0048720B">
        <w:rPr>
          <w:b w:val="0"/>
          <w:bCs w:val="0"/>
        </w:rPr>
        <w:t>Becker, M. (2019). Privacy in the digital age: comparing and contrasting individual versus social approaches towards privacy. </w:t>
      </w:r>
      <w:r w:rsidRPr="0048720B">
        <w:rPr>
          <w:b w:val="0"/>
          <w:bCs w:val="0"/>
          <w:i/>
          <w:iCs/>
        </w:rPr>
        <w:t>Ethics and Information Technology</w:t>
      </w:r>
      <w:r w:rsidRPr="0048720B">
        <w:rPr>
          <w:b w:val="0"/>
          <w:bCs w:val="0"/>
        </w:rPr>
        <w:t>, </w:t>
      </w:r>
      <w:r w:rsidRPr="0048720B">
        <w:rPr>
          <w:b w:val="0"/>
          <w:bCs w:val="0"/>
          <w:i/>
          <w:iCs/>
        </w:rPr>
        <w:t>21</w:t>
      </w:r>
      <w:r w:rsidRPr="0048720B">
        <w:rPr>
          <w:b w:val="0"/>
          <w:bCs w:val="0"/>
        </w:rPr>
        <w:t>(4), 307-317.</w:t>
      </w:r>
    </w:p>
    <w:p w14:paraId="0DC95CE9" w14:textId="77777777" w:rsidR="00813C85" w:rsidRPr="00A7332B" w:rsidRDefault="00813C85" w:rsidP="0048720B">
      <w:pPr>
        <w:ind w:left="720" w:hanging="720"/>
        <w:rPr>
          <w:b w:val="0"/>
          <w:bCs w:val="0"/>
        </w:rPr>
      </w:pPr>
      <w:proofErr w:type="spellStart"/>
      <w:r w:rsidRPr="0048720B">
        <w:rPr>
          <w:b w:val="0"/>
          <w:bCs w:val="0"/>
        </w:rPr>
        <w:t>Determann</w:t>
      </w:r>
      <w:proofErr w:type="spellEnd"/>
      <w:r w:rsidRPr="0048720B">
        <w:rPr>
          <w:b w:val="0"/>
          <w:bCs w:val="0"/>
        </w:rPr>
        <w:t>, L. (2022). California Privacy Law Vectors for Data Disclosures. </w:t>
      </w:r>
      <w:r w:rsidRPr="0048720B">
        <w:rPr>
          <w:b w:val="0"/>
          <w:bCs w:val="0"/>
          <w:i/>
          <w:iCs/>
        </w:rPr>
        <w:t>Available at SSRN 4146903</w:t>
      </w:r>
      <w:r w:rsidRPr="0048720B">
        <w:rPr>
          <w:b w:val="0"/>
          <w:bCs w:val="0"/>
        </w:rPr>
        <w:t>.</w:t>
      </w:r>
    </w:p>
    <w:p w14:paraId="00FE063A" w14:textId="77777777" w:rsidR="00813C85" w:rsidRPr="0048720B" w:rsidRDefault="00813C85" w:rsidP="0048720B">
      <w:pPr>
        <w:ind w:left="720" w:hanging="720"/>
        <w:rPr>
          <w:b w:val="0"/>
          <w:bCs w:val="0"/>
        </w:rPr>
      </w:pPr>
      <w:proofErr w:type="spellStart"/>
      <w:r w:rsidRPr="0048720B">
        <w:rPr>
          <w:b w:val="0"/>
          <w:bCs w:val="0"/>
        </w:rPr>
        <w:t>Determann</w:t>
      </w:r>
      <w:proofErr w:type="spellEnd"/>
      <w:r w:rsidRPr="0048720B">
        <w:rPr>
          <w:b w:val="0"/>
          <w:bCs w:val="0"/>
        </w:rPr>
        <w:t>, L., &amp; Tam, J. (2020). The California Privacy Rights Act of 2020: A broad and complex data processing regulation that applies to businesses worldwide. </w:t>
      </w:r>
      <w:r w:rsidRPr="0048720B">
        <w:rPr>
          <w:b w:val="0"/>
          <w:bCs w:val="0"/>
          <w:i/>
          <w:iCs/>
        </w:rPr>
        <w:t>Journal of Data Protection &amp; Privacy</w:t>
      </w:r>
      <w:r w:rsidRPr="0048720B">
        <w:rPr>
          <w:b w:val="0"/>
          <w:bCs w:val="0"/>
        </w:rPr>
        <w:t>, </w:t>
      </w:r>
      <w:r w:rsidRPr="0048720B">
        <w:rPr>
          <w:b w:val="0"/>
          <w:bCs w:val="0"/>
          <w:i/>
          <w:iCs/>
        </w:rPr>
        <w:t>4</w:t>
      </w:r>
      <w:r w:rsidRPr="0048720B">
        <w:rPr>
          <w:b w:val="0"/>
          <w:bCs w:val="0"/>
        </w:rPr>
        <w:t>(1), 7-21.</w:t>
      </w:r>
    </w:p>
    <w:p w14:paraId="2C419FA9" w14:textId="77777777" w:rsidR="00813C85" w:rsidRPr="0048720B" w:rsidRDefault="00813C85" w:rsidP="0048720B">
      <w:pPr>
        <w:ind w:left="720" w:hanging="720"/>
        <w:rPr>
          <w:b w:val="0"/>
          <w:bCs w:val="0"/>
        </w:rPr>
      </w:pPr>
      <w:r w:rsidRPr="0048720B">
        <w:rPr>
          <w:b w:val="0"/>
          <w:bCs w:val="0"/>
        </w:rPr>
        <w:t>Dhar, T. (2021). The California Consumer Privacy Act: The ethos, similarities and differences vis-a-vis the General Data Protection Regulation and the road ahead in light of California Privacy Rights Act. </w:t>
      </w:r>
      <w:r w:rsidRPr="0048720B">
        <w:rPr>
          <w:b w:val="0"/>
          <w:bCs w:val="0"/>
          <w:i/>
          <w:iCs/>
        </w:rPr>
        <w:t>Journal of Data Protection &amp; Privacy</w:t>
      </w:r>
      <w:r w:rsidRPr="0048720B">
        <w:rPr>
          <w:b w:val="0"/>
          <w:bCs w:val="0"/>
        </w:rPr>
        <w:t>, </w:t>
      </w:r>
      <w:r w:rsidRPr="0048720B">
        <w:rPr>
          <w:b w:val="0"/>
          <w:bCs w:val="0"/>
          <w:i/>
          <w:iCs/>
        </w:rPr>
        <w:t>4</w:t>
      </w:r>
      <w:r w:rsidRPr="0048720B">
        <w:rPr>
          <w:b w:val="0"/>
          <w:bCs w:val="0"/>
        </w:rPr>
        <w:t>(2), 170-192.</w:t>
      </w:r>
    </w:p>
    <w:p w14:paraId="6C96DFE6" w14:textId="77777777" w:rsidR="00813C85" w:rsidRPr="0048720B" w:rsidRDefault="00813C85" w:rsidP="0048720B">
      <w:pPr>
        <w:ind w:left="720" w:hanging="720"/>
        <w:rPr>
          <w:b w:val="0"/>
          <w:bCs w:val="0"/>
        </w:rPr>
      </w:pPr>
      <w:proofErr w:type="spellStart"/>
      <w:r w:rsidRPr="0048720B">
        <w:rPr>
          <w:b w:val="0"/>
          <w:bCs w:val="0"/>
        </w:rPr>
        <w:t>Federman</w:t>
      </w:r>
      <w:proofErr w:type="spellEnd"/>
      <w:r w:rsidRPr="0048720B">
        <w:rPr>
          <w:b w:val="0"/>
          <w:bCs w:val="0"/>
        </w:rPr>
        <w:t>, H. (2020). Exploring the California Privacy Rights Act. </w:t>
      </w:r>
      <w:r w:rsidRPr="0048720B">
        <w:rPr>
          <w:b w:val="0"/>
          <w:bCs w:val="0"/>
          <w:i/>
          <w:iCs/>
        </w:rPr>
        <w:t>Risk Management</w:t>
      </w:r>
      <w:r w:rsidRPr="0048720B">
        <w:rPr>
          <w:b w:val="0"/>
          <w:bCs w:val="0"/>
        </w:rPr>
        <w:t>, </w:t>
      </w:r>
      <w:r w:rsidRPr="0048720B">
        <w:rPr>
          <w:b w:val="0"/>
          <w:bCs w:val="0"/>
          <w:i/>
          <w:iCs/>
        </w:rPr>
        <w:t>67</w:t>
      </w:r>
      <w:r w:rsidRPr="0048720B">
        <w:rPr>
          <w:b w:val="0"/>
          <w:bCs w:val="0"/>
        </w:rPr>
        <w:t>(11), 10-11.</w:t>
      </w:r>
    </w:p>
    <w:p w14:paraId="73186729" w14:textId="77777777" w:rsidR="00813C85" w:rsidRPr="0048720B" w:rsidRDefault="00813C85" w:rsidP="0048720B">
      <w:pPr>
        <w:ind w:left="720" w:hanging="720"/>
        <w:rPr>
          <w:b w:val="0"/>
          <w:bCs w:val="0"/>
        </w:rPr>
      </w:pPr>
      <w:proofErr w:type="spellStart"/>
      <w:r w:rsidRPr="0048720B">
        <w:rPr>
          <w:b w:val="0"/>
          <w:bCs w:val="0"/>
        </w:rPr>
        <w:t>Gamwell</w:t>
      </w:r>
      <w:proofErr w:type="spellEnd"/>
      <w:r w:rsidRPr="0048720B">
        <w:rPr>
          <w:b w:val="0"/>
          <w:bCs w:val="0"/>
        </w:rPr>
        <w:t>, B. (2022). California Consumer Protection Act (CCPA): Narrowing CCPA Exemptions Will Ensure Greater Privacy Protections.</w:t>
      </w:r>
    </w:p>
    <w:p w14:paraId="0A3A8802" w14:textId="77777777" w:rsidR="00813C85" w:rsidRPr="0048720B" w:rsidRDefault="00813C85" w:rsidP="0048720B">
      <w:pPr>
        <w:ind w:left="720" w:hanging="720"/>
        <w:rPr>
          <w:b w:val="0"/>
          <w:bCs w:val="0"/>
        </w:rPr>
      </w:pPr>
      <w:bookmarkStart w:id="16" w:name="_Hlk109947043"/>
      <w:proofErr w:type="spellStart"/>
      <w:r w:rsidRPr="0048720B">
        <w:rPr>
          <w:b w:val="0"/>
          <w:bCs w:val="0"/>
        </w:rPr>
        <w:t>Gaukroger</w:t>
      </w:r>
      <w:bookmarkEnd w:id="16"/>
      <w:proofErr w:type="spellEnd"/>
      <w:r w:rsidRPr="0048720B">
        <w:rPr>
          <w:b w:val="0"/>
          <w:bCs w:val="0"/>
        </w:rPr>
        <w:t>, C. (2020). Privacy and the importance of ‘getting away with it’. </w:t>
      </w:r>
      <w:r w:rsidRPr="0048720B">
        <w:rPr>
          <w:b w:val="0"/>
          <w:bCs w:val="0"/>
          <w:i/>
          <w:iCs/>
        </w:rPr>
        <w:t>journal of moral philosophy</w:t>
      </w:r>
      <w:r w:rsidRPr="0048720B">
        <w:rPr>
          <w:b w:val="0"/>
          <w:bCs w:val="0"/>
        </w:rPr>
        <w:t>, </w:t>
      </w:r>
      <w:r w:rsidRPr="0048720B">
        <w:rPr>
          <w:b w:val="0"/>
          <w:bCs w:val="0"/>
          <w:i/>
          <w:iCs/>
        </w:rPr>
        <w:t>17</w:t>
      </w:r>
      <w:r w:rsidRPr="0048720B">
        <w:rPr>
          <w:b w:val="0"/>
          <w:bCs w:val="0"/>
        </w:rPr>
        <w:t xml:space="preserve">(4), 416-439. </w:t>
      </w:r>
    </w:p>
    <w:p w14:paraId="02806ECD" w14:textId="77777777" w:rsidR="00813C85" w:rsidRPr="0048720B" w:rsidRDefault="00813C85" w:rsidP="0048720B">
      <w:pPr>
        <w:ind w:left="720" w:hanging="720"/>
        <w:rPr>
          <w:b w:val="0"/>
          <w:bCs w:val="0"/>
        </w:rPr>
      </w:pPr>
      <w:r w:rsidRPr="0048720B">
        <w:rPr>
          <w:b w:val="0"/>
          <w:bCs w:val="0"/>
        </w:rPr>
        <w:t xml:space="preserve">Mondschein, C. F., &amp; </w:t>
      </w:r>
      <w:proofErr w:type="spellStart"/>
      <w:r w:rsidRPr="0048720B">
        <w:rPr>
          <w:b w:val="0"/>
          <w:bCs w:val="0"/>
        </w:rPr>
        <w:t>Monda</w:t>
      </w:r>
      <w:proofErr w:type="spellEnd"/>
      <w:r w:rsidRPr="0048720B">
        <w:rPr>
          <w:b w:val="0"/>
          <w:bCs w:val="0"/>
        </w:rPr>
        <w:t>, C. (2019). The EU’s General Data Protection Regulation (GDPR) in a research context. </w:t>
      </w:r>
      <w:r w:rsidRPr="0048720B">
        <w:rPr>
          <w:b w:val="0"/>
          <w:bCs w:val="0"/>
          <w:i/>
          <w:iCs/>
        </w:rPr>
        <w:t>Fundamentals of clinical data science</w:t>
      </w:r>
      <w:r w:rsidRPr="0048720B">
        <w:rPr>
          <w:b w:val="0"/>
          <w:bCs w:val="0"/>
        </w:rPr>
        <w:t>, 55-71.</w:t>
      </w:r>
    </w:p>
    <w:p w14:paraId="1427592F" w14:textId="77777777" w:rsidR="00813C85" w:rsidRPr="0048720B" w:rsidRDefault="00813C85" w:rsidP="0048720B">
      <w:pPr>
        <w:ind w:left="720" w:hanging="720"/>
        <w:rPr>
          <w:b w:val="0"/>
          <w:bCs w:val="0"/>
        </w:rPr>
      </w:pPr>
      <w:proofErr w:type="spellStart"/>
      <w:r w:rsidRPr="0048720B">
        <w:rPr>
          <w:b w:val="0"/>
          <w:bCs w:val="0"/>
        </w:rPr>
        <w:t>Neuburger</w:t>
      </w:r>
      <w:proofErr w:type="spellEnd"/>
      <w:r w:rsidRPr="0048720B">
        <w:rPr>
          <w:b w:val="0"/>
          <w:bCs w:val="0"/>
        </w:rPr>
        <w:t xml:space="preserve">, J. D., </w:t>
      </w:r>
      <w:proofErr w:type="spellStart"/>
      <w:r w:rsidRPr="0048720B">
        <w:rPr>
          <w:b w:val="0"/>
          <w:bCs w:val="0"/>
        </w:rPr>
        <w:t>Mollod</w:t>
      </w:r>
      <w:proofErr w:type="spellEnd"/>
      <w:r w:rsidRPr="0048720B">
        <w:rPr>
          <w:b w:val="0"/>
          <w:bCs w:val="0"/>
        </w:rPr>
        <w:t>, J. P., &amp; Proskauer Rose, L. L. P. (2021). Trends in Privacy and Data Security: 2020. </w:t>
      </w:r>
      <w:r w:rsidRPr="0048720B">
        <w:rPr>
          <w:b w:val="0"/>
          <w:bCs w:val="0"/>
          <w:i/>
          <w:iCs/>
        </w:rPr>
        <w:t>Proskauer</w:t>
      </w:r>
      <w:r w:rsidRPr="0048720B">
        <w:rPr>
          <w:b w:val="0"/>
          <w:bCs w:val="0"/>
        </w:rPr>
        <w:t>.</w:t>
      </w:r>
    </w:p>
    <w:p w14:paraId="44952815" w14:textId="77777777" w:rsidR="00813C85" w:rsidRPr="0048720B" w:rsidRDefault="00813C85" w:rsidP="0048720B">
      <w:pPr>
        <w:ind w:left="720" w:hanging="720"/>
        <w:rPr>
          <w:b w:val="0"/>
          <w:bCs w:val="0"/>
        </w:rPr>
      </w:pPr>
      <w:bookmarkStart w:id="17" w:name="_Hlk109950241"/>
      <w:r w:rsidRPr="0048720B">
        <w:rPr>
          <w:b w:val="0"/>
          <w:bCs w:val="0"/>
        </w:rPr>
        <w:lastRenderedPageBreak/>
        <w:t>Regulation</w:t>
      </w:r>
      <w:bookmarkEnd w:id="17"/>
      <w:r w:rsidRPr="0048720B">
        <w:rPr>
          <w:b w:val="0"/>
          <w:bCs w:val="0"/>
        </w:rPr>
        <w:t>, G. D. P. (2018). General data protection regulation (GDPR). </w:t>
      </w:r>
      <w:proofErr w:type="spellStart"/>
      <w:r w:rsidRPr="0048720B">
        <w:rPr>
          <w:b w:val="0"/>
          <w:bCs w:val="0"/>
          <w:i/>
          <w:iCs/>
        </w:rPr>
        <w:t>Intersoft</w:t>
      </w:r>
      <w:proofErr w:type="spellEnd"/>
      <w:r w:rsidRPr="0048720B">
        <w:rPr>
          <w:b w:val="0"/>
          <w:bCs w:val="0"/>
          <w:i/>
          <w:iCs/>
        </w:rPr>
        <w:t xml:space="preserve"> Consulting, Accessed in October</w:t>
      </w:r>
      <w:r w:rsidRPr="0048720B">
        <w:rPr>
          <w:b w:val="0"/>
          <w:bCs w:val="0"/>
        </w:rPr>
        <w:t>, </w:t>
      </w:r>
      <w:r w:rsidRPr="0048720B">
        <w:rPr>
          <w:b w:val="0"/>
          <w:bCs w:val="0"/>
          <w:i/>
          <w:iCs/>
        </w:rPr>
        <w:t>24</w:t>
      </w:r>
      <w:r w:rsidRPr="0048720B">
        <w:rPr>
          <w:b w:val="0"/>
          <w:bCs w:val="0"/>
        </w:rPr>
        <w:t>(1).</w:t>
      </w:r>
    </w:p>
    <w:p w14:paraId="292F8D77" w14:textId="77777777" w:rsidR="00813C85" w:rsidRPr="0048720B" w:rsidRDefault="00813C85" w:rsidP="0048720B">
      <w:pPr>
        <w:ind w:left="720" w:hanging="720"/>
        <w:rPr>
          <w:b w:val="0"/>
          <w:bCs w:val="0"/>
        </w:rPr>
      </w:pPr>
      <w:r w:rsidRPr="0048720B">
        <w:rPr>
          <w:b w:val="0"/>
          <w:bCs w:val="0"/>
        </w:rPr>
        <w:t>Walker, L. (2020). California's Privacy Laws. </w:t>
      </w:r>
      <w:r w:rsidRPr="0048720B">
        <w:rPr>
          <w:b w:val="0"/>
          <w:bCs w:val="0"/>
          <w:i/>
          <w:iCs/>
        </w:rPr>
        <w:t>Com. L. World</w:t>
      </w:r>
      <w:r w:rsidRPr="0048720B">
        <w:rPr>
          <w:b w:val="0"/>
          <w:bCs w:val="0"/>
        </w:rPr>
        <w:t>, </w:t>
      </w:r>
      <w:r w:rsidRPr="0048720B">
        <w:rPr>
          <w:b w:val="0"/>
          <w:bCs w:val="0"/>
          <w:i/>
          <w:iCs/>
        </w:rPr>
        <w:t>34</w:t>
      </w:r>
      <w:r w:rsidRPr="0048720B">
        <w:rPr>
          <w:b w:val="0"/>
          <w:bCs w:val="0"/>
        </w:rPr>
        <w:t>, 38.</w:t>
      </w:r>
    </w:p>
    <w:sectPr w:rsidR="00813C85" w:rsidRPr="0048720B">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56102" w14:textId="77777777" w:rsidR="004449BE" w:rsidRDefault="004449BE" w:rsidP="00CF1524">
      <w:pPr>
        <w:spacing w:after="0" w:line="240" w:lineRule="auto"/>
      </w:pPr>
      <w:r>
        <w:separator/>
      </w:r>
    </w:p>
  </w:endnote>
  <w:endnote w:type="continuationSeparator" w:id="0">
    <w:p w14:paraId="2E1D5C1C" w14:textId="77777777" w:rsidR="004449BE" w:rsidRDefault="004449BE" w:rsidP="00CF15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3A981" w14:textId="77777777" w:rsidR="004449BE" w:rsidRDefault="004449BE" w:rsidP="00CF1524">
      <w:pPr>
        <w:spacing w:after="0" w:line="240" w:lineRule="auto"/>
      </w:pPr>
      <w:r>
        <w:separator/>
      </w:r>
    </w:p>
  </w:footnote>
  <w:footnote w:type="continuationSeparator" w:id="0">
    <w:p w14:paraId="1B82B19B" w14:textId="77777777" w:rsidR="004449BE" w:rsidRDefault="004449BE" w:rsidP="00CF15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1998292"/>
      <w:docPartObj>
        <w:docPartGallery w:val="Page Numbers (Top of Page)"/>
        <w:docPartUnique/>
      </w:docPartObj>
    </w:sdtPr>
    <w:sdtEndPr>
      <w:rPr>
        <w:b w:val="0"/>
        <w:bCs w:val="0"/>
        <w:noProof/>
      </w:rPr>
    </w:sdtEndPr>
    <w:sdtContent>
      <w:p w14:paraId="538B1D0D" w14:textId="430B1538" w:rsidR="00CF1524" w:rsidRPr="00CF1524" w:rsidRDefault="00CF1524">
        <w:pPr>
          <w:pStyle w:val="Header"/>
          <w:jc w:val="right"/>
          <w:rPr>
            <w:b w:val="0"/>
            <w:bCs w:val="0"/>
          </w:rPr>
        </w:pPr>
        <w:r w:rsidRPr="00CF1524">
          <w:rPr>
            <w:b w:val="0"/>
            <w:bCs w:val="0"/>
          </w:rPr>
          <w:fldChar w:fldCharType="begin"/>
        </w:r>
        <w:r w:rsidRPr="00CF1524">
          <w:rPr>
            <w:b w:val="0"/>
            <w:bCs w:val="0"/>
          </w:rPr>
          <w:instrText xml:space="preserve"> PAGE   \* MERGEFORMAT </w:instrText>
        </w:r>
        <w:r w:rsidRPr="00CF1524">
          <w:rPr>
            <w:b w:val="0"/>
            <w:bCs w:val="0"/>
          </w:rPr>
          <w:fldChar w:fldCharType="separate"/>
        </w:r>
        <w:r w:rsidRPr="00CF1524">
          <w:rPr>
            <w:b w:val="0"/>
            <w:bCs w:val="0"/>
            <w:noProof/>
          </w:rPr>
          <w:t>2</w:t>
        </w:r>
        <w:r w:rsidRPr="00CF1524">
          <w:rPr>
            <w:b w:val="0"/>
            <w:bCs w:val="0"/>
            <w:noProof/>
          </w:rPr>
          <w:fldChar w:fldCharType="end"/>
        </w:r>
      </w:p>
    </w:sdtContent>
  </w:sdt>
  <w:p w14:paraId="4DBF8BA1" w14:textId="77777777" w:rsidR="00CF1524" w:rsidRDefault="00CF15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3F3A1D"/>
    <w:multiLevelType w:val="hybridMultilevel"/>
    <w:tmpl w:val="B8063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3A260A"/>
    <w:multiLevelType w:val="hybridMultilevel"/>
    <w:tmpl w:val="338A8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AB945C0"/>
    <w:multiLevelType w:val="hybridMultilevel"/>
    <w:tmpl w:val="C4E63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104EF6"/>
    <w:multiLevelType w:val="hybridMultilevel"/>
    <w:tmpl w:val="05527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6C30C3"/>
    <w:multiLevelType w:val="hybridMultilevel"/>
    <w:tmpl w:val="51C0B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0D6684"/>
    <w:multiLevelType w:val="hybridMultilevel"/>
    <w:tmpl w:val="24F4F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6572C3"/>
    <w:multiLevelType w:val="hybridMultilevel"/>
    <w:tmpl w:val="07547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EA45C7"/>
    <w:multiLevelType w:val="multilevel"/>
    <w:tmpl w:val="3B8E3E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68A5A03"/>
    <w:multiLevelType w:val="multilevel"/>
    <w:tmpl w:val="898C3416"/>
    <w:lvl w:ilvl="0">
      <w:numFmt w:val="bullet"/>
      <w:lvlText w:val=""/>
      <w:lvlJc w:val="left"/>
      <w:pPr>
        <w:ind w:left="861" w:hanging="361"/>
      </w:pPr>
      <w:rPr>
        <w:rFonts w:ascii="Symbol" w:eastAsia="Symbol" w:hAnsi="Symbol" w:cs="Symbol" w:hint="default"/>
        <w:b w:val="0"/>
        <w:bCs w:val="0"/>
        <w:i w:val="0"/>
        <w:iCs w:val="0"/>
        <w:w w:val="100"/>
        <w:sz w:val="24"/>
        <w:szCs w:val="24"/>
        <w:lang w:val="en-US" w:eastAsia="en-US" w:bidi="ar-SA"/>
      </w:rPr>
    </w:lvl>
    <w:lvl w:ilvl="1">
      <w:start w:val="1"/>
      <w:numFmt w:val="decimal"/>
      <w:lvlText w:val="%2."/>
      <w:lvlJc w:val="left"/>
      <w:pPr>
        <w:ind w:left="1221" w:hanging="360"/>
      </w:pPr>
      <w:rPr>
        <w:rFonts w:ascii="Times New Roman" w:eastAsia="Times New Roman" w:hAnsi="Times New Roman" w:cs="Times New Roman" w:hint="default"/>
        <w:b/>
        <w:bCs/>
        <w:i w:val="0"/>
        <w:iCs w:val="0"/>
        <w:w w:val="100"/>
        <w:sz w:val="24"/>
        <w:szCs w:val="24"/>
        <w:lang w:val="en-US" w:eastAsia="en-US" w:bidi="ar-SA"/>
      </w:rPr>
    </w:lvl>
    <w:lvl w:ilvl="2">
      <w:start w:val="1"/>
      <w:numFmt w:val="decimal"/>
      <w:lvlText w:val="%2.%3"/>
      <w:lvlJc w:val="left"/>
      <w:pPr>
        <w:ind w:left="1672" w:hanging="360"/>
      </w:pPr>
      <w:rPr>
        <w:rFonts w:ascii="Times New Roman" w:eastAsia="Times New Roman" w:hAnsi="Times New Roman" w:cs="Times New Roman" w:hint="default"/>
        <w:b w:val="0"/>
        <w:bCs w:val="0"/>
        <w:i w:val="0"/>
        <w:iCs w:val="0"/>
        <w:color w:val="23292D"/>
        <w:w w:val="100"/>
        <w:sz w:val="24"/>
        <w:szCs w:val="24"/>
        <w:lang w:val="en-US" w:eastAsia="en-US" w:bidi="ar-SA"/>
      </w:rPr>
    </w:lvl>
    <w:lvl w:ilvl="3">
      <w:numFmt w:val="bullet"/>
      <w:lvlText w:val="•"/>
      <w:lvlJc w:val="left"/>
      <w:pPr>
        <w:ind w:left="2665" w:hanging="360"/>
      </w:pPr>
      <w:rPr>
        <w:rFonts w:hint="default"/>
        <w:lang w:val="en-US" w:eastAsia="en-US" w:bidi="ar-SA"/>
      </w:rPr>
    </w:lvl>
    <w:lvl w:ilvl="4">
      <w:numFmt w:val="bullet"/>
      <w:lvlText w:val="•"/>
      <w:lvlJc w:val="left"/>
      <w:pPr>
        <w:ind w:left="3650" w:hanging="360"/>
      </w:pPr>
      <w:rPr>
        <w:rFonts w:hint="default"/>
        <w:lang w:val="en-US" w:eastAsia="en-US" w:bidi="ar-SA"/>
      </w:rPr>
    </w:lvl>
    <w:lvl w:ilvl="5">
      <w:numFmt w:val="bullet"/>
      <w:lvlText w:val="•"/>
      <w:lvlJc w:val="left"/>
      <w:pPr>
        <w:ind w:left="4635" w:hanging="360"/>
      </w:pPr>
      <w:rPr>
        <w:rFonts w:hint="default"/>
        <w:lang w:val="en-US" w:eastAsia="en-US" w:bidi="ar-SA"/>
      </w:rPr>
    </w:lvl>
    <w:lvl w:ilvl="6">
      <w:numFmt w:val="bullet"/>
      <w:lvlText w:val="•"/>
      <w:lvlJc w:val="left"/>
      <w:pPr>
        <w:ind w:left="5620" w:hanging="360"/>
      </w:pPr>
      <w:rPr>
        <w:rFonts w:hint="default"/>
        <w:lang w:val="en-US" w:eastAsia="en-US" w:bidi="ar-SA"/>
      </w:rPr>
    </w:lvl>
    <w:lvl w:ilvl="7">
      <w:numFmt w:val="bullet"/>
      <w:lvlText w:val="•"/>
      <w:lvlJc w:val="left"/>
      <w:pPr>
        <w:ind w:left="6605" w:hanging="360"/>
      </w:pPr>
      <w:rPr>
        <w:rFonts w:hint="default"/>
        <w:lang w:val="en-US" w:eastAsia="en-US" w:bidi="ar-SA"/>
      </w:rPr>
    </w:lvl>
    <w:lvl w:ilvl="8">
      <w:numFmt w:val="bullet"/>
      <w:lvlText w:val="•"/>
      <w:lvlJc w:val="left"/>
      <w:pPr>
        <w:ind w:left="7590" w:hanging="360"/>
      </w:pPr>
      <w:rPr>
        <w:rFonts w:hint="default"/>
        <w:lang w:val="en-US" w:eastAsia="en-US" w:bidi="ar-SA"/>
      </w:rPr>
    </w:lvl>
  </w:abstractNum>
  <w:num w:numId="1" w16cid:durableId="2020620093">
    <w:abstractNumId w:val="8"/>
  </w:num>
  <w:num w:numId="2" w16cid:durableId="2096314751">
    <w:abstractNumId w:val="7"/>
  </w:num>
  <w:num w:numId="3" w16cid:durableId="2061787902">
    <w:abstractNumId w:val="5"/>
  </w:num>
  <w:num w:numId="4" w16cid:durableId="586308038">
    <w:abstractNumId w:val="2"/>
  </w:num>
  <w:num w:numId="5" w16cid:durableId="1397316826">
    <w:abstractNumId w:val="4"/>
  </w:num>
  <w:num w:numId="6" w16cid:durableId="198784359">
    <w:abstractNumId w:val="3"/>
  </w:num>
  <w:num w:numId="7" w16cid:durableId="369651723">
    <w:abstractNumId w:val="0"/>
  </w:num>
  <w:num w:numId="8" w16cid:durableId="113868624">
    <w:abstractNumId w:val="6"/>
  </w:num>
  <w:num w:numId="9" w16cid:durableId="1681811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0AB"/>
    <w:rsid w:val="000009D3"/>
    <w:rsid w:val="000049D0"/>
    <w:rsid w:val="00012158"/>
    <w:rsid w:val="0002016C"/>
    <w:rsid w:val="000328CB"/>
    <w:rsid w:val="00037BF0"/>
    <w:rsid w:val="00040347"/>
    <w:rsid w:val="00041779"/>
    <w:rsid w:val="0005381E"/>
    <w:rsid w:val="00057699"/>
    <w:rsid w:val="00057F27"/>
    <w:rsid w:val="00060015"/>
    <w:rsid w:val="00065C5F"/>
    <w:rsid w:val="00066BCD"/>
    <w:rsid w:val="000768E3"/>
    <w:rsid w:val="0008007A"/>
    <w:rsid w:val="00080F80"/>
    <w:rsid w:val="00086285"/>
    <w:rsid w:val="00091215"/>
    <w:rsid w:val="000914D0"/>
    <w:rsid w:val="00093151"/>
    <w:rsid w:val="00094D76"/>
    <w:rsid w:val="000952D2"/>
    <w:rsid w:val="000966CF"/>
    <w:rsid w:val="000971EA"/>
    <w:rsid w:val="000A4E90"/>
    <w:rsid w:val="000A5453"/>
    <w:rsid w:val="000C1D72"/>
    <w:rsid w:val="000C43B1"/>
    <w:rsid w:val="000C4F96"/>
    <w:rsid w:val="000C7B51"/>
    <w:rsid w:val="000D1EA4"/>
    <w:rsid w:val="000D4948"/>
    <w:rsid w:val="000D4C1F"/>
    <w:rsid w:val="000D752D"/>
    <w:rsid w:val="000E11C2"/>
    <w:rsid w:val="000E1975"/>
    <w:rsid w:val="000E21A1"/>
    <w:rsid w:val="000E4149"/>
    <w:rsid w:val="000E727D"/>
    <w:rsid w:val="000E77CB"/>
    <w:rsid w:val="000E7F71"/>
    <w:rsid w:val="000F0284"/>
    <w:rsid w:val="000F393A"/>
    <w:rsid w:val="000F47FD"/>
    <w:rsid w:val="001000A2"/>
    <w:rsid w:val="00100341"/>
    <w:rsid w:val="001004C1"/>
    <w:rsid w:val="00106CC9"/>
    <w:rsid w:val="00106E9E"/>
    <w:rsid w:val="00106F41"/>
    <w:rsid w:val="0010751B"/>
    <w:rsid w:val="00110888"/>
    <w:rsid w:val="00110E30"/>
    <w:rsid w:val="00111170"/>
    <w:rsid w:val="0011126F"/>
    <w:rsid w:val="001200A8"/>
    <w:rsid w:val="001264C6"/>
    <w:rsid w:val="00133FED"/>
    <w:rsid w:val="00134CB7"/>
    <w:rsid w:val="00156212"/>
    <w:rsid w:val="001567CE"/>
    <w:rsid w:val="00160134"/>
    <w:rsid w:val="001647D2"/>
    <w:rsid w:val="00164C82"/>
    <w:rsid w:val="00166EA5"/>
    <w:rsid w:val="0017187C"/>
    <w:rsid w:val="00172FA1"/>
    <w:rsid w:val="001742E5"/>
    <w:rsid w:val="00176882"/>
    <w:rsid w:val="001768FD"/>
    <w:rsid w:val="00176E27"/>
    <w:rsid w:val="00191AF4"/>
    <w:rsid w:val="0019656A"/>
    <w:rsid w:val="001A0976"/>
    <w:rsid w:val="001A5C40"/>
    <w:rsid w:val="001B7AC3"/>
    <w:rsid w:val="001C4A18"/>
    <w:rsid w:val="001C5A1F"/>
    <w:rsid w:val="001C604E"/>
    <w:rsid w:val="001D18AE"/>
    <w:rsid w:val="001D377F"/>
    <w:rsid w:val="001E1E94"/>
    <w:rsid w:val="001E20F7"/>
    <w:rsid w:val="001E2F94"/>
    <w:rsid w:val="001E534C"/>
    <w:rsid w:val="001F0207"/>
    <w:rsid w:val="001F5E54"/>
    <w:rsid w:val="002045D0"/>
    <w:rsid w:val="002051AF"/>
    <w:rsid w:val="00206646"/>
    <w:rsid w:val="00207E57"/>
    <w:rsid w:val="0022079E"/>
    <w:rsid w:val="00220C8B"/>
    <w:rsid w:val="002431FB"/>
    <w:rsid w:val="00244C11"/>
    <w:rsid w:val="002571BA"/>
    <w:rsid w:val="00265F4A"/>
    <w:rsid w:val="00272118"/>
    <w:rsid w:val="00286781"/>
    <w:rsid w:val="00291953"/>
    <w:rsid w:val="002936B4"/>
    <w:rsid w:val="002A04E4"/>
    <w:rsid w:val="002A0BA5"/>
    <w:rsid w:val="002A13E8"/>
    <w:rsid w:val="002B7202"/>
    <w:rsid w:val="002C07FB"/>
    <w:rsid w:val="002D2B23"/>
    <w:rsid w:val="002E6E19"/>
    <w:rsid w:val="002F06FB"/>
    <w:rsid w:val="002F137F"/>
    <w:rsid w:val="002F1C1B"/>
    <w:rsid w:val="002F5C73"/>
    <w:rsid w:val="002F5CE7"/>
    <w:rsid w:val="002F6025"/>
    <w:rsid w:val="00305022"/>
    <w:rsid w:val="003101BC"/>
    <w:rsid w:val="0031229D"/>
    <w:rsid w:val="003146D5"/>
    <w:rsid w:val="00323B8E"/>
    <w:rsid w:val="00326129"/>
    <w:rsid w:val="00335DD7"/>
    <w:rsid w:val="0033687D"/>
    <w:rsid w:val="003506AE"/>
    <w:rsid w:val="003619A3"/>
    <w:rsid w:val="0036765B"/>
    <w:rsid w:val="00376266"/>
    <w:rsid w:val="00384E6C"/>
    <w:rsid w:val="00392CC1"/>
    <w:rsid w:val="0039504C"/>
    <w:rsid w:val="003A2B24"/>
    <w:rsid w:val="003A48E8"/>
    <w:rsid w:val="003A508F"/>
    <w:rsid w:val="003A7272"/>
    <w:rsid w:val="003B140D"/>
    <w:rsid w:val="003B19BC"/>
    <w:rsid w:val="003B6E43"/>
    <w:rsid w:val="003C452C"/>
    <w:rsid w:val="003C5EFA"/>
    <w:rsid w:val="003C7966"/>
    <w:rsid w:val="003D1F46"/>
    <w:rsid w:val="003D5582"/>
    <w:rsid w:val="003D6AB0"/>
    <w:rsid w:val="003E08A8"/>
    <w:rsid w:val="003E3477"/>
    <w:rsid w:val="003E54E6"/>
    <w:rsid w:val="003E6D0A"/>
    <w:rsid w:val="003F2A8F"/>
    <w:rsid w:val="004018A3"/>
    <w:rsid w:val="004123EA"/>
    <w:rsid w:val="00413C7A"/>
    <w:rsid w:val="00413DFB"/>
    <w:rsid w:val="004142FA"/>
    <w:rsid w:val="00415F12"/>
    <w:rsid w:val="004201A1"/>
    <w:rsid w:val="004208CB"/>
    <w:rsid w:val="0042398C"/>
    <w:rsid w:val="00424F9A"/>
    <w:rsid w:val="0043023F"/>
    <w:rsid w:val="00432E97"/>
    <w:rsid w:val="0044288F"/>
    <w:rsid w:val="00443DBF"/>
    <w:rsid w:val="00443F89"/>
    <w:rsid w:val="004449BE"/>
    <w:rsid w:val="00450CBE"/>
    <w:rsid w:val="0045348A"/>
    <w:rsid w:val="004575CF"/>
    <w:rsid w:val="004653DC"/>
    <w:rsid w:val="00471ABA"/>
    <w:rsid w:val="00475815"/>
    <w:rsid w:val="004778B9"/>
    <w:rsid w:val="0048199D"/>
    <w:rsid w:val="00484245"/>
    <w:rsid w:val="0048720B"/>
    <w:rsid w:val="004873B2"/>
    <w:rsid w:val="00497008"/>
    <w:rsid w:val="004A2283"/>
    <w:rsid w:val="004A3D3F"/>
    <w:rsid w:val="004A459A"/>
    <w:rsid w:val="004A6176"/>
    <w:rsid w:val="004B273E"/>
    <w:rsid w:val="004C68C6"/>
    <w:rsid w:val="004D791F"/>
    <w:rsid w:val="004E6F28"/>
    <w:rsid w:val="004F3A48"/>
    <w:rsid w:val="00502C27"/>
    <w:rsid w:val="00507AD1"/>
    <w:rsid w:val="005104E1"/>
    <w:rsid w:val="00513E17"/>
    <w:rsid w:val="005222F2"/>
    <w:rsid w:val="0052675E"/>
    <w:rsid w:val="0054382F"/>
    <w:rsid w:val="00543EFA"/>
    <w:rsid w:val="0054432D"/>
    <w:rsid w:val="005444BF"/>
    <w:rsid w:val="00546633"/>
    <w:rsid w:val="00564ACC"/>
    <w:rsid w:val="00570A42"/>
    <w:rsid w:val="00571D7F"/>
    <w:rsid w:val="00575F99"/>
    <w:rsid w:val="005766AB"/>
    <w:rsid w:val="0058367B"/>
    <w:rsid w:val="00590CC6"/>
    <w:rsid w:val="005911E9"/>
    <w:rsid w:val="005938DF"/>
    <w:rsid w:val="00595DFF"/>
    <w:rsid w:val="005B64E0"/>
    <w:rsid w:val="005B70AB"/>
    <w:rsid w:val="005C520A"/>
    <w:rsid w:val="005C57C0"/>
    <w:rsid w:val="005C6E08"/>
    <w:rsid w:val="005D1550"/>
    <w:rsid w:val="005D19C1"/>
    <w:rsid w:val="005D3181"/>
    <w:rsid w:val="005D7DDB"/>
    <w:rsid w:val="005E0200"/>
    <w:rsid w:val="005E075F"/>
    <w:rsid w:val="005E4554"/>
    <w:rsid w:val="005F35DA"/>
    <w:rsid w:val="006033B4"/>
    <w:rsid w:val="006071E8"/>
    <w:rsid w:val="00610556"/>
    <w:rsid w:val="0061613D"/>
    <w:rsid w:val="00631C82"/>
    <w:rsid w:val="00631DE3"/>
    <w:rsid w:val="006326D3"/>
    <w:rsid w:val="006447E8"/>
    <w:rsid w:val="00646CDD"/>
    <w:rsid w:val="00647FAE"/>
    <w:rsid w:val="006546C3"/>
    <w:rsid w:val="00657A75"/>
    <w:rsid w:val="00657F70"/>
    <w:rsid w:val="00665100"/>
    <w:rsid w:val="00665301"/>
    <w:rsid w:val="006663A1"/>
    <w:rsid w:val="006707DC"/>
    <w:rsid w:val="00673CAF"/>
    <w:rsid w:val="00674878"/>
    <w:rsid w:val="0068264C"/>
    <w:rsid w:val="00695273"/>
    <w:rsid w:val="006B0B00"/>
    <w:rsid w:val="006B29F2"/>
    <w:rsid w:val="006B3523"/>
    <w:rsid w:val="006B3F6A"/>
    <w:rsid w:val="006B6997"/>
    <w:rsid w:val="006B774C"/>
    <w:rsid w:val="006C4F51"/>
    <w:rsid w:val="006D0262"/>
    <w:rsid w:val="006D2BF8"/>
    <w:rsid w:val="006D37AE"/>
    <w:rsid w:val="006D5702"/>
    <w:rsid w:val="006E26D9"/>
    <w:rsid w:val="006F2763"/>
    <w:rsid w:val="006F4F01"/>
    <w:rsid w:val="00702A7F"/>
    <w:rsid w:val="00705B6A"/>
    <w:rsid w:val="00721C2E"/>
    <w:rsid w:val="007408EF"/>
    <w:rsid w:val="00740977"/>
    <w:rsid w:val="00752577"/>
    <w:rsid w:val="00761420"/>
    <w:rsid w:val="00761DCE"/>
    <w:rsid w:val="00762164"/>
    <w:rsid w:val="00764623"/>
    <w:rsid w:val="00765AE5"/>
    <w:rsid w:val="007755F9"/>
    <w:rsid w:val="007838D8"/>
    <w:rsid w:val="00786882"/>
    <w:rsid w:val="00790706"/>
    <w:rsid w:val="0079445A"/>
    <w:rsid w:val="007A434E"/>
    <w:rsid w:val="007A56AF"/>
    <w:rsid w:val="007A7733"/>
    <w:rsid w:val="007B16CA"/>
    <w:rsid w:val="007B37B9"/>
    <w:rsid w:val="007B5845"/>
    <w:rsid w:val="007B6FEF"/>
    <w:rsid w:val="007B74F1"/>
    <w:rsid w:val="007C2722"/>
    <w:rsid w:val="007D08D5"/>
    <w:rsid w:val="007D24C0"/>
    <w:rsid w:val="007D43DD"/>
    <w:rsid w:val="007D5336"/>
    <w:rsid w:val="007D63C2"/>
    <w:rsid w:val="007D6BB1"/>
    <w:rsid w:val="007D7CC1"/>
    <w:rsid w:val="007F5D16"/>
    <w:rsid w:val="00803580"/>
    <w:rsid w:val="008048B8"/>
    <w:rsid w:val="00806FE3"/>
    <w:rsid w:val="00807FBE"/>
    <w:rsid w:val="00810B37"/>
    <w:rsid w:val="0081157F"/>
    <w:rsid w:val="00813B2E"/>
    <w:rsid w:val="00813C85"/>
    <w:rsid w:val="00816056"/>
    <w:rsid w:val="00817964"/>
    <w:rsid w:val="00820880"/>
    <w:rsid w:val="008212B4"/>
    <w:rsid w:val="008252FC"/>
    <w:rsid w:val="008305D2"/>
    <w:rsid w:val="00830B9C"/>
    <w:rsid w:val="0083627C"/>
    <w:rsid w:val="00837A87"/>
    <w:rsid w:val="00842D03"/>
    <w:rsid w:val="00844336"/>
    <w:rsid w:val="00852FEA"/>
    <w:rsid w:val="00857261"/>
    <w:rsid w:val="00880837"/>
    <w:rsid w:val="008823D2"/>
    <w:rsid w:val="00882EB0"/>
    <w:rsid w:val="00884E2A"/>
    <w:rsid w:val="00887533"/>
    <w:rsid w:val="008919B7"/>
    <w:rsid w:val="0089268A"/>
    <w:rsid w:val="00896230"/>
    <w:rsid w:val="008963BF"/>
    <w:rsid w:val="008A31A3"/>
    <w:rsid w:val="008A4D35"/>
    <w:rsid w:val="008A629C"/>
    <w:rsid w:val="008A67D4"/>
    <w:rsid w:val="008B79A6"/>
    <w:rsid w:val="008C64C8"/>
    <w:rsid w:val="008D0E13"/>
    <w:rsid w:val="008D1779"/>
    <w:rsid w:val="008D193B"/>
    <w:rsid w:val="008D262A"/>
    <w:rsid w:val="008D46FD"/>
    <w:rsid w:val="008D69AB"/>
    <w:rsid w:val="008E0E39"/>
    <w:rsid w:val="008E13AC"/>
    <w:rsid w:val="008E16CE"/>
    <w:rsid w:val="008E4019"/>
    <w:rsid w:val="008E7FE9"/>
    <w:rsid w:val="008F0594"/>
    <w:rsid w:val="008F3919"/>
    <w:rsid w:val="008F6827"/>
    <w:rsid w:val="009013EF"/>
    <w:rsid w:val="00902286"/>
    <w:rsid w:val="0090659B"/>
    <w:rsid w:val="00906989"/>
    <w:rsid w:val="009131E6"/>
    <w:rsid w:val="00916BEB"/>
    <w:rsid w:val="00927861"/>
    <w:rsid w:val="009323E3"/>
    <w:rsid w:val="00932C02"/>
    <w:rsid w:val="00933AF2"/>
    <w:rsid w:val="009340CF"/>
    <w:rsid w:val="00935550"/>
    <w:rsid w:val="009355A7"/>
    <w:rsid w:val="00944BF3"/>
    <w:rsid w:val="00947A08"/>
    <w:rsid w:val="00951C27"/>
    <w:rsid w:val="00953823"/>
    <w:rsid w:val="00956D35"/>
    <w:rsid w:val="0096130D"/>
    <w:rsid w:val="00965F78"/>
    <w:rsid w:val="00966D1B"/>
    <w:rsid w:val="00967E87"/>
    <w:rsid w:val="009730C2"/>
    <w:rsid w:val="00974515"/>
    <w:rsid w:val="00975CDA"/>
    <w:rsid w:val="009769E8"/>
    <w:rsid w:val="00981D03"/>
    <w:rsid w:val="00982DD5"/>
    <w:rsid w:val="0098412B"/>
    <w:rsid w:val="00984DDD"/>
    <w:rsid w:val="00987F8E"/>
    <w:rsid w:val="00993D2E"/>
    <w:rsid w:val="00995BE9"/>
    <w:rsid w:val="009A4F36"/>
    <w:rsid w:val="009A4FFE"/>
    <w:rsid w:val="009A5612"/>
    <w:rsid w:val="009B2468"/>
    <w:rsid w:val="009C1E45"/>
    <w:rsid w:val="009D1D92"/>
    <w:rsid w:val="009D2C61"/>
    <w:rsid w:val="009D35FF"/>
    <w:rsid w:val="009E1981"/>
    <w:rsid w:val="009E24EA"/>
    <w:rsid w:val="009E4372"/>
    <w:rsid w:val="009E7F77"/>
    <w:rsid w:val="009F07A9"/>
    <w:rsid w:val="009F2517"/>
    <w:rsid w:val="009F56F2"/>
    <w:rsid w:val="009F7855"/>
    <w:rsid w:val="00A06E63"/>
    <w:rsid w:val="00A14A20"/>
    <w:rsid w:val="00A15720"/>
    <w:rsid w:val="00A2120C"/>
    <w:rsid w:val="00A26154"/>
    <w:rsid w:val="00A3606B"/>
    <w:rsid w:val="00A37871"/>
    <w:rsid w:val="00A415D3"/>
    <w:rsid w:val="00A416E0"/>
    <w:rsid w:val="00A44BB6"/>
    <w:rsid w:val="00A4610D"/>
    <w:rsid w:val="00A47868"/>
    <w:rsid w:val="00A56033"/>
    <w:rsid w:val="00A56BA0"/>
    <w:rsid w:val="00A652DB"/>
    <w:rsid w:val="00A6588E"/>
    <w:rsid w:val="00A710A6"/>
    <w:rsid w:val="00A7332B"/>
    <w:rsid w:val="00A849AD"/>
    <w:rsid w:val="00A87E36"/>
    <w:rsid w:val="00A90F40"/>
    <w:rsid w:val="00A93133"/>
    <w:rsid w:val="00AA3980"/>
    <w:rsid w:val="00AB0206"/>
    <w:rsid w:val="00AB76F8"/>
    <w:rsid w:val="00AC0A84"/>
    <w:rsid w:val="00AC12D7"/>
    <w:rsid w:val="00AC244D"/>
    <w:rsid w:val="00AC3B00"/>
    <w:rsid w:val="00AC60CA"/>
    <w:rsid w:val="00AD0617"/>
    <w:rsid w:val="00AD1C9E"/>
    <w:rsid w:val="00AD4919"/>
    <w:rsid w:val="00AE6F37"/>
    <w:rsid w:val="00AE7D32"/>
    <w:rsid w:val="00AE7F4C"/>
    <w:rsid w:val="00AF2EAF"/>
    <w:rsid w:val="00AF4322"/>
    <w:rsid w:val="00AF4F26"/>
    <w:rsid w:val="00AF67FE"/>
    <w:rsid w:val="00B01AD0"/>
    <w:rsid w:val="00B02CAB"/>
    <w:rsid w:val="00B046BB"/>
    <w:rsid w:val="00B04C36"/>
    <w:rsid w:val="00B0750F"/>
    <w:rsid w:val="00B12CC0"/>
    <w:rsid w:val="00B12E2B"/>
    <w:rsid w:val="00B13509"/>
    <w:rsid w:val="00B14AF2"/>
    <w:rsid w:val="00B156DE"/>
    <w:rsid w:val="00B15BA4"/>
    <w:rsid w:val="00B2030D"/>
    <w:rsid w:val="00B222FF"/>
    <w:rsid w:val="00B22FDB"/>
    <w:rsid w:val="00B25E57"/>
    <w:rsid w:val="00B25FC7"/>
    <w:rsid w:val="00B27000"/>
    <w:rsid w:val="00B27D54"/>
    <w:rsid w:val="00B3510F"/>
    <w:rsid w:val="00B3557A"/>
    <w:rsid w:val="00B36A79"/>
    <w:rsid w:val="00B36C87"/>
    <w:rsid w:val="00B50ADA"/>
    <w:rsid w:val="00B55041"/>
    <w:rsid w:val="00B644E3"/>
    <w:rsid w:val="00B650C6"/>
    <w:rsid w:val="00B669E4"/>
    <w:rsid w:val="00B707EA"/>
    <w:rsid w:val="00B70E4F"/>
    <w:rsid w:val="00B719BC"/>
    <w:rsid w:val="00B72E96"/>
    <w:rsid w:val="00B75EEA"/>
    <w:rsid w:val="00B76B49"/>
    <w:rsid w:val="00B86977"/>
    <w:rsid w:val="00B9273D"/>
    <w:rsid w:val="00B960CA"/>
    <w:rsid w:val="00BA18D7"/>
    <w:rsid w:val="00BA272D"/>
    <w:rsid w:val="00BA27B8"/>
    <w:rsid w:val="00BA638E"/>
    <w:rsid w:val="00BB3378"/>
    <w:rsid w:val="00BC66CB"/>
    <w:rsid w:val="00BD128F"/>
    <w:rsid w:val="00BD2873"/>
    <w:rsid w:val="00BD67FE"/>
    <w:rsid w:val="00BE678C"/>
    <w:rsid w:val="00BF2F0B"/>
    <w:rsid w:val="00BF3561"/>
    <w:rsid w:val="00BF4E55"/>
    <w:rsid w:val="00BF5DA8"/>
    <w:rsid w:val="00BF7024"/>
    <w:rsid w:val="00BF71D6"/>
    <w:rsid w:val="00C0268F"/>
    <w:rsid w:val="00C04D83"/>
    <w:rsid w:val="00C101AB"/>
    <w:rsid w:val="00C13622"/>
    <w:rsid w:val="00C15776"/>
    <w:rsid w:val="00C15EFC"/>
    <w:rsid w:val="00C17DDD"/>
    <w:rsid w:val="00C22BC3"/>
    <w:rsid w:val="00C27D0C"/>
    <w:rsid w:val="00C32098"/>
    <w:rsid w:val="00C353AC"/>
    <w:rsid w:val="00C37339"/>
    <w:rsid w:val="00C412FC"/>
    <w:rsid w:val="00C421AA"/>
    <w:rsid w:val="00C425B8"/>
    <w:rsid w:val="00C455AB"/>
    <w:rsid w:val="00C532ED"/>
    <w:rsid w:val="00C629E9"/>
    <w:rsid w:val="00C63791"/>
    <w:rsid w:val="00C66400"/>
    <w:rsid w:val="00C6793B"/>
    <w:rsid w:val="00C71E22"/>
    <w:rsid w:val="00C82BD5"/>
    <w:rsid w:val="00C83ACB"/>
    <w:rsid w:val="00C85C43"/>
    <w:rsid w:val="00C8792E"/>
    <w:rsid w:val="00C92C1C"/>
    <w:rsid w:val="00C95014"/>
    <w:rsid w:val="00C9688A"/>
    <w:rsid w:val="00C96898"/>
    <w:rsid w:val="00CA056F"/>
    <w:rsid w:val="00CA127D"/>
    <w:rsid w:val="00CA4EBF"/>
    <w:rsid w:val="00CA59F3"/>
    <w:rsid w:val="00CA5D43"/>
    <w:rsid w:val="00CA71CB"/>
    <w:rsid w:val="00CB1284"/>
    <w:rsid w:val="00CB396C"/>
    <w:rsid w:val="00CB4128"/>
    <w:rsid w:val="00CC60FA"/>
    <w:rsid w:val="00CC65FF"/>
    <w:rsid w:val="00CD242D"/>
    <w:rsid w:val="00CD2D56"/>
    <w:rsid w:val="00CD5A0C"/>
    <w:rsid w:val="00CD5CF2"/>
    <w:rsid w:val="00CD66DC"/>
    <w:rsid w:val="00CD7BCA"/>
    <w:rsid w:val="00CF1414"/>
    <w:rsid w:val="00CF1524"/>
    <w:rsid w:val="00D03EAE"/>
    <w:rsid w:val="00D20CAE"/>
    <w:rsid w:val="00D30750"/>
    <w:rsid w:val="00D3263C"/>
    <w:rsid w:val="00D371BC"/>
    <w:rsid w:val="00D42650"/>
    <w:rsid w:val="00D43FAD"/>
    <w:rsid w:val="00D44E72"/>
    <w:rsid w:val="00D44FDE"/>
    <w:rsid w:val="00D70CC9"/>
    <w:rsid w:val="00D7395D"/>
    <w:rsid w:val="00D755AD"/>
    <w:rsid w:val="00D8248B"/>
    <w:rsid w:val="00D86EBE"/>
    <w:rsid w:val="00D87CD7"/>
    <w:rsid w:val="00D959B3"/>
    <w:rsid w:val="00DA2408"/>
    <w:rsid w:val="00DA50B0"/>
    <w:rsid w:val="00DB08C4"/>
    <w:rsid w:val="00DC22B5"/>
    <w:rsid w:val="00DC4651"/>
    <w:rsid w:val="00DD15D4"/>
    <w:rsid w:val="00DD3A56"/>
    <w:rsid w:val="00DE6184"/>
    <w:rsid w:val="00DE694B"/>
    <w:rsid w:val="00DF11EE"/>
    <w:rsid w:val="00E04F90"/>
    <w:rsid w:val="00E06EE9"/>
    <w:rsid w:val="00E1178D"/>
    <w:rsid w:val="00E11F9C"/>
    <w:rsid w:val="00E135A9"/>
    <w:rsid w:val="00E1541D"/>
    <w:rsid w:val="00E24F97"/>
    <w:rsid w:val="00E25027"/>
    <w:rsid w:val="00E25671"/>
    <w:rsid w:val="00E27389"/>
    <w:rsid w:val="00E4195F"/>
    <w:rsid w:val="00E42793"/>
    <w:rsid w:val="00E5076B"/>
    <w:rsid w:val="00E62573"/>
    <w:rsid w:val="00E65889"/>
    <w:rsid w:val="00E72274"/>
    <w:rsid w:val="00E73068"/>
    <w:rsid w:val="00E74E01"/>
    <w:rsid w:val="00E80121"/>
    <w:rsid w:val="00E85002"/>
    <w:rsid w:val="00E87EE7"/>
    <w:rsid w:val="00E90B01"/>
    <w:rsid w:val="00E93950"/>
    <w:rsid w:val="00E9791A"/>
    <w:rsid w:val="00EA0EB3"/>
    <w:rsid w:val="00EA4617"/>
    <w:rsid w:val="00EA79F5"/>
    <w:rsid w:val="00EB0F1D"/>
    <w:rsid w:val="00EB4490"/>
    <w:rsid w:val="00EB5D55"/>
    <w:rsid w:val="00EB769F"/>
    <w:rsid w:val="00EC21BB"/>
    <w:rsid w:val="00ED40B6"/>
    <w:rsid w:val="00ED68EF"/>
    <w:rsid w:val="00EE2FCC"/>
    <w:rsid w:val="00EF3C94"/>
    <w:rsid w:val="00F0564C"/>
    <w:rsid w:val="00F06D2A"/>
    <w:rsid w:val="00F078D8"/>
    <w:rsid w:val="00F1037B"/>
    <w:rsid w:val="00F11FCB"/>
    <w:rsid w:val="00F144AD"/>
    <w:rsid w:val="00F21269"/>
    <w:rsid w:val="00F21F65"/>
    <w:rsid w:val="00F2671C"/>
    <w:rsid w:val="00F27859"/>
    <w:rsid w:val="00F47E6B"/>
    <w:rsid w:val="00F51274"/>
    <w:rsid w:val="00F54250"/>
    <w:rsid w:val="00F56D58"/>
    <w:rsid w:val="00F6358E"/>
    <w:rsid w:val="00F67808"/>
    <w:rsid w:val="00F71E5D"/>
    <w:rsid w:val="00F72D31"/>
    <w:rsid w:val="00F74A06"/>
    <w:rsid w:val="00F74BE4"/>
    <w:rsid w:val="00F7638F"/>
    <w:rsid w:val="00F76C88"/>
    <w:rsid w:val="00F93E33"/>
    <w:rsid w:val="00FB0160"/>
    <w:rsid w:val="00FB3603"/>
    <w:rsid w:val="00FB5625"/>
    <w:rsid w:val="00FB5D93"/>
    <w:rsid w:val="00FB773B"/>
    <w:rsid w:val="00FB7E58"/>
    <w:rsid w:val="00FC5BF5"/>
    <w:rsid w:val="00FD669C"/>
    <w:rsid w:val="00FE0017"/>
    <w:rsid w:val="00FE1EA1"/>
    <w:rsid w:val="00FF097C"/>
    <w:rsid w:val="00FF76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F78E7"/>
  <w15:chartTrackingRefBased/>
  <w15:docId w15:val="{8239D0DF-2889-4670-8A93-08C3E57AF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ajorBidi"/>
        <w:b/>
        <w:bCs/>
        <w:color w:val="000000" w:themeColor="text1"/>
        <w:sz w:val="24"/>
        <w:szCs w:val="24"/>
        <w:lang w:val="en-US" w:eastAsia="en-US" w:bidi="ar-SA"/>
      </w:rPr>
    </w:rPrDefault>
    <w:pPrDefault>
      <w:pPr>
        <w:spacing w:after="120" w:line="48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qFormat/>
    <w:rsid w:val="00CD7BCA"/>
    <w:pPr>
      <w:keepNext/>
      <w:keepLines/>
      <w:outlineLvl w:val="0"/>
    </w:pPr>
    <w:rPr>
      <w:rFonts w:eastAsiaTheme="minorEastAsia"/>
      <w:color w:val="auto"/>
      <w:kern w:val="44"/>
      <w:szCs w:val="44"/>
      <w:lang w:eastAsia="zh-CN"/>
    </w:rPr>
  </w:style>
  <w:style w:type="paragraph" w:styleId="Heading2">
    <w:name w:val="heading 2"/>
    <w:basedOn w:val="Normal"/>
    <w:next w:val="Normal"/>
    <w:link w:val="Heading2Char"/>
    <w:uiPriority w:val="9"/>
    <w:unhideWhenUsed/>
    <w:qFormat/>
    <w:rsid w:val="00721C2E"/>
    <w:pPr>
      <w:keepNext/>
      <w:keepLines/>
      <w:spacing w:before="40" w:after="0"/>
      <w:outlineLvl w:val="1"/>
    </w:pPr>
    <w:rPr>
      <w:rFonts w:asciiTheme="majorHAnsi" w:eastAsiaTheme="majorEastAsia" w:hAnsiTheme="majorHAnsi"/>
      <w:color w:val="2F5496" w:themeColor="accent1" w:themeShade="BF"/>
      <w:sz w:val="26"/>
      <w:szCs w:val="26"/>
    </w:rPr>
  </w:style>
  <w:style w:type="paragraph" w:styleId="Heading3">
    <w:name w:val="heading 3"/>
    <w:basedOn w:val="Normal"/>
    <w:next w:val="Normal"/>
    <w:link w:val="Heading3Char"/>
    <w:uiPriority w:val="9"/>
    <w:unhideWhenUsed/>
    <w:qFormat/>
    <w:rsid w:val="004A3D3F"/>
    <w:pPr>
      <w:keepNext/>
      <w:keepLines/>
      <w:spacing w:before="40" w:after="0"/>
      <w:outlineLvl w:val="2"/>
    </w:pPr>
    <w:rPr>
      <w:rFonts w:asciiTheme="majorHAnsi" w:eastAsiaTheme="majorEastAsia" w:hAnsiTheme="majorHAns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D7BCA"/>
    <w:rPr>
      <w:rFonts w:eastAsiaTheme="minorEastAsia"/>
      <w:color w:val="auto"/>
      <w:kern w:val="44"/>
      <w:szCs w:val="44"/>
      <w:lang w:eastAsia="zh-CN"/>
    </w:rPr>
  </w:style>
  <w:style w:type="paragraph" w:styleId="ListParagraph">
    <w:name w:val="List Paragraph"/>
    <w:basedOn w:val="Normal"/>
    <w:uiPriority w:val="34"/>
    <w:qFormat/>
    <w:rsid w:val="00C353AC"/>
    <w:pPr>
      <w:ind w:left="720"/>
      <w:contextualSpacing/>
    </w:pPr>
  </w:style>
  <w:style w:type="table" w:styleId="TableGrid">
    <w:name w:val="Table Grid"/>
    <w:basedOn w:val="TableNormal"/>
    <w:uiPriority w:val="39"/>
    <w:rsid w:val="006B35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F15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1524"/>
  </w:style>
  <w:style w:type="paragraph" w:styleId="Footer">
    <w:name w:val="footer"/>
    <w:basedOn w:val="Normal"/>
    <w:link w:val="FooterChar"/>
    <w:uiPriority w:val="99"/>
    <w:unhideWhenUsed/>
    <w:rsid w:val="00CF15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1524"/>
  </w:style>
  <w:style w:type="character" w:customStyle="1" w:styleId="Heading2Char">
    <w:name w:val="Heading 2 Char"/>
    <w:basedOn w:val="DefaultParagraphFont"/>
    <w:link w:val="Heading2"/>
    <w:uiPriority w:val="9"/>
    <w:rsid w:val="00721C2E"/>
    <w:rPr>
      <w:rFonts w:asciiTheme="majorHAnsi" w:eastAsiaTheme="majorEastAsia" w:hAnsiTheme="majorHAnsi"/>
      <w:color w:val="2F5496" w:themeColor="accent1" w:themeShade="BF"/>
      <w:sz w:val="26"/>
      <w:szCs w:val="26"/>
    </w:rPr>
  </w:style>
  <w:style w:type="character" w:customStyle="1" w:styleId="Heading3Char">
    <w:name w:val="Heading 3 Char"/>
    <w:basedOn w:val="DefaultParagraphFont"/>
    <w:link w:val="Heading3"/>
    <w:uiPriority w:val="9"/>
    <w:rsid w:val="004A3D3F"/>
    <w:rPr>
      <w:rFonts w:asciiTheme="majorHAnsi" w:eastAsiaTheme="majorEastAsia" w:hAnsiTheme="majorHAnsi"/>
      <w:color w:val="1F3763" w:themeColor="accent1" w:themeShade="7F"/>
    </w:rPr>
  </w:style>
  <w:style w:type="paragraph" w:styleId="TOCHeading">
    <w:name w:val="TOC Heading"/>
    <w:basedOn w:val="Heading1"/>
    <w:next w:val="Normal"/>
    <w:uiPriority w:val="39"/>
    <w:unhideWhenUsed/>
    <w:qFormat/>
    <w:rsid w:val="001F0207"/>
    <w:pPr>
      <w:spacing w:before="240" w:after="0" w:line="259" w:lineRule="auto"/>
      <w:outlineLvl w:val="9"/>
    </w:pPr>
    <w:rPr>
      <w:rFonts w:asciiTheme="majorHAnsi" w:eastAsiaTheme="majorEastAsia" w:hAnsiTheme="majorHAnsi"/>
      <w:b w:val="0"/>
      <w:bCs w:val="0"/>
      <w:color w:val="2F5496" w:themeColor="accent1" w:themeShade="BF"/>
      <w:kern w:val="0"/>
      <w:sz w:val="32"/>
      <w:szCs w:val="32"/>
      <w:lang w:eastAsia="en-US"/>
    </w:rPr>
  </w:style>
  <w:style w:type="paragraph" w:styleId="TOC1">
    <w:name w:val="toc 1"/>
    <w:basedOn w:val="Normal"/>
    <w:next w:val="Normal"/>
    <w:autoRedefine/>
    <w:uiPriority w:val="39"/>
    <w:unhideWhenUsed/>
    <w:rsid w:val="000C1D72"/>
    <w:pPr>
      <w:tabs>
        <w:tab w:val="right" w:leader="dot" w:pos="9350"/>
      </w:tabs>
      <w:spacing w:after="100"/>
    </w:pPr>
    <w:rPr>
      <w:noProof/>
    </w:rPr>
  </w:style>
  <w:style w:type="paragraph" w:styleId="TOC2">
    <w:name w:val="toc 2"/>
    <w:basedOn w:val="Normal"/>
    <w:next w:val="Normal"/>
    <w:autoRedefine/>
    <w:uiPriority w:val="39"/>
    <w:unhideWhenUsed/>
    <w:rsid w:val="001F0207"/>
    <w:pPr>
      <w:spacing w:after="100"/>
      <w:ind w:left="240"/>
    </w:pPr>
  </w:style>
  <w:style w:type="paragraph" w:styleId="TOC3">
    <w:name w:val="toc 3"/>
    <w:basedOn w:val="Normal"/>
    <w:next w:val="Normal"/>
    <w:autoRedefine/>
    <w:uiPriority w:val="39"/>
    <w:unhideWhenUsed/>
    <w:rsid w:val="001F0207"/>
    <w:pPr>
      <w:spacing w:after="100"/>
      <w:ind w:left="480"/>
    </w:pPr>
  </w:style>
  <w:style w:type="character" w:styleId="Hyperlink">
    <w:name w:val="Hyperlink"/>
    <w:basedOn w:val="DefaultParagraphFont"/>
    <w:uiPriority w:val="99"/>
    <w:unhideWhenUsed/>
    <w:rsid w:val="001F02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011484">
      <w:bodyDiv w:val="1"/>
      <w:marLeft w:val="0"/>
      <w:marRight w:val="0"/>
      <w:marTop w:val="0"/>
      <w:marBottom w:val="0"/>
      <w:divBdr>
        <w:top w:val="none" w:sz="0" w:space="0" w:color="auto"/>
        <w:left w:val="none" w:sz="0" w:space="0" w:color="auto"/>
        <w:bottom w:val="none" w:sz="0" w:space="0" w:color="auto"/>
        <w:right w:val="none" w:sz="0" w:space="0" w:color="auto"/>
      </w:divBdr>
    </w:div>
    <w:div w:id="45405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C8031F-1ACD-470E-85E0-580DF17D69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870</TotalTime>
  <Pages>14</Pages>
  <Words>3323</Words>
  <Characters>18945</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780</cp:revision>
  <dcterms:created xsi:type="dcterms:W3CDTF">2022-07-27T18:35:00Z</dcterms:created>
  <dcterms:modified xsi:type="dcterms:W3CDTF">2022-07-28T22:33:00Z</dcterms:modified>
</cp:coreProperties>
</file>