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D8083" w14:textId="77777777" w:rsidR="00A00F48" w:rsidRDefault="00A00F48" w:rsidP="00A00F48">
      <w:pPr>
        <w:spacing w:line="480" w:lineRule="auto"/>
        <w:jc w:val="center"/>
        <w:rPr>
          <w:rFonts w:ascii="Times New Roman" w:hAnsi="Times New Roman" w:cs="Times New Roman"/>
          <w:sz w:val="24"/>
          <w:szCs w:val="24"/>
          <w:lang w:val="en-GB"/>
        </w:rPr>
      </w:pPr>
    </w:p>
    <w:p w14:paraId="1F8E3D5B" w14:textId="77777777" w:rsidR="00A00F48" w:rsidRDefault="00A00F48" w:rsidP="00A00F48">
      <w:pPr>
        <w:spacing w:line="480" w:lineRule="auto"/>
        <w:jc w:val="center"/>
        <w:rPr>
          <w:rFonts w:ascii="Times New Roman" w:hAnsi="Times New Roman" w:cs="Times New Roman"/>
          <w:sz w:val="24"/>
          <w:szCs w:val="24"/>
          <w:lang w:val="en-GB"/>
        </w:rPr>
      </w:pPr>
    </w:p>
    <w:p w14:paraId="2A21D173" w14:textId="77777777" w:rsidR="00A00F48" w:rsidRDefault="00A00F48" w:rsidP="00A00F48">
      <w:pPr>
        <w:spacing w:line="480" w:lineRule="auto"/>
        <w:jc w:val="center"/>
        <w:rPr>
          <w:rFonts w:ascii="Times New Roman" w:hAnsi="Times New Roman" w:cs="Times New Roman"/>
          <w:sz w:val="24"/>
          <w:szCs w:val="24"/>
          <w:lang w:val="en-GB"/>
        </w:rPr>
      </w:pPr>
    </w:p>
    <w:p w14:paraId="66386282" w14:textId="77777777" w:rsidR="00A00F48" w:rsidRDefault="00A00F48" w:rsidP="00A00F48">
      <w:pPr>
        <w:spacing w:line="480" w:lineRule="auto"/>
        <w:jc w:val="center"/>
        <w:rPr>
          <w:rFonts w:ascii="Times New Roman" w:hAnsi="Times New Roman" w:cs="Times New Roman"/>
          <w:sz w:val="24"/>
          <w:szCs w:val="24"/>
          <w:lang w:val="en-GB"/>
        </w:rPr>
      </w:pPr>
    </w:p>
    <w:p w14:paraId="47D3B9C1" w14:textId="77777777" w:rsidR="00A00F48" w:rsidRDefault="00A00F48" w:rsidP="00A00F48">
      <w:pPr>
        <w:spacing w:line="480" w:lineRule="auto"/>
        <w:jc w:val="center"/>
        <w:rPr>
          <w:rFonts w:ascii="Times New Roman" w:hAnsi="Times New Roman" w:cs="Times New Roman"/>
          <w:sz w:val="24"/>
          <w:szCs w:val="24"/>
          <w:lang w:val="en-GB"/>
        </w:rPr>
      </w:pPr>
    </w:p>
    <w:p w14:paraId="69BAA54F" w14:textId="77777777" w:rsidR="00A00F48" w:rsidRDefault="00A00F48" w:rsidP="00A00F48">
      <w:pPr>
        <w:spacing w:line="480" w:lineRule="auto"/>
        <w:jc w:val="center"/>
        <w:rPr>
          <w:rFonts w:ascii="Times New Roman" w:hAnsi="Times New Roman" w:cs="Times New Roman"/>
          <w:sz w:val="24"/>
          <w:szCs w:val="24"/>
          <w:lang w:val="en-GB"/>
        </w:rPr>
      </w:pPr>
    </w:p>
    <w:p w14:paraId="7B913D3F" w14:textId="208A03A5" w:rsidR="00FD67B1" w:rsidRPr="00A00F48" w:rsidRDefault="005E1704" w:rsidP="00A00F48">
      <w:pPr>
        <w:spacing w:line="480" w:lineRule="auto"/>
        <w:jc w:val="center"/>
        <w:rPr>
          <w:rFonts w:ascii="Times New Roman" w:hAnsi="Times New Roman" w:cs="Times New Roman"/>
          <w:sz w:val="24"/>
          <w:szCs w:val="24"/>
          <w:lang w:val="en-GB"/>
        </w:rPr>
      </w:pPr>
      <w:r w:rsidRPr="00A00F48">
        <w:rPr>
          <w:rFonts w:ascii="Times New Roman" w:hAnsi="Times New Roman" w:cs="Times New Roman"/>
          <w:sz w:val="24"/>
          <w:szCs w:val="24"/>
          <w:lang w:val="en-GB"/>
        </w:rPr>
        <w:t>Hammer v. Dagenhart and Balley v. Drexel Furniture Co</w:t>
      </w:r>
    </w:p>
    <w:p w14:paraId="00C25CE2" w14:textId="79947A90" w:rsidR="00A00F48" w:rsidRPr="00A00F48" w:rsidRDefault="005E1704" w:rsidP="00A00F48">
      <w:pPr>
        <w:spacing w:line="480" w:lineRule="auto"/>
        <w:jc w:val="center"/>
        <w:rPr>
          <w:rFonts w:ascii="Times New Roman" w:hAnsi="Times New Roman" w:cs="Times New Roman"/>
          <w:sz w:val="24"/>
          <w:szCs w:val="24"/>
          <w:lang w:val="en-GB"/>
        </w:rPr>
      </w:pPr>
      <w:r w:rsidRPr="00A00F48">
        <w:rPr>
          <w:rFonts w:ascii="Times New Roman" w:hAnsi="Times New Roman" w:cs="Times New Roman"/>
          <w:sz w:val="24"/>
          <w:szCs w:val="24"/>
          <w:lang w:val="en-GB"/>
        </w:rPr>
        <w:t>Name</w:t>
      </w:r>
    </w:p>
    <w:p w14:paraId="502EE205" w14:textId="5F3EBB83" w:rsidR="00A00F48" w:rsidRDefault="005E1704" w:rsidP="00A00F48">
      <w:pPr>
        <w:spacing w:line="480" w:lineRule="auto"/>
        <w:jc w:val="center"/>
        <w:rPr>
          <w:rFonts w:ascii="Times New Roman" w:hAnsi="Times New Roman" w:cs="Times New Roman"/>
          <w:sz w:val="24"/>
          <w:szCs w:val="24"/>
          <w:lang w:val="en-GB"/>
        </w:rPr>
      </w:pPr>
      <w:r w:rsidRPr="00A00F48">
        <w:rPr>
          <w:rFonts w:ascii="Times New Roman" w:hAnsi="Times New Roman" w:cs="Times New Roman"/>
          <w:sz w:val="24"/>
          <w:szCs w:val="24"/>
          <w:lang w:val="en-GB"/>
        </w:rPr>
        <w:t>Institutional Affiliation</w:t>
      </w:r>
    </w:p>
    <w:p w14:paraId="04AC8C86" w14:textId="6A97B4CA" w:rsidR="00A00F48" w:rsidRDefault="00A00F48" w:rsidP="00A00F48">
      <w:pPr>
        <w:spacing w:line="480" w:lineRule="auto"/>
        <w:jc w:val="center"/>
        <w:rPr>
          <w:rFonts w:ascii="Times New Roman" w:hAnsi="Times New Roman" w:cs="Times New Roman"/>
          <w:sz w:val="24"/>
          <w:szCs w:val="24"/>
          <w:lang w:val="en-GB"/>
        </w:rPr>
      </w:pPr>
    </w:p>
    <w:p w14:paraId="58FF877E" w14:textId="5DFDCC01" w:rsidR="00A00F48" w:rsidRDefault="00A00F48" w:rsidP="00A00F48">
      <w:pPr>
        <w:spacing w:line="480" w:lineRule="auto"/>
        <w:jc w:val="center"/>
        <w:rPr>
          <w:rFonts w:ascii="Times New Roman" w:hAnsi="Times New Roman" w:cs="Times New Roman"/>
          <w:sz w:val="24"/>
          <w:szCs w:val="24"/>
          <w:lang w:val="en-GB"/>
        </w:rPr>
      </w:pPr>
    </w:p>
    <w:p w14:paraId="6C883D65" w14:textId="41A82F45" w:rsidR="00A00F48" w:rsidRDefault="00A00F48" w:rsidP="00A00F48">
      <w:pPr>
        <w:spacing w:line="480" w:lineRule="auto"/>
        <w:jc w:val="center"/>
        <w:rPr>
          <w:rFonts w:ascii="Times New Roman" w:hAnsi="Times New Roman" w:cs="Times New Roman"/>
          <w:sz w:val="24"/>
          <w:szCs w:val="24"/>
          <w:lang w:val="en-GB"/>
        </w:rPr>
      </w:pPr>
    </w:p>
    <w:p w14:paraId="6C2A5357" w14:textId="2ECC1250" w:rsidR="00A00F48" w:rsidRDefault="00A00F48" w:rsidP="00A00F48">
      <w:pPr>
        <w:spacing w:line="480" w:lineRule="auto"/>
        <w:jc w:val="center"/>
        <w:rPr>
          <w:rFonts w:ascii="Times New Roman" w:hAnsi="Times New Roman" w:cs="Times New Roman"/>
          <w:sz w:val="24"/>
          <w:szCs w:val="24"/>
          <w:lang w:val="en-GB"/>
        </w:rPr>
      </w:pPr>
    </w:p>
    <w:p w14:paraId="65E75B81" w14:textId="77AE58E6" w:rsidR="00A00F48" w:rsidRDefault="00A00F48" w:rsidP="00A00F48">
      <w:pPr>
        <w:spacing w:line="480" w:lineRule="auto"/>
        <w:jc w:val="center"/>
        <w:rPr>
          <w:rFonts w:ascii="Times New Roman" w:hAnsi="Times New Roman" w:cs="Times New Roman"/>
          <w:sz w:val="24"/>
          <w:szCs w:val="24"/>
          <w:lang w:val="en-GB"/>
        </w:rPr>
      </w:pPr>
    </w:p>
    <w:p w14:paraId="7695651D" w14:textId="5C550996" w:rsidR="00A00F48" w:rsidRDefault="00A00F48" w:rsidP="00A00F48">
      <w:pPr>
        <w:spacing w:line="480" w:lineRule="auto"/>
        <w:jc w:val="center"/>
        <w:rPr>
          <w:rFonts w:ascii="Times New Roman" w:hAnsi="Times New Roman" w:cs="Times New Roman"/>
          <w:sz w:val="24"/>
          <w:szCs w:val="24"/>
          <w:lang w:val="en-GB"/>
        </w:rPr>
      </w:pPr>
    </w:p>
    <w:p w14:paraId="455DA9AA" w14:textId="3542C75C" w:rsidR="00A00F48" w:rsidRDefault="00A00F48" w:rsidP="00A00F48">
      <w:pPr>
        <w:spacing w:line="480" w:lineRule="auto"/>
        <w:jc w:val="center"/>
        <w:rPr>
          <w:rFonts w:ascii="Times New Roman" w:hAnsi="Times New Roman" w:cs="Times New Roman"/>
          <w:sz w:val="24"/>
          <w:szCs w:val="24"/>
          <w:lang w:val="en-GB"/>
        </w:rPr>
      </w:pPr>
    </w:p>
    <w:p w14:paraId="5DE6DDC6" w14:textId="7CD6EE76" w:rsidR="00A00F48" w:rsidRDefault="00A00F48" w:rsidP="00A00F48">
      <w:pPr>
        <w:spacing w:line="480" w:lineRule="auto"/>
        <w:jc w:val="center"/>
        <w:rPr>
          <w:rFonts w:ascii="Times New Roman" w:hAnsi="Times New Roman" w:cs="Times New Roman"/>
          <w:sz w:val="24"/>
          <w:szCs w:val="24"/>
          <w:lang w:val="en-GB"/>
        </w:rPr>
      </w:pPr>
    </w:p>
    <w:p w14:paraId="01C94C81" w14:textId="7CDBB89F" w:rsidR="00A04914" w:rsidRDefault="00A04914" w:rsidP="007C47C7">
      <w:pPr>
        <w:spacing w:after="0" w:line="480" w:lineRule="auto"/>
        <w:jc w:val="center"/>
        <w:rPr>
          <w:rFonts w:ascii="Times New Roman" w:hAnsi="Times New Roman" w:cs="Times New Roman"/>
          <w:sz w:val="24"/>
          <w:szCs w:val="24"/>
          <w:lang w:val="en-GB"/>
        </w:rPr>
      </w:pPr>
    </w:p>
    <w:p w14:paraId="61FD5526" w14:textId="4EB87DBA" w:rsidR="00A04914" w:rsidRDefault="00A04914" w:rsidP="007C47C7">
      <w:pPr>
        <w:spacing w:after="0" w:line="480" w:lineRule="auto"/>
        <w:jc w:val="center"/>
        <w:rPr>
          <w:rFonts w:ascii="Times New Roman" w:hAnsi="Times New Roman" w:cs="Times New Roman"/>
          <w:sz w:val="24"/>
          <w:szCs w:val="24"/>
          <w:lang w:val="en-GB"/>
        </w:rPr>
      </w:pPr>
    </w:p>
    <w:p w14:paraId="2191322D" w14:textId="114BCB42" w:rsidR="008B5398" w:rsidRPr="008B5398" w:rsidRDefault="008B5398" w:rsidP="008B5398">
      <w:pPr>
        <w:pStyle w:val="NormalWeb"/>
        <w:numPr>
          <w:ilvl w:val="0"/>
          <w:numId w:val="2"/>
        </w:numPr>
        <w:shd w:val="clear" w:color="auto" w:fill="FFFFFF"/>
        <w:spacing w:before="0" w:beforeAutospacing="0" w:after="150" w:afterAutospacing="0" w:line="345" w:lineRule="atLeast"/>
        <w:rPr>
          <w:b/>
          <w:bCs/>
          <w:color w:val="333333"/>
        </w:rPr>
      </w:pPr>
      <w:r w:rsidRPr="008B5398">
        <w:rPr>
          <w:b/>
          <w:bCs/>
          <w:color w:val="333333"/>
        </w:rPr>
        <w:lastRenderedPageBreak/>
        <w:t xml:space="preserve">Explain the similarities between the cases Hammer v. </w:t>
      </w:r>
      <w:proofErr w:type="spellStart"/>
      <w:r w:rsidRPr="008B5398">
        <w:rPr>
          <w:b/>
          <w:bCs/>
          <w:color w:val="333333"/>
        </w:rPr>
        <w:t>Dagenhars</w:t>
      </w:r>
      <w:proofErr w:type="spellEnd"/>
      <w:r w:rsidRPr="008B5398">
        <w:rPr>
          <w:b/>
          <w:bCs/>
          <w:color w:val="333333"/>
        </w:rPr>
        <w:t xml:space="preserve"> &amp; Bailey v. Drexel Furniture Co? </w:t>
      </w:r>
    </w:p>
    <w:p w14:paraId="23B6A435" w14:textId="77777777" w:rsidR="008B5398" w:rsidRPr="008B5398" w:rsidRDefault="008B5398" w:rsidP="008B5398">
      <w:pPr>
        <w:spacing w:line="480" w:lineRule="auto"/>
        <w:ind w:firstLine="720"/>
        <w:jc w:val="both"/>
        <w:rPr>
          <w:rFonts w:ascii="Times New Roman" w:hAnsi="Times New Roman" w:cs="Times New Roman"/>
          <w:sz w:val="24"/>
          <w:szCs w:val="24"/>
          <w:lang w:val="en-GB"/>
        </w:rPr>
      </w:pPr>
      <w:r w:rsidRPr="008B5398">
        <w:rPr>
          <w:rFonts w:ascii="Times New Roman" w:hAnsi="Times New Roman" w:cs="Times New Roman"/>
          <w:sz w:val="24"/>
          <w:szCs w:val="24"/>
          <w:lang w:val="en-GB"/>
        </w:rPr>
        <w:t xml:space="preserve">The two cases act within the framework of the Keating-Owen Child </w:t>
      </w:r>
      <w:proofErr w:type="spellStart"/>
      <w:r w:rsidRPr="008B5398">
        <w:rPr>
          <w:rFonts w:ascii="Times New Roman" w:hAnsi="Times New Roman" w:cs="Times New Roman"/>
          <w:sz w:val="24"/>
          <w:szCs w:val="24"/>
          <w:lang w:val="en-GB"/>
        </w:rPr>
        <w:t>Labor</w:t>
      </w:r>
      <w:proofErr w:type="spellEnd"/>
      <w:r w:rsidRPr="008B5398">
        <w:rPr>
          <w:rFonts w:ascii="Times New Roman" w:hAnsi="Times New Roman" w:cs="Times New Roman"/>
          <w:sz w:val="24"/>
          <w:szCs w:val="24"/>
          <w:lang w:val="en-GB"/>
        </w:rPr>
        <w:t xml:space="preserve"> Act. The clause prohibited the disposal of products from companies that hired children to work in their factories. In both cases, the United States final court termed the Act as unlawful as they stated the law went overboard and beyond the government’s purpose of controlling interstate commerce (Mason et al., 2015). Although some issues emerged as unconstitutional in the two cases, like in the Hammer v. Dagenhart case, the court stated that Congress had no power overproduction. In Balley v. Drexel Furniture Co, the court termed tax imposition as an unconstitutional attempt to control manufacturing. In both cases, it became evident that Congress employed "prohibition and regulation aspects" in areas with no jurisdiction power.  In the two cases, the Supreme court had the fear that upholding the stipulated law could undermine the freedom of states and create devastation, which could have an impact in the future. </w:t>
      </w:r>
    </w:p>
    <w:p w14:paraId="101AE029" w14:textId="6B7329AF" w:rsidR="008B5398" w:rsidRPr="008B5398" w:rsidRDefault="008B5398" w:rsidP="008B5398">
      <w:pPr>
        <w:pStyle w:val="ListParagraph"/>
        <w:numPr>
          <w:ilvl w:val="0"/>
          <w:numId w:val="2"/>
        </w:numPr>
        <w:spacing w:line="480" w:lineRule="auto"/>
        <w:jc w:val="both"/>
        <w:rPr>
          <w:rFonts w:ascii="Times New Roman" w:hAnsi="Times New Roman" w:cs="Times New Roman"/>
          <w:b/>
          <w:bCs/>
          <w:sz w:val="24"/>
          <w:szCs w:val="24"/>
          <w:lang w:val="en-GB"/>
        </w:rPr>
      </w:pPr>
      <w:r w:rsidRPr="008B5398">
        <w:rPr>
          <w:rFonts w:ascii="Times New Roman" w:hAnsi="Times New Roman" w:cs="Times New Roman"/>
          <w:b/>
          <w:bCs/>
          <w:color w:val="333333"/>
          <w:sz w:val="24"/>
          <w:szCs w:val="24"/>
        </w:rPr>
        <w:t>What clauses do each of the cases deal with, and how is the reasoning similar?</w:t>
      </w:r>
    </w:p>
    <w:p w14:paraId="6D301008" w14:textId="498EAE80" w:rsidR="00A00F48" w:rsidRPr="008B5398" w:rsidRDefault="005E1704" w:rsidP="007C47C7">
      <w:pPr>
        <w:spacing w:after="0" w:line="480" w:lineRule="auto"/>
        <w:jc w:val="center"/>
        <w:rPr>
          <w:rFonts w:ascii="Times New Roman" w:hAnsi="Times New Roman" w:cs="Times New Roman"/>
          <w:b/>
          <w:bCs/>
          <w:sz w:val="24"/>
          <w:szCs w:val="24"/>
          <w:lang w:val="en-GB"/>
        </w:rPr>
      </w:pPr>
      <w:r w:rsidRPr="008B5398">
        <w:rPr>
          <w:rFonts w:ascii="Times New Roman" w:hAnsi="Times New Roman" w:cs="Times New Roman"/>
          <w:b/>
          <w:bCs/>
          <w:sz w:val="24"/>
          <w:szCs w:val="24"/>
          <w:lang w:val="en-GB"/>
        </w:rPr>
        <w:t>Hammer v. Dagenhart</w:t>
      </w:r>
      <w:r w:rsidR="007C47C7" w:rsidRPr="008B5398">
        <w:rPr>
          <w:rFonts w:ascii="Times New Roman" w:hAnsi="Times New Roman" w:cs="Times New Roman"/>
          <w:b/>
          <w:bCs/>
          <w:sz w:val="24"/>
          <w:szCs w:val="24"/>
          <w:lang w:val="en-GB"/>
        </w:rPr>
        <w:t xml:space="preserve"> Case</w:t>
      </w:r>
    </w:p>
    <w:p w14:paraId="1B9D8A98" w14:textId="4F05C3D4" w:rsidR="007C47C7" w:rsidRPr="008B5398" w:rsidRDefault="005E1704" w:rsidP="007C47C7">
      <w:pPr>
        <w:spacing w:after="0" w:line="480" w:lineRule="auto"/>
        <w:ind w:firstLine="720"/>
        <w:jc w:val="both"/>
        <w:rPr>
          <w:rFonts w:ascii="Times New Roman" w:hAnsi="Times New Roman" w:cs="Times New Roman"/>
          <w:sz w:val="24"/>
          <w:szCs w:val="24"/>
          <w:lang w:val="en-GB"/>
        </w:rPr>
      </w:pPr>
      <w:r w:rsidRPr="008B5398">
        <w:rPr>
          <w:rFonts w:ascii="Times New Roman" w:hAnsi="Times New Roman" w:cs="Times New Roman"/>
          <w:sz w:val="24"/>
          <w:szCs w:val="24"/>
          <w:lang w:val="en-GB"/>
        </w:rPr>
        <w:t>Hammer v. Dagenhart, 247 U.S.</w:t>
      </w:r>
      <w:r w:rsidR="00756170" w:rsidRPr="008B5398">
        <w:rPr>
          <w:rFonts w:ascii="Times New Roman" w:hAnsi="Times New Roman" w:cs="Times New Roman"/>
          <w:sz w:val="24"/>
          <w:szCs w:val="24"/>
          <w:lang w:val="en-GB"/>
        </w:rPr>
        <w:t xml:space="preserve"> 251(1918) was a </w:t>
      </w:r>
      <w:r w:rsidR="00C62EA9" w:rsidRPr="008B5398">
        <w:rPr>
          <w:rFonts w:ascii="Times New Roman" w:hAnsi="Times New Roman" w:cs="Times New Roman"/>
          <w:sz w:val="24"/>
          <w:szCs w:val="24"/>
          <w:lang w:val="en-GB"/>
        </w:rPr>
        <w:t xml:space="preserve">conclusion </w:t>
      </w:r>
      <w:r w:rsidR="00756170" w:rsidRPr="008B5398">
        <w:rPr>
          <w:rFonts w:ascii="Times New Roman" w:hAnsi="Times New Roman" w:cs="Times New Roman"/>
          <w:sz w:val="24"/>
          <w:szCs w:val="24"/>
          <w:lang w:val="en-GB"/>
        </w:rPr>
        <w:t xml:space="preserve">made by the Supreme Court </w:t>
      </w:r>
      <w:r w:rsidR="00A85B3D" w:rsidRPr="008B5398">
        <w:rPr>
          <w:rFonts w:ascii="Times New Roman" w:hAnsi="Times New Roman" w:cs="Times New Roman"/>
          <w:sz w:val="24"/>
          <w:szCs w:val="24"/>
          <w:lang w:val="en-GB"/>
        </w:rPr>
        <w:t xml:space="preserve">of the United States </w:t>
      </w:r>
      <w:r w:rsidR="00756170" w:rsidRPr="008B5398">
        <w:rPr>
          <w:rFonts w:ascii="Times New Roman" w:hAnsi="Times New Roman" w:cs="Times New Roman"/>
          <w:sz w:val="24"/>
          <w:szCs w:val="24"/>
          <w:lang w:val="en-GB"/>
        </w:rPr>
        <w:t xml:space="preserve">where the court </w:t>
      </w:r>
      <w:r w:rsidR="00533772" w:rsidRPr="008B5398">
        <w:rPr>
          <w:rFonts w:ascii="Times New Roman" w:hAnsi="Times New Roman" w:cs="Times New Roman"/>
          <w:sz w:val="24"/>
          <w:szCs w:val="24"/>
          <w:lang w:val="en-GB"/>
        </w:rPr>
        <w:t>did away with a federal law that controlled child labor</w:t>
      </w:r>
      <w:r w:rsidR="001C0FDD" w:rsidRPr="008B5398">
        <w:rPr>
          <w:rFonts w:ascii="Times New Roman" w:hAnsi="Times New Roman" w:cs="Times New Roman"/>
          <w:sz w:val="24"/>
          <w:szCs w:val="24"/>
          <w:lang w:val="en-GB"/>
        </w:rPr>
        <w:t xml:space="preserve"> (Mason et al., 2015)</w:t>
      </w:r>
      <w:r w:rsidR="00533772" w:rsidRPr="008B5398">
        <w:rPr>
          <w:rFonts w:ascii="Times New Roman" w:hAnsi="Times New Roman" w:cs="Times New Roman"/>
          <w:sz w:val="24"/>
          <w:szCs w:val="24"/>
          <w:lang w:val="en-GB"/>
        </w:rPr>
        <w:t xml:space="preserve">. </w:t>
      </w:r>
      <w:r w:rsidR="000417B0" w:rsidRPr="008B5398">
        <w:rPr>
          <w:rFonts w:ascii="Times New Roman" w:hAnsi="Times New Roman" w:cs="Times New Roman"/>
          <w:sz w:val="24"/>
          <w:szCs w:val="24"/>
          <w:lang w:val="en-GB"/>
        </w:rPr>
        <w:t>The case operated within the Keating-Owen Child labor Act that prohibited selling any merchandise manufactured by factories that had hired children for their mining and production</w:t>
      </w:r>
      <w:r w:rsidR="009D47D2" w:rsidRPr="008B5398">
        <w:rPr>
          <w:rFonts w:ascii="Times New Roman" w:hAnsi="Times New Roman" w:cs="Times New Roman"/>
          <w:sz w:val="24"/>
          <w:szCs w:val="24"/>
          <w:lang w:val="en-GB"/>
        </w:rPr>
        <w:t xml:space="preserve"> activities</w:t>
      </w:r>
      <w:r w:rsidR="000417B0" w:rsidRPr="008B5398">
        <w:rPr>
          <w:rFonts w:ascii="Times New Roman" w:hAnsi="Times New Roman" w:cs="Times New Roman"/>
          <w:sz w:val="24"/>
          <w:szCs w:val="24"/>
          <w:lang w:val="en-GB"/>
        </w:rPr>
        <w:t xml:space="preserve">. However, the court struck the clause by stating that Congress has no obligation to control the working conditions of workers. </w:t>
      </w:r>
    </w:p>
    <w:p w14:paraId="0965CC90" w14:textId="1B3DDA4E" w:rsidR="007C47C7" w:rsidRPr="008B5398" w:rsidRDefault="005E1704" w:rsidP="009D47D2">
      <w:pPr>
        <w:spacing w:line="480" w:lineRule="auto"/>
        <w:jc w:val="center"/>
        <w:rPr>
          <w:rFonts w:ascii="Times New Roman" w:hAnsi="Times New Roman" w:cs="Times New Roman"/>
          <w:b/>
          <w:bCs/>
          <w:sz w:val="24"/>
          <w:szCs w:val="24"/>
          <w:lang w:val="en-GB"/>
        </w:rPr>
      </w:pPr>
      <w:r w:rsidRPr="008B5398">
        <w:rPr>
          <w:rFonts w:ascii="Times New Roman" w:hAnsi="Times New Roman" w:cs="Times New Roman"/>
          <w:b/>
          <w:bCs/>
          <w:sz w:val="24"/>
          <w:szCs w:val="24"/>
          <w:lang w:val="en-GB"/>
        </w:rPr>
        <w:t>Balley v. Drexel Furniture Co</w:t>
      </w:r>
    </w:p>
    <w:p w14:paraId="1216061B" w14:textId="373BEE12" w:rsidR="007C47C7" w:rsidRPr="008B5398" w:rsidRDefault="005E1704" w:rsidP="00437B59">
      <w:pPr>
        <w:spacing w:after="0" w:line="480" w:lineRule="auto"/>
        <w:ind w:firstLine="720"/>
        <w:jc w:val="both"/>
        <w:rPr>
          <w:rFonts w:ascii="Times New Roman" w:hAnsi="Times New Roman" w:cs="Times New Roman"/>
          <w:sz w:val="24"/>
          <w:szCs w:val="24"/>
          <w:lang w:val="en-GB"/>
        </w:rPr>
      </w:pPr>
      <w:r w:rsidRPr="008B5398">
        <w:rPr>
          <w:rFonts w:ascii="Times New Roman" w:hAnsi="Times New Roman" w:cs="Times New Roman"/>
          <w:sz w:val="24"/>
          <w:szCs w:val="24"/>
          <w:lang w:val="en-GB"/>
        </w:rPr>
        <w:lastRenderedPageBreak/>
        <w:t>Balley v.</w:t>
      </w:r>
      <w:r w:rsidR="0033369E" w:rsidRPr="008B5398">
        <w:rPr>
          <w:rFonts w:ascii="Times New Roman" w:hAnsi="Times New Roman" w:cs="Times New Roman"/>
          <w:sz w:val="24"/>
          <w:szCs w:val="24"/>
          <w:lang w:val="en-GB"/>
        </w:rPr>
        <w:t xml:space="preserve"> Drexel Furniture Co, 259 U.S 20(`1922), was a case held at the United States </w:t>
      </w:r>
      <w:r w:rsidR="00B33A3D" w:rsidRPr="008B5398">
        <w:rPr>
          <w:rFonts w:ascii="Times New Roman" w:hAnsi="Times New Roman" w:cs="Times New Roman"/>
          <w:sz w:val="24"/>
          <w:szCs w:val="24"/>
          <w:lang w:val="en-GB"/>
        </w:rPr>
        <w:t>highest court</w:t>
      </w:r>
      <w:r w:rsidR="0033369E" w:rsidRPr="008B5398">
        <w:rPr>
          <w:rFonts w:ascii="Times New Roman" w:hAnsi="Times New Roman" w:cs="Times New Roman"/>
          <w:sz w:val="24"/>
          <w:szCs w:val="24"/>
          <w:lang w:val="en-GB"/>
        </w:rPr>
        <w:t xml:space="preserve">, which termed child </w:t>
      </w:r>
      <w:r w:rsidR="00B33A3D" w:rsidRPr="008B5398">
        <w:rPr>
          <w:rFonts w:ascii="Times New Roman" w:hAnsi="Times New Roman" w:cs="Times New Roman"/>
          <w:sz w:val="24"/>
          <w:szCs w:val="24"/>
          <w:lang w:val="en-GB"/>
        </w:rPr>
        <w:t xml:space="preserve">exploitation </w:t>
      </w:r>
      <w:r w:rsidR="008E6EFC" w:rsidRPr="008B5398">
        <w:rPr>
          <w:rFonts w:ascii="Times New Roman" w:hAnsi="Times New Roman" w:cs="Times New Roman"/>
          <w:sz w:val="24"/>
          <w:szCs w:val="24"/>
          <w:lang w:val="en-GB"/>
        </w:rPr>
        <w:t>tax</w:t>
      </w:r>
      <w:r w:rsidR="0033369E" w:rsidRPr="008B5398">
        <w:rPr>
          <w:rFonts w:ascii="Times New Roman" w:hAnsi="Times New Roman" w:cs="Times New Roman"/>
          <w:sz w:val="24"/>
          <w:szCs w:val="24"/>
          <w:lang w:val="en-GB"/>
        </w:rPr>
        <w:t xml:space="preserve"> </w:t>
      </w:r>
      <w:r w:rsidR="008E6EFC" w:rsidRPr="008B5398">
        <w:rPr>
          <w:rFonts w:ascii="Times New Roman" w:hAnsi="Times New Roman" w:cs="Times New Roman"/>
          <w:sz w:val="24"/>
          <w:szCs w:val="24"/>
          <w:lang w:val="en-GB"/>
        </w:rPr>
        <w:t>regulation</w:t>
      </w:r>
      <w:r w:rsidR="0033369E" w:rsidRPr="008B5398">
        <w:rPr>
          <w:rFonts w:ascii="Times New Roman" w:hAnsi="Times New Roman" w:cs="Times New Roman"/>
          <w:sz w:val="24"/>
          <w:szCs w:val="24"/>
          <w:lang w:val="en-GB"/>
        </w:rPr>
        <w:t xml:space="preserve"> as un</w:t>
      </w:r>
      <w:r w:rsidR="008E6EFC" w:rsidRPr="008B5398">
        <w:rPr>
          <w:rFonts w:ascii="Times New Roman" w:hAnsi="Times New Roman" w:cs="Times New Roman"/>
          <w:sz w:val="24"/>
          <w:szCs w:val="24"/>
          <w:lang w:val="en-GB"/>
        </w:rPr>
        <w:t>lawful</w:t>
      </w:r>
      <w:r w:rsidR="0033369E" w:rsidRPr="008B5398">
        <w:rPr>
          <w:rFonts w:ascii="Times New Roman" w:hAnsi="Times New Roman" w:cs="Times New Roman"/>
          <w:sz w:val="24"/>
          <w:szCs w:val="24"/>
          <w:lang w:val="en-GB"/>
        </w:rPr>
        <w:t xml:space="preserve"> as the court perceived the acts </w:t>
      </w:r>
      <w:r w:rsidRPr="008B5398">
        <w:rPr>
          <w:rFonts w:ascii="Times New Roman" w:hAnsi="Times New Roman" w:cs="Times New Roman"/>
          <w:sz w:val="24"/>
          <w:szCs w:val="24"/>
          <w:lang w:val="en-GB"/>
        </w:rPr>
        <w:t>of Congress</w:t>
      </w:r>
      <w:r w:rsidR="0033369E" w:rsidRPr="008B5398">
        <w:rPr>
          <w:rFonts w:ascii="Times New Roman" w:hAnsi="Times New Roman" w:cs="Times New Roman"/>
          <w:sz w:val="24"/>
          <w:szCs w:val="24"/>
          <w:lang w:val="en-GB"/>
        </w:rPr>
        <w:t xml:space="preserve"> to have penalties for employers through child labor as improper</w:t>
      </w:r>
      <w:r w:rsidR="001C0FDD" w:rsidRPr="008B5398">
        <w:rPr>
          <w:rFonts w:ascii="Times New Roman" w:hAnsi="Times New Roman" w:cs="Times New Roman"/>
          <w:sz w:val="24"/>
          <w:szCs w:val="24"/>
          <w:lang w:val="en-GB"/>
        </w:rPr>
        <w:t xml:space="preserve"> (Mason et al., 2015)</w:t>
      </w:r>
      <w:r w:rsidR="0033369E" w:rsidRPr="008B5398">
        <w:rPr>
          <w:rFonts w:ascii="Times New Roman" w:hAnsi="Times New Roman" w:cs="Times New Roman"/>
          <w:sz w:val="24"/>
          <w:szCs w:val="24"/>
          <w:lang w:val="en-GB"/>
        </w:rPr>
        <w:t>.</w:t>
      </w:r>
      <w:r w:rsidRPr="008B5398">
        <w:rPr>
          <w:rFonts w:ascii="Times New Roman" w:hAnsi="Times New Roman" w:cs="Times New Roman"/>
          <w:sz w:val="24"/>
          <w:szCs w:val="24"/>
          <w:lang w:val="en-GB"/>
        </w:rPr>
        <w:t xml:space="preserve"> </w:t>
      </w:r>
      <w:r w:rsidR="009D47D2" w:rsidRPr="008B5398">
        <w:rPr>
          <w:rFonts w:ascii="Times New Roman" w:hAnsi="Times New Roman" w:cs="Times New Roman"/>
          <w:sz w:val="24"/>
          <w:szCs w:val="24"/>
          <w:lang w:val="en-GB"/>
        </w:rPr>
        <w:t>In this case, Congress employed its power based on the Revenue Act of 1919 and integrated the same with</w:t>
      </w:r>
      <w:r w:rsidR="009C3AD1" w:rsidRPr="008B5398">
        <w:rPr>
          <w:rFonts w:ascii="Times New Roman" w:hAnsi="Times New Roman" w:cs="Times New Roman"/>
          <w:sz w:val="24"/>
          <w:szCs w:val="24"/>
          <w:lang w:val="en-GB"/>
        </w:rPr>
        <w:t xml:space="preserve"> the K</w:t>
      </w:r>
      <w:r w:rsidR="009D47D2" w:rsidRPr="008B5398">
        <w:rPr>
          <w:rFonts w:ascii="Times New Roman" w:hAnsi="Times New Roman" w:cs="Times New Roman"/>
          <w:sz w:val="24"/>
          <w:szCs w:val="24"/>
          <w:lang w:val="en-GB"/>
        </w:rPr>
        <w:t>eating-</w:t>
      </w:r>
      <w:r w:rsidR="009C3AD1" w:rsidRPr="008B5398">
        <w:rPr>
          <w:rFonts w:ascii="Times New Roman" w:hAnsi="Times New Roman" w:cs="Times New Roman"/>
          <w:sz w:val="24"/>
          <w:szCs w:val="24"/>
          <w:lang w:val="en-GB"/>
        </w:rPr>
        <w:t>O</w:t>
      </w:r>
      <w:r w:rsidR="009D47D2" w:rsidRPr="008B5398">
        <w:rPr>
          <w:rFonts w:ascii="Times New Roman" w:hAnsi="Times New Roman" w:cs="Times New Roman"/>
          <w:sz w:val="24"/>
          <w:szCs w:val="24"/>
          <w:lang w:val="en-GB"/>
        </w:rPr>
        <w:t xml:space="preserve">wen Child labor Act that prohibited </w:t>
      </w:r>
      <w:r w:rsidR="009C3AD1" w:rsidRPr="008B5398">
        <w:rPr>
          <w:rFonts w:ascii="Times New Roman" w:hAnsi="Times New Roman" w:cs="Times New Roman"/>
          <w:sz w:val="24"/>
          <w:szCs w:val="24"/>
          <w:lang w:val="en-GB"/>
        </w:rPr>
        <w:t>children's</w:t>
      </w:r>
      <w:r w:rsidR="00A04914" w:rsidRPr="008B5398">
        <w:rPr>
          <w:rFonts w:ascii="Times New Roman" w:hAnsi="Times New Roman" w:cs="Times New Roman"/>
          <w:sz w:val="24"/>
          <w:szCs w:val="24"/>
          <w:lang w:val="en-GB"/>
        </w:rPr>
        <w:t xml:space="preserve"> </w:t>
      </w:r>
      <w:r w:rsidR="009C3AD1" w:rsidRPr="008B5398">
        <w:rPr>
          <w:rFonts w:ascii="Times New Roman" w:hAnsi="Times New Roman" w:cs="Times New Roman"/>
          <w:sz w:val="24"/>
          <w:szCs w:val="24"/>
          <w:lang w:val="en-GB"/>
        </w:rPr>
        <w:t xml:space="preserve">employment. </w:t>
      </w:r>
    </w:p>
    <w:p w14:paraId="5326579C" w14:textId="77777777" w:rsidR="00940A88" w:rsidRPr="008B5398" w:rsidRDefault="00940A88" w:rsidP="00C83EF1">
      <w:pPr>
        <w:spacing w:line="480" w:lineRule="auto"/>
        <w:jc w:val="center"/>
        <w:rPr>
          <w:rFonts w:ascii="Times New Roman" w:hAnsi="Times New Roman" w:cs="Times New Roman"/>
          <w:sz w:val="24"/>
          <w:szCs w:val="24"/>
          <w:lang w:val="en-GB"/>
        </w:rPr>
      </w:pPr>
    </w:p>
    <w:p w14:paraId="59A22418" w14:textId="77777777" w:rsidR="00940A88" w:rsidRPr="008B5398" w:rsidRDefault="00940A88" w:rsidP="00C83EF1">
      <w:pPr>
        <w:spacing w:line="480" w:lineRule="auto"/>
        <w:jc w:val="center"/>
        <w:rPr>
          <w:rFonts w:ascii="Times New Roman" w:hAnsi="Times New Roman" w:cs="Times New Roman"/>
          <w:sz w:val="24"/>
          <w:szCs w:val="24"/>
          <w:lang w:val="en-GB"/>
        </w:rPr>
      </w:pPr>
    </w:p>
    <w:p w14:paraId="5522F3F8" w14:textId="77777777" w:rsidR="00940A88" w:rsidRDefault="00940A88" w:rsidP="00C83EF1">
      <w:pPr>
        <w:spacing w:line="480" w:lineRule="auto"/>
        <w:jc w:val="center"/>
        <w:rPr>
          <w:rFonts w:ascii="Times New Roman" w:hAnsi="Times New Roman" w:cs="Times New Roman"/>
          <w:sz w:val="24"/>
          <w:szCs w:val="24"/>
          <w:lang w:val="en-GB"/>
        </w:rPr>
      </w:pPr>
    </w:p>
    <w:p w14:paraId="5B5AC7DB" w14:textId="77777777" w:rsidR="00940A88" w:rsidRDefault="00940A88" w:rsidP="00C83EF1">
      <w:pPr>
        <w:spacing w:line="480" w:lineRule="auto"/>
        <w:jc w:val="center"/>
        <w:rPr>
          <w:rFonts w:ascii="Times New Roman" w:hAnsi="Times New Roman" w:cs="Times New Roman"/>
          <w:sz w:val="24"/>
          <w:szCs w:val="24"/>
          <w:lang w:val="en-GB"/>
        </w:rPr>
      </w:pPr>
    </w:p>
    <w:p w14:paraId="7EC444FE" w14:textId="77777777" w:rsidR="00940A88" w:rsidRDefault="00940A88" w:rsidP="00C83EF1">
      <w:pPr>
        <w:spacing w:line="480" w:lineRule="auto"/>
        <w:jc w:val="center"/>
        <w:rPr>
          <w:rFonts w:ascii="Times New Roman" w:hAnsi="Times New Roman" w:cs="Times New Roman"/>
          <w:sz w:val="24"/>
          <w:szCs w:val="24"/>
          <w:lang w:val="en-GB"/>
        </w:rPr>
      </w:pPr>
    </w:p>
    <w:p w14:paraId="3B760CC6" w14:textId="77777777" w:rsidR="00940A88" w:rsidRDefault="00940A88" w:rsidP="00C83EF1">
      <w:pPr>
        <w:spacing w:line="480" w:lineRule="auto"/>
        <w:jc w:val="center"/>
        <w:rPr>
          <w:rFonts w:ascii="Times New Roman" w:hAnsi="Times New Roman" w:cs="Times New Roman"/>
          <w:sz w:val="24"/>
          <w:szCs w:val="24"/>
          <w:lang w:val="en-GB"/>
        </w:rPr>
      </w:pPr>
    </w:p>
    <w:p w14:paraId="1472EDE7" w14:textId="77777777" w:rsidR="00940A88" w:rsidRDefault="00940A88" w:rsidP="00C83EF1">
      <w:pPr>
        <w:spacing w:line="480" w:lineRule="auto"/>
        <w:jc w:val="center"/>
        <w:rPr>
          <w:rFonts w:ascii="Times New Roman" w:hAnsi="Times New Roman" w:cs="Times New Roman"/>
          <w:sz w:val="24"/>
          <w:szCs w:val="24"/>
          <w:lang w:val="en-GB"/>
        </w:rPr>
      </w:pPr>
    </w:p>
    <w:p w14:paraId="3FB1E662" w14:textId="77777777" w:rsidR="00940A88" w:rsidRDefault="00940A88" w:rsidP="00C83EF1">
      <w:pPr>
        <w:spacing w:line="480" w:lineRule="auto"/>
        <w:jc w:val="center"/>
        <w:rPr>
          <w:rFonts w:ascii="Times New Roman" w:hAnsi="Times New Roman" w:cs="Times New Roman"/>
          <w:sz w:val="24"/>
          <w:szCs w:val="24"/>
          <w:lang w:val="en-GB"/>
        </w:rPr>
      </w:pPr>
    </w:p>
    <w:p w14:paraId="7EB672CC" w14:textId="77777777" w:rsidR="00940A88" w:rsidRDefault="00940A88" w:rsidP="00C83EF1">
      <w:pPr>
        <w:spacing w:line="480" w:lineRule="auto"/>
        <w:jc w:val="center"/>
        <w:rPr>
          <w:rFonts w:ascii="Times New Roman" w:hAnsi="Times New Roman" w:cs="Times New Roman"/>
          <w:sz w:val="24"/>
          <w:szCs w:val="24"/>
          <w:lang w:val="en-GB"/>
        </w:rPr>
      </w:pPr>
    </w:p>
    <w:p w14:paraId="2C9296F3" w14:textId="77777777" w:rsidR="00940A88" w:rsidRDefault="00940A88" w:rsidP="00C83EF1">
      <w:pPr>
        <w:spacing w:line="480" w:lineRule="auto"/>
        <w:jc w:val="center"/>
        <w:rPr>
          <w:rFonts w:ascii="Times New Roman" w:hAnsi="Times New Roman" w:cs="Times New Roman"/>
          <w:sz w:val="24"/>
          <w:szCs w:val="24"/>
          <w:lang w:val="en-GB"/>
        </w:rPr>
      </w:pPr>
    </w:p>
    <w:p w14:paraId="6BF380F1" w14:textId="77777777" w:rsidR="00940A88" w:rsidRDefault="00940A88" w:rsidP="00C83EF1">
      <w:pPr>
        <w:spacing w:line="480" w:lineRule="auto"/>
        <w:jc w:val="center"/>
        <w:rPr>
          <w:rFonts w:ascii="Times New Roman" w:hAnsi="Times New Roman" w:cs="Times New Roman"/>
          <w:sz w:val="24"/>
          <w:szCs w:val="24"/>
          <w:lang w:val="en-GB"/>
        </w:rPr>
      </w:pPr>
    </w:p>
    <w:p w14:paraId="186F9382" w14:textId="77777777" w:rsidR="00437B59" w:rsidRDefault="00437B59" w:rsidP="00C83EF1">
      <w:pPr>
        <w:spacing w:line="480" w:lineRule="auto"/>
        <w:jc w:val="center"/>
        <w:rPr>
          <w:rFonts w:ascii="Times New Roman" w:hAnsi="Times New Roman" w:cs="Times New Roman"/>
          <w:sz w:val="24"/>
          <w:szCs w:val="24"/>
          <w:lang w:val="en-GB"/>
        </w:rPr>
      </w:pPr>
    </w:p>
    <w:p w14:paraId="7CC77E47" w14:textId="77777777" w:rsidR="00437B59" w:rsidRDefault="00437B59" w:rsidP="00C83EF1">
      <w:pPr>
        <w:spacing w:line="480" w:lineRule="auto"/>
        <w:jc w:val="center"/>
        <w:rPr>
          <w:rFonts w:ascii="Times New Roman" w:hAnsi="Times New Roman" w:cs="Times New Roman"/>
          <w:sz w:val="24"/>
          <w:szCs w:val="24"/>
          <w:lang w:val="en-GB"/>
        </w:rPr>
      </w:pPr>
    </w:p>
    <w:p w14:paraId="3769AFF9" w14:textId="77777777" w:rsidR="00437B59" w:rsidRDefault="00437B59" w:rsidP="00C83EF1">
      <w:pPr>
        <w:spacing w:line="480" w:lineRule="auto"/>
        <w:jc w:val="center"/>
        <w:rPr>
          <w:rFonts w:ascii="Times New Roman" w:hAnsi="Times New Roman" w:cs="Times New Roman"/>
          <w:sz w:val="24"/>
          <w:szCs w:val="24"/>
          <w:lang w:val="en-GB"/>
        </w:rPr>
      </w:pPr>
    </w:p>
    <w:p w14:paraId="5F942DFE" w14:textId="0C446880" w:rsidR="001C0FDD" w:rsidRDefault="005E1704" w:rsidP="00C83EF1">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lastRenderedPageBreak/>
        <w:t>Reference</w:t>
      </w:r>
    </w:p>
    <w:p w14:paraId="5E5CEFBC" w14:textId="163DE558" w:rsidR="001C0FDD" w:rsidRPr="001C0FDD" w:rsidRDefault="005E1704" w:rsidP="001C0FDD">
      <w:pPr>
        <w:spacing w:line="480" w:lineRule="auto"/>
        <w:ind w:left="720" w:hanging="720"/>
        <w:rPr>
          <w:rFonts w:ascii="Times New Roman" w:hAnsi="Times New Roman" w:cs="Times New Roman"/>
          <w:sz w:val="24"/>
          <w:szCs w:val="24"/>
          <w:lang w:val="en-GB"/>
        </w:rPr>
      </w:pPr>
      <w:r w:rsidRPr="001C0FDD">
        <w:rPr>
          <w:rFonts w:ascii="Times New Roman" w:hAnsi="Times New Roman" w:cs="Times New Roman"/>
          <w:color w:val="222222"/>
          <w:sz w:val="24"/>
          <w:szCs w:val="24"/>
          <w:shd w:val="clear" w:color="auto" w:fill="FFFFFF"/>
        </w:rPr>
        <w:t>Mason, A. T., &amp; Stephenson, G. (2015). </w:t>
      </w:r>
      <w:r w:rsidRPr="001C0FDD">
        <w:rPr>
          <w:rFonts w:ascii="Times New Roman" w:hAnsi="Times New Roman" w:cs="Times New Roman"/>
          <w:i/>
          <w:iCs/>
          <w:color w:val="222222"/>
          <w:sz w:val="24"/>
          <w:szCs w:val="24"/>
          <w:shd w:val="clear" w:color="auto" w:fill="FFFFFF"/>
        </w:rPr>
        <w:t>American constitutional law: introductory essays and selected cases</w:t>
      </w:r>
      <w:r w:rsidRPr="001C0FDD">
        <w:rPr>
          <w:rFonts w:ascii="Times New Roman" w:hAnsi="Times New Roman" w:cs="Times New Roman"/>
          <w:color w:val="222222"/>
          <w:sz w:val="24"/>
          <w:szCs w:val="24"/>
          <w:shd w:val="clear" w:color="auto" w:fill="FFFFFF"/>
        </w:rPr>
        <w:t>. Routledge.</w:t>
      </w:r>
    </w:p>
    <w:p w14:paraId="18587693" w14:textId="14C99CC7" w:rsidR="001C0FDD" w:rsidRDefault="001C0FDD" w:rsidP="00533772">
      <w:pPr>
        <w:spacing w:line="480" w:lineRule="auto"/>
        <w:ind w:firstLine="720"/>
        <w:jc w:val="both"/>
        <w:rPr>
          <w:rFonts w:ascii="Times New Roman" w:hAnsi="Times New Roman" w:cs="Times New Roman"/>
          <w:sz w:val="24"/>
          <w:szCs w:val="24"/>
          <w:lang w:val="en-GB"/>
        </w:rPr>
      </w:pPr>
    </w:p>
    <w:p w14:paraId="15903AB0" w14:textId="592834D9" w:rsidR="001C0FDD" w:rsidRDefault="001C0FDD" w:rsidP="00533772">
      <w:pPr>
        <w:spacing w:line="480" w:lineRule="auto"/>
        <w:ind w:firstLine="720"/>
        <w:jc w:val="both"/>
        <w:rPr>
          <w:rFonts w:ascii="Times New Roman" w:hAnsi="Times New Roman" w:cs="Times New Roman"/>
          <w:sz w:val="24"/>
          <w:szCs w:val="24"/>
          <w:lang w:val="en-GB"/>
        </w:rPr>
      </w:pPr>
    </w:p>
    <w:p w14:paraId="76804A89" w14:textId="77777777" w:rsidR="001C0FDD" w:rsidRPr="00A00F48" w:rsidRDefault="001C0FDD" w:rsidP="00533772">
      <w:pPr>
        <w:spacing w:line="480" w:lineRule="auto"/>
        <w:ind w:firstLine="720"/>
        <w:jc w:val="both"/>
        <w:rPr>
          <w:rFonts w:ascii="Times New Roman" w:hAnsi="Times New Roman" w:cs="Times New Roman"/>
          <w:sz w:val="24"/>
          <w:szCs w:val="24"/>
          <w:lang w:val="en-GB"/>
        </w:rPr>
      </w:pPr>
    </w:p>
    <w:sectPr w:rsidR="001C0FDD" w:rsidRPr="00A00F48" w:rsidSect="00A00F48">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84D77B" w14:textId="77777777" w:rsidR="001806BE" w:rsidRDefault="001806BE">
      <w:pPr>
        <w:spacing w:after="0" w:line="240" w:lineRule="auto"/>
      </w:pPr>
      <w:r>
        <w:separator/>
      </w:r>
    </w:p>
  </w:endnote>
  <w:endnote w:type="continuationSeparator" w:id="0">
    <w:p w14:paraId="2DA06414" w14:textId="77777777" w:rsidR="001806BE" w:rsidRDefault="001806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2C5136" w14:textId="77777777" w:rsidR="001806BE" w:rsidRDefault="001806BE">
      <w:pPr>
        <w:spacing w:after="0" w:line="240" w:lineRule="auto"/>
      </w:pPr>
      <w:r>
        <w:separator/>
      </w:r>
    </w:p>
  </w:footnote>
  <w:footnote w:type="continuationSeparator" w:id="0">
    <w:p w14:paraId="2A82845F" w14:textId="77777777" w:rsidR="001806BE" w:rsidRDefault="001806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208955377"/>
      <w:docPartObj>
        <w:docPartGallery w:val="Page Numbers (Top of Page)"/>
        <w:docPartUnique/>
      </w:docPartObj>
    </w:sdtPr>
    <w:sdtEndPr>
      <w:rPr>
        <w:noProof/>
      </w:rPr>
    </w:sdtEndPr>
    <w:sdtContent>
      <w:p w14:paraId="450D0BBB" w14:textId="6A531E7C" w:rsidR="00A00F48" w:rsidRPr="00A00F48" w:rsidRDefault="005E1704">
        <w:pPr>
          <w:pStyle w:val="Header"/>
          <w:rPr>
            <w:rFonts w:ascii="Times New Roman" w:hAnsi="Times New Roman" w:cs="Times New Roman"/>
            <w:sz w:val="24"/>
            <w:szCs w:val="24"/>
          </w:rPr>
        </w:pPr>
        <w:r w:rsidRPr="00A00F48">
          <w:rPr>
            <w:rFonts w:ascii="Times New Roman" w:hAnsi="Times New Roman" w:cs="Times New Roman"/>
            <w:sz w:val="24"/>
            <w:szCs w:val="24"/>
          </w:rPr>
          <w:t>HAMMER</w:t>
        </w:r>
        <w:r>
          <w:rPr>
            <w:rFonts w:ascii="Times New Roman" w:hAnsi="Times New Roman" w:cs="Times New Roman"/>
            <w:sz w:val="24"/>
            <w:szCs w:val="24"/>
          </w:rPr>
          <w:t xml:space="preserve"> v.</w:t>
        </w:r>
        <w:r w:rsidRPr="00A00F48">
          <w:rPr>
            <w:rFonts w:ascii="Times New Roman" w:hAnsi="Times New Roman" w:cs="Times New Roman"/>
            <w:sz w:val="24"/>
            <w:szCs w:val="24"/>
          </w:rPr>
          <w:t xml:space="preserve"> DAGENHARS AND BALLEY v. DREXEL FURNITURE CO </w:t>
        </w:r>
        <w:r>
          <w:rPr>
            <w:rFonts w:ascii="Times New Roman" w:hAnsi="Times New Roman" w:cs="Times New Roman"/>
            <w:sz w:val="24"/>
            <w:szCs w:val="24"/>
          </w:rPr>
          <w:t xml:space="preserve">                        </w:t>
        </w:r>
        <w:r w:rsidRPr="00A00F48">
          <w:rPr>
            <w:rFonts w:ascii="Times New Roman" w:hAnsi="Times New Roman" w:cs="Times New Roman"/>
            <w:sz w:val="24"/>
            <w:szCs w:val="24"/>
          </w:rPr>
          <w:fldChar w:fldCharType="begin"/>
        </w:r>
        <w:r w:rsidRPr="00A00F48">
          <w:rPr>
            <w:rFonts w:ascii="Times New Roman" w:hAnsi="Times New Roman" w:cs="Times New Roman"/>
            <w:sz w:val="24"/>
            <w:szCs w:val="24"/>
          </w:rPr>
          <w:instrText xml:space="preserve"> PAGE   \* MERGEFORMAT </w:instrText>
        </w:r>
        <w:r w:rsidRPr="00A00F48">
          <w:rPr>
            <w:rFonts w:ascii="Times New Roman" w:hAnsi="Times New Roman" w:cs="Times New Roman"/>
            <w:sz w:val="24"/>
            <w:szCs w:val="24"/>
          </w:rPr>
          <w:fldChar w:fldCharType="separate"/>
        </w:r>
        <w:r w:rsidRPr="00A00F48">
          <w:rPr>
            <w:rFonts w:ascii="Times New Roman" w:hAnsi="Times New Roman" w:cs="Times New Roman"/>
            <w:noProof/>
            <w:sz w:val="24"/>
            <w:szCs w:val="24"/>
          </w:rPr>
          <w:t>2</w:t>
        </w:r>
        <w:r w:rsidRPr="00A00F48">
          <w:rPr>
            <w:rFonts w:ascii="Times New Roman" w:hAnsi="Times New Roman" w:cs="Times New Roman"/>
            <w:noProof/>
            <w:sz w:val="24"/>
            <w:szCs w:val="24"/>
          </w:rPr>
          <w:fldChar w:fldCharType="end"/>
        </w:r>
      </w:p>
    </w:sdtContent>
  </w:sdt>
  <w:p w14:paraId="162328BF" w14:textId="77777777" w:rsidR="00A00F48" w:rsidRDefault="00A00F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96E1C" w14:textId="3DD7180B" w:rsidR="00A00F48" w:rsidRPr="00A00F48" w:rsidRDefault="005E1704">
    <w:pPr>
      <w:pStyle w:val="Header"/>
      <w:rPr>
        <w:lang w:val="en-GB"/>
      </w:rPr>
    </w:pPr>
    <w:r w:rsidRPr="00A00F48">
      <w:rPr>
        <w:rFonts w:ascii="Times New Roman" w:hAnsi="Times New Roman" w:cs="Times New Roman"/>
        <w:sz w:val="24"/>
        <w:szCs w:val="24"/>
        <w:lang w:val="en-GB"/>
      </w:rPr>
      <w:t>Running head</w:t>
    </w:r>
    <w:r>
      <w:rPr>
        <w:lang w:val="en-GB"/>
      </w:rPr>
      <w:t xml:space="preserve">: </w:t>
    </w:r>
    <w:r w:rsidRPr="00A00F48">
      <w:rPr>
        <w:rFonts w:ascii="Times New Roman" w:hAnsi="Times New Roman" w:cs="Times New Roman"/>
        <w:sz w:val="24"/>
        <w:szCs w:val="24"/>
      </w:rPr>
      <w:t>HAMMER</w:t>
    </w:r>
    <w:r>
      <w:rPr>
        <w:rFonts w:ascii="Times New Roman" w:hAnsi="Times New Roman" w:cs="Times New Roman"/>
        <w:sz w:val="24"/>
        <w:szCs w:val="24"/>
      </w:rPr>
      <w:t xml:space="preserve"> v.</w:t>
    </w:r>
    <w:r w:rsidRPr="00A00F48">
      <w:rPr>
        <w:rFonts w:ascii="Times New Roman" w:hAnsi="Times New Roman" w:cs="Times New Roman"/>
        <w:sz w:val="24"/>
        <w:szCs w:val="24"/>
      </w:rPr>
      <w:t xml:space="preserve"> DAGENHARS AND BALLEY v. DREXEL FURNITURE CO </w:t>
    </w:r>
    <w:r>
      <w:rPr>
        <w:rFonts w:ascii="Times New Roman" w:hAnsi="Times New Roman" w:cs="Times New Roman"/>
        <w:sz w:val="24"/>
        <w:szCs w:val="24"/>
      </w:rPr>
      <w:t xml:space="preserv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C14CD5"/>
    <w:multiLevelType w:val="hybridMultilevel"/>
    <w:tmpl w:val="F328D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CA7245"/>
    <w:multiLevelType w:val="hybridMultilevel"/>
    <w:tmpl w:val="F392BA1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F48"/>
    <w:rsid w:val="000417B0"/>
    <w:rsid w:val="00093FD6"/>
    <w:rsid w:val="000A3977"/>
    <w:rsid w:val="001806BE"/>
    <w:rsid w:val="001C0FDD"/>
    <w:rsid w:val="0033369E"/>
    <w:rsid w:val="00437B59"/>
    <w:rsid w:val="00533772"/>
    <w:rsid w:val="005E1704"/>
    <w:rsid w:val="005F11B8"/>
    <w:rsid w:val="00600487"/>
    <w:rsid w:val="00633244"/>
    <w:rsid w:val="00756170"/>
    <w:rsid w:val="007C47C7"/>
    <w:rsid w:val="008B5398"/>
    <w:rsid w:val="008E6EFC"/>
    <w:rsid w:val="008E70EF"/>
    <w:rsid w:val="00902D67"/>
    <w:rsid w:val="00940A88"/>
    <w:rsid w:val="00995BD0"/>
    <w:rsid w:val="009C3AD1"/>
    <w:rsid w:val="009D47D2"/>
    <w:rsid w:val="00A00F48"/>
    <w:rsid w:val="00A04914"/>
    <w:rsid w:val="00A558ED"/>
    <w:rsid w:val="00A85B3D"/>
    <w:rsid w:val="00B33A3D"/>
    <w:rsid w:val="00B80807"/>
    <w:rsid w:val="00BE773F"/>
    <w:rsid w:val="00C62EA9"/>
    <w:rsid w:val="00C83EF1"/>
    <w:rsid w:val="00C9260D"/>
    <w:rsid w:val="00DA67A6"/>
    <w:rsid w:val="00DB2197"/>
    <w:rsid w:val="00EA3013"/>
    <w:rsid w:val="00FD67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B6E1B"/>
  <w15:chartTrackingRefBased/>
  <w15:docId w15:val="{02B57ECF-02C1-4CB0-8852-1EDDC0B12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0F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0F48"/>
  </w:style>
  <w:style w:type="paragraph" w:styleId="Footer">
    <w:name w:val="footer"/>
    <w:basedOn w:val="Normal"/>
    <w:link w:val="FooterChar"/>
    <w:uiPriority w:val="99"/>
    <w:unhideWhenUsed/>
    <w:rsid w:val="00A00F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0F48"/>
  </w:style>
  <w:style w:type="paragraph" w:styleId="ListParagraph">
    <w:name w:val="List Paragraph"/>
    <w:basedOn w:val="Normal"/>
    <w:uiPriority w:val="34"/>
    <w:qFormat/>
    <w:rsid w:val="00A04914"/>
    <w:pPr>
      <w:ind w:left="720"/>
      <w:contextualSpacing/>
    </w:pPr>
  </w:style>
  <w:style w:type="paragraph" w:styleId="NormalWeb">
    <w:name w:val="Normal (Web)"/>
    <w:basedOn w:val="Normal"/>
    <w:uiPriority w:val="99"/>
    <w:semiHidden/>
    <w:unhideWhenUsed/>
    <w:rsid w:val="008B539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907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367</Words>
  <Characters>2092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wainaina</dc:creator>
  <cp:lastModifiedBy>SajemTop</cp:lastModifiedBy>
  <cp:revision>2</cp:revision>
  <dcterms:created xsi:type="dcterms:W3CDTF">2021-05-07T09:48:00Z</dcterms:created>
  <dcterms:modified xsi:type="dcterms:W3CDTF">2021-05-07T09:48:00Z</dcterms:modified>
</cp:coreProperties>
</file>