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C75415" w:rsidRPr="00BB46F8" w:rsidRDefault="00C75415" w:rsidP="00C75415">
      <w:pPr>
        <w:jc w:val="center"/>
      </w:pPr>
    </w:p>
    <w:p w:rsidR="00BA6741" w:rsidRPr="00BB46F8" w:rsidRDefault="002B7F64" w:rsidP="00C75415">
      <w:pPr>
        <w:jc w:val="center"/>
      </w:pPr>
      <w:r w:rsidRPr="00BB46F8">
        <w:t>CONSTITUTION</w:t>
      </w:r>
    </w:p>
    <w:p w:rsidR="00C75415" w:rsidRPr="00BB46F8" w:rsidRDefault="002B7F64" w:rsidP="00C75415">
      <w:pPr>
        <w:jc w:val="center"/>
      </w:pPr>
      <w:r w:rsidRPr="00BB46F8">
        <w:t>Student Name</w:t>
      </w:r>
    </w:p>
    <w:p w:rsidR="00C75415" w:rsidRPr="00BB46F8" w:rsidRDefault="002B7F64" w:rsidP="00C75415">
      <w:pPr>
        <w:jc w:val="center"/>
      </w:pPr>
      <w:r w:rsidRPr="00BB46F8">
        <w:t>Institutional Affiliation</w:t>
      </w:r>
    </w:p>
    <w:p w:rsidR="00C75415" w:rsidRPr="00BB46F8" w:rsidRDefault="00C75415" w:rsidP="00C75415">
      <w:pPr>
        <w:jc w:val="center"/>
      </w:pPr>
    </w:p>
    <w:p w:rsidR="00C75415" w:rsidRPr="00BB46F8" w:rsidRDefault="00C75415" w:rsidP="00C75415"/>
    <w:p w:rsidR="00C75415" w:rsidRPr="00BB46F8" w:rsidRDefault="00C75415" w:rsidP="00C75415"/>
    <w:p w:rsidR="00C75415" w:rsidRPr="00BB46F8" w:rsidRDefault="00C75415" w:rsidP="00C75415"/>
    <w:p w:rsidR="00C75415" w:rsidRPr="00BB46F8" w:rsidRDefault="00C75415" w:rsidP="00C75415"/>
    <w:p w:rsidR="00C75415" w:rsidRPr="00BB46F8" w:rsidRDefault="00C75415" w:rsidP="00C75415"/>
    <w:p w:rsidR="00C75415" w:rsidRPr="00BB46F8" w:rsidRDefault="00C75415" w:rsidP="00C75415"/>
    <w:p w:rsidR="00C75415" w:rsidRPr="00BB46F8" w:rsidRDefault="002B7F64" w:rsidP="00C75415">
      <w:pPr>
        <w:tabs>
          <w:tab w:val="left" w:pos="5805"/>
        </w:tabs>
      </w:pPr>
      <w:r w:rsidRPr="00BB46F8">
        <w:tab/>
      </w:r>
    </w:p>
    <w:p w:rsidR="00C75415" w:rsidRPr="00BB46F8" w:rsidRDefault="00C75415" w:rsidP="00C75415">
      <w:pPr>
        <w:tabs>
          <w:tab w:val="left" w:pos="5805"/>
        </w:tabs>
      </w:pPr>
    </w:p>
    <w:p w:rsidR="00C75415" w:rsidRPr="00BB46F8" w:rsidRDefault="00C75415" w:rsidP="00C75415">
      <w:pPr>
        <w:tabs>
          <w:tab w:val="left" w:pos="5805"/>
        </w:tabs>
      </w:pPr>
    </w:p>
    <w:p w:rsidR="00BB46F8" w:rsidRPr="00BB46F8" w:rsidRDefault="00BB46F8" w:rsidP="00C75415">
      <w:pPr>
        <w:tabs>
          <w:tab w:val="left" w:pos="5805"/>
        </w:tabs>
      </w:pPr>
    </w:p>
    <w:p w:rsidR="00C5044B" w:rsidRPr="00BB46F8" w:rsidRDefault="002B7F64" w:rsidP="00BB46F8">
      <w:pPr>
        <w:tabs>
          <w:tab w:val="left" w:pos="5805"/>
        </w:tabs>
        <w:spacing w:before="100" w:beforeAutospacing="1" w:after="100" w:afterAutospacing="1" w:line="480" w:lineRule="auto"/>
        <w:ind w:firstLine="720"/>
        <w:jc w:val="both"/>
        <w:rPr>
          <w:color w:val="373D3F"/>
          <w:shd w:val="clear" w:color="auto" w:fill="FFFFFF"/>
        </w:rPr>
      </w:pPr>
      <w:r w:rsidRPr="00BB46F8">
        <w:rPr>
          <w:color w:val="373D3F"/>
          <w:shd w:val="clear" w:color="auto" w:fill="FFFFFF"/>
        </w:rPr>
        <w:lastRenderedPageBreak/>
        <w:t xml:space="preserve">The national government's ability to attain its goals often needs the participation of local and state governments. The federal government can use intergovernmental grants to </w:t>
      </w:r>
      <w:r w:rsidRPr="00BB46F8">
        <w:rPr>
          <w:color w:val="373D3F"/>
          <w:shd w:val="clear" w:color="auto" w:fill="FFFFFF"/>
        </w:rPr>
        <w:t>provide a financial inducement to entice the States to work toward designated national objectiv</w:t>
      </w:r>
      <w:r w:rsidR="00BB46F8">
        <w:rPr>
          <w:color w:val="373D3F"/>
          <w:shd w:val="clear" w:color="auto" w:fill="FFFFFF"/>
        </w:rPr>
        <w:t>es and take specific actions (</w:t>
      </w:r>
      <w:r w:rsidR="00BB46F8">
        <w:rPr>
          <w:rFonts w:ascii="Arial" w:hAnsi="Arial" w:cs="Arial"/>
          <w:color w:val="222222"/>
          <w:sz w:val="20"/>
          <w:szCs w:val="20"/>
          <w:shd w:val="clear" w:color="auto" w:fill="FFFFFF"/>
        </w:rPr>
        <w:t xml:space="preserve">Mason &amp; Stephenson, 2017). </w:t>
      </w:r>
      <w:r w:rsidRPr="00BB46F8">
        <w:rPr>
          <w:color w:val="373D3F"/>
          <w:shd w:val="clear" w:color="auto" w:fill="FFFFFF"/>
        </w:rPr>
        <w:t xml:space="preserve">A grant is often compared to a “carrot” since it is designed to entice the receiver to do something. </w:t>
      </w:r>
      <w:r w:rsidR="00BB46F8" w:rsidRPr="00BB46F8">
        <w:rPr>
          <w:color w:val="373D3F"/>
          <w:shd w:val="clear" w:color="auto" w:fill="FFFFFF"/>
        </w:rPr>
        <w:t>The grants include federal cash grant, categ</w:t>
      </w:r>
      <w:r w:rsidR="00BB46F8">
        <w:rPr>
          <w:color w:val="373D3F"/>
          <w:shd w:val="clear" w:color="auto" w:fill="FFFFFF"/>
        </w:rPr>
        <w:t>orical grants, and block grants (</w:t>
      </w:r>
      <w:r w:rsidR="00BB46F8">
        <w:rPr>
          <w:rFonts w:ascii="Arial" w:hAnsi="Arial" w:cs="Arial"/>
          <w:color w:val="222222"/>
          <w:sz w:val="20"/>
          <w:szCs w:val="20"/>
          <w:shd w:val="clear" w:color="auto" w:fill="FFFFFF"/>
        </w:rPr>
        <w:t xml:space="preserve">Mason &amp; Stephenson, 2017). </w:t>
      </w:r>
      <w:r w:rsidRPr="00BB46F8">
        <w:rPr>
          <w:color w:val="373D3F"/>
          <w:shd w:val="clear" w:color="auto" w:fill="FFFFFF"/>
        </w:rPr>
        <w:t>Unfu</w:t>
      </w:r>
      <w:r w:rsidR="00BB46F8" w:rsidRPr="00BB46F8">
        <w:rPr>
          <w:color w:val="373D3F"/>
          <w:shd w:val="clear" w:color="auto" w:fill="FFFFFF"/>
        </w:rPr>
        <w:t xml:space="preserve">nded mandates also </w:t>
      </w:r>
      <w:r w:rsidRPr="00BB46F8">
        <w:rPr>
          <w:color w:val="373D3F"/>
          <w:shd w:val="clear" w:color="auto" w:fill="FFFFFF"/>
        </w:rPr>
        <w:t>inflict federal requirements o</w:t>
      </w:r>
      <w:r w:rsidR="00BB46F8" w:rsidRPr="00BB46F8">
        <w:rPr>
          <w:color w:val="373D3F"/>
          <w:shd w:val="clear" w:color="auto" w:fill="FFFFFF"/>
        </w:rPr>
        <w:t xml:space="preserve">n local and state authorities. Unfunded mandates are referred to as federal regulations and laws that enforce obligations of local and state governments without entirely reimbursing them for the administrative costs </w:t>
      </w:r>
      <w:r w:rsidR="00BB46F8">
        <w:rPr>
          <w:color w:val="373D3F"/>
          <w:shd w:val="clear" w:color="auto" w:fill="FFFFFF"/>
        </w:rPr>
        <w:t xml:space="preserve">they </w:t>
      </w:r>
      <w:r w:rsidR="00BB46F8" w:rsidRPr="00BB46F8">
        <w:rPr>
          <w:color w:val="373D3F"/>
          <w:shd w:val="clear" w:color="auto" w:fill="FFFFFF"/>
        </w:rPr>
        <w:t>incur</w:t>
      </w:r>
      <w:r w:rsidR="00BB46F8">
        <w:rPr>
          <w:color w:val="373D3F"/>
          <w:shd w:val="clear" w:color="auto" w:fill="FFFFFF"/>
        </w:rPr>
        <w:t xml:space="preserve"> (</w:t>
      </w:r>
      <w:r w:rsidR="00BB46F8">
        <w:rPr>
          <w:rFonts w:ascii="Arial" w:hAnsi="Arial" w:cs="Arial"/>
          <w:color w:val="222222"/>
          <w:sz w:val="20"/>
          <w:szCs w:val="20"/>
          <w:shd w:val="clear" w:color="auto" w:fill="FFFFFF"/>
        </w:rPr>
        <w:t xml:space="preserve">Mason &amp; Stephenson, 2017). </w:t>
      </w:r>
      <w:r w:rsidR="00BB46F8" w:rsidRPr="00BB46F8">
        <w:rPr>
          <w:color w:val="373D3F"/>
          <w:shd w:val="clear" w:color="auto" w:fill="FFFFFF"/>
        </w:rPr>
        <w:t>The federal government has increasingly used unfunded mandates since the 1960s to entice the state government to take action and to promote national goals in policy areas like civil rights, homeland security, environment, and education</w:t>
      </w:r>
      <w:r w:rsidR="00BB46F8">
        <w:rPr>
          <w:color w:val="373D3F"/>
          <w:shd w:val="clear" w:color="auto" w:fill="FFFFFF"/>
        </w:rPr>
        <w:t xml:space="preserve"> (</w:t>
      </w:r>
      <w:r w:rsidR="00BB46F8">
        <w:rPr>
          <w:rFonts w:ascii="Arial" w:hAnsi="Arial" w:cs="Arial"/>
          <w:color w:val="222222"/>
          <w:sz w:val="20"/>
          <w:szCs w:val="20"/>
          <w:shd w:val="clear" w:color="auto" w:fill="FFFFFF"/>
        </w:rPr>
        <w:t>Mason &amp; Stephenson, 2017).</w:t>
      </w:r>
    </w:p>
    <w:p w:rsidR="00BB46F8" w:rsidRDefault="002B7F64" w:rsidP="00BB46F8">
      <w:pPr>
        <w:tabs>
          <w:tab w:val="left" w:pos="5805"/>
        </w:tabs>
        <w:spacing w:before="100" w:beforeAutospacing="1" w:after="100" w:afterAutospacing="1" w:line="480" w:lineRule="auto"/>
        <w:ind w:firstLine="720"/>
        <w:jc w:val="both"/>
        <w:rPr>
          <w:color w:val="373D3F"/>
          <w:shd w:val="clear" w:color="auto" w:fill="FFFFFF"/>
        </w:rPr>
      </w:pPr>
      <w:r w:rsidRPr="00BB46F8">
        <w:rPr>
          <w:color w:val="373D3F"/>
          <w:shd w:val="clear" w:color="auto" w:fill="FFFFFF"/>
        </w:rPr>
        <w:t>Article 1, section 8, clause 1, of the United States Constitution, commonly known as the Spendi</w:t>
      </w:r>
      <w:r w:rsidRPr="00BB46F8">
        <w:rPr>
          <w:color w:val="373D3F"/>
          <w:shd w:val="clear" w:color="auto" w:fill="FFFFFF"/>
        </w:rPr>
        <w:t>ng Clause, allows Congress to coerce state action</w:t>
      </w:r>
      <w:r>
        <w:rPr>
          <w:color w:val="373D3F"/>
          <w:shd w:val="clear" w:color="auto" w:fill="FFFFFF"/>
        </w:rPr>
        <w:t xml:space="preserve"> (</w:t>
      </w:r>
      <w:r>
        <w:rPr>
          <w:rFonts w:ascii="Arial" w:hAnsi="Arial" w:cs="Arial"/>
          <w:color w:val="222222"/>
          <w:sz w:val="20"/>
          <w:szCs w:val="20"/>
          <w:shd w:val="clear" w:color="auto" w:fill="FFFFFF"/>
        </w:rPr>
        <w:t xml:space="preserve">Mason &amp; Stephenson, 2017). </w:t>
      </w:r>
      <w:r w:rsidRPr="00BB46F8">
        <w:rPr>
          <w:color w:val="373D3F"/>
          <w:shd w:val="clear" w:color="auto" w:fill="FFFFFF"/>
        </w:rPr>
        <w:t>The clause offers the federal government the legal authority to provide federal grants to localities and states liable on the receivers engaging in or desisting from particular a</w:t>
      </w:r>
      <w:r w:rsidRPr="00BB46F8">
        <w:rPr>
          <w:color w:val="373D3F"/>
          <w:shd w:val="clear" w:color="auto" w:fill="FFFFFF"/>
        </w:rPr>
        <w:t>ctivitie</w:t>
      </w:r>
      <w:r>
        <w:rPr>
          <w:color w:val="373D3F"/>
          <w:shd w:val="clear" w:color="auto" w:fill="FFFFFF"/>
        </w:rPr>
        <w:t>s (</w:t>
      </w:r>
      <w:r>
        <w:rPr>
          <w:rFonts w:ascii="Arial" w:hAnsi="Arial" w:cs="Arial"/>
          <w:color w:val="222222"/>
          <w:sz w:val="20"/>
          <w:szCs w:val="20"/>
          <w:shd w:val="clear" w:color="auto" w:fill="FFFFFF"/>
        </w:rPr>
        <w:t xml:space="preserve">Mason &amp; Stephenson, 2017). </w:t>
      </w:r>
      <w:r w:rsidRPr="00BB46F8">
        <w:rPr>
          <w:color w:val="373D3F"/>
          <w:shd w:val="clear" w:color="auto" w:fill="FFFFFF"/>
        </w:rPr>
        <w:t>Although the Supreme Court has enunciated specific confines on the exercise of this power. The conditions attached to the receiver of the federal grants must be; explicitly established so as the receiver can eloquently</w:t>
      </w:r>
      <w:r w:rsidRPr="00BB46F8">
        <w:rPr>
          <w:color w:val="373D3F"/>
          <w:shd w:val="clear" w:color="auto" w:fill="FFFFFF"/>
        </w:rPr>
        <w:t xml:space="preserve"> accept or reject the grants, be helpful to the national interest in the designated national programs to which the finances are directed, not infringe other provisions of the United States constitution and not cross the line from inducement to impermissibl</w:t>
      </w:r>
      <w:r w:rsidRPr="00BB46F8">
        <w:rPr>
          <w:color w:val="373D3F"/>
          <w:shd w:val="clear" w:color="auto" w:fill="FFFFFF"/>
        </w:rPr>
        <w:t>e coercion</w:t>
      </w:r>
      <w:r>
        <w:rPr>
          <w:color w:val="373D3F"/>
          <w:shd w:val="clear" w:color="auto" w:fill="FFFFFF"/>
        </w:rPr>
        <w:t xml:space="preserve"> (</w:t>
      </w:r>
      <w:r>
        <w:rPr>
          <w:rFonts w:ascii="Arial" w:hAnsi="Arial" w:cs="Arial"/>
          <w:color w:val="222222"/>
          <w:sz w:val="20"/>
          <w:szCs w:val="20"/>
          <w:shd w:val="clear" w:color="auto" w:fill="FFFFFF"/>
        </w:rPr>
        <w:t xml:space="preserve">Mason &amp; Stephenson, 2017). </w:t>
      </w:r>
      <w:r w:rsidRPr="00BB46F8">
        <w:rPr>
          <w:color w:val="373D3F"/>
          <w:shd w:val="clear" w:color="auto" w:fill="FFFFFF"/>
        </w:rPr>
        <w:t xml:space="preserve">However, the power of the federal to accord conditions to federal grants has had renewed attention because of the executive order issued by former president Trump </w:t>
      </w:r>
      <w:r w:rsidRPr="00BB46F8">
        <w:rPr>
          <w:color w:val="373D3F"/>
          <w:shd w:val="clear" w:color="auto" w:fill="FFFFFF"/>
        </w:rPr>
        <w:lastRenderedPageBreak/>
        <w:t>in January 2017.</w:t>
      </w:r>
      <w:r>
        <w:rPr>
          <w:color w:val="373D3F"/>
          <w:shd w:val="clear" w:color="auto" w:fill="FFFFFF"/>
        </w:rPr>
        <w:t xml:space="preserve"> The order aimed at encouraging the st</w:t>
      </w:r>
      <w:r>
        <w:rPr>
          <w:color w:val="373D3F"/>
          <w:shd w:val="clear" w:color="auto" w:fill="FFFFFF"/>
        </w:rPr>
        <w:t xml:space="preserve">ates with federal immigration enforcement by suppressing federal grants to nonfederal bodies that have implemented “sanctuary” policies. </w:t>
      </w: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ind w:firstLine="720"/>
        <w:jc w:val="both"/>
        <w:rPr>
          <w:color w:val="373D3F"/>
          <w:shd w:val="clear" w:color="auto" w:fill="FFFFFF"/>
        </w:rPr>
      </w:pPr>
    </w:p>
    <w:p w:rsidR="00BB46F8" w:rsidRDefault="00BB46F8" w:rsidP="00BB46F8">
      <w:pPr>
        <w:tabs>
          <w:tab w:val="left" w:pos="5805"/>
        </w:tabs>
        <w:spacing w:before="100" w:beforeAutospacing="1" w:after="100" w:afterAutospacing="1" w:line="480" w:lineRule="auto"/>
        <w:rPr>
          <w:color w:val="373D3F"/>
          <w:shd w:val="clear" w:color="auto" w:fill="FFFFFF"/>
        </w:rPr>
      </w:pPr>
    </w:p>
    <w:p w:rsidR="00053A3F" w:rsidRDefault="00053A3F" w:rsidP="00BB46F8">
      <w:pPr>
        <w:tabs>
          <w:tab w:val="left" w:pos="5805"/>
        </w:tabs>
        <w:spacing w:before="100" w:beforeAutospacing="1" w:after="100" w:afterAutospacing="1" w:line="480" w:lineRule="auto"/>
        <w:rPr>
          <w:color w:val="373D3F"/>
          <w:shd w:val="clear" w:color="auto" w:fill="FFFFFF"/>
        </w:rPr>
      </w:pPr>
    </w:p>
    <w:p w:rsidR="00053A3F" w:rsidRDefault="00053A3F" w:rsidP="00BB46F8">
      <w:pPr>
        <w:tabs>
          <w:tab w:val="left" w:pos="5805"/>
        </w:tabs>
        <w:spacing w:before="100" w:beforeAutospacing="1" w:after="100" w:afterAutospacing="1" w:line="480" w:lineRule="auto"/>
        <w:rPr>
          <w:color w:val="373D3F"/>
          <w:shd w:val="clear" w:color="auto" w:fill="FFFFFF"/>
        </w:rPr>
      </w:pPr>
    </w:p>
    <w:p w:rsidR="00053A3F" w:rsidRDefault="00053A3F" w:rsidP="00BB46F8">
      <w:pPr>
        <w:tabs>
          <w:tab w:val="left" w:pos="5805"/>
        </w:tabs>
        <w:spacing w:before="100" w:beforeAutospacing="1" w:after="100" w:afterAutospacing="1" w:line="480" w:lineRule="auto"/>
        <w:rPr>
          <w:color w:val="373D3F"/>
          <w:shd w:val="clear" w:color="auto" w:fill="FFFFFF"/>
        </w:rPr>
      </w:pPr>
    </w:p>
    <w:p w:rsidR="00053A3F" w:rsidRDefault="00053A3F" w:rsidP="00BB46F8">
      <w:pPr>
        <w:tabs>
          <w:tab w:val="left" w:pos="5805"/>
        </w:tabs>
        <w:spacing w:before="100" w:beforeAutospacing="1" w:after="100" w:afterAutospacing="1" w:line="480" w:lineRule="auto"/>
        <w:rPr>
          <w:color w:val="373D3F"/>
          <w:shd w:val="clear" w:color="auto" w:fill="FFFFFF"/>
        </w:rPr>
      </w:pPr>
    </w:p>
    <w:p w:rsidR="00BB46F8" w:rsidRDefault="00053A3F" w:rsidP="00BB46F8">
      <w:pPr>
        <w:tabs>
          <w:tab w:val="left" w:pos="5805"/>
        </w:tabs>
        <w:spacing w:before="100" w:beforeAutospacing="1" w:after="100" w:afterAutospacing="1" w:line="480" w:lineRule="auto"/>
        <w:ind w:left="720" w:hanging="720"/>
        <w:jc w:val="center"/>
        <w:rPr>
          <w:color w:val="373D3F"/>
          <w:shd w:val="clear" w:color="auto" w:fill="FFFFFF"/>
        </w:rPr>
      </w:pPr>
      <w:r>
        <w:rPr>
          <w:color w:val="373D3F"/>
          <w:shd w:val="clear" w:color="auto" w:fill="FFFFFF"/>
        </w:rPr>
        <w:lastRenderedPageBreak/>
        <w:t>Reference</w:t>
      </w:r>
      <w:bookmarkStart w:id="0" w:name="_GoBack"/>
      <w:bookmarkEnd w:id="0"/>
    </w:p>
    <w:p w:rsidR="00BB46F8" w:rsidRDefault="002B7F64" w:rsidP="00BB46F8">
      <w:pPr>
        <w:tabs>
          <w:tab w:val="left" w:pos="5805"/>
        </w:tabs>
        <w:spacing w:before="100" w:beforeAutospacing="1" w:after="100" w:afterAutospacing="1" w:line="480" w:lineRule="auto"/>
        <w:ind w:left="720" w:hanging="720"/>
        <w:jc w:val="both"/>
        <w:rPr>
          <w:color w:val="373D3F"/>
          <w:shd w:val="clear" w:color="auto" w:fill="FFFFFF"/>
        </w:rPr>
      </w:pPr>
      <w:r>
        <w:rPr>
          <w:rFonts w:ascii="Arial" w:hAnsi="Arial" w:cs="Arial"/>
          <w:color w:val="222222"/>
          <w:sz w:val="20"/>
          <w:szCs w:val="20"/>
          <w:shd w:val="clear" w:color="auto" w:fill="FFFFFF"/>
        </w:rPr>
        <w:t>Mason, A. T., &amp; Stephenson Jr, D. G (2017). NEW TO THE 17TH EDITION.</w:t>
      </w:r>
    </w:p>
    <w:p w:rsidR="00BB46F8" w:rsidRPr="00BB46F8" w:rsidRDefault="00BB46F8" w:rsidP="00C75415">
      <w:pPr>
        <w:tabs>
          <w:tab w:val="left" w:pos="5805"/>
        </w:tabs>
        <w:rPr>
          <w:color w:val="373D3F"/>
          <w:shd w:val="clear" w:color="auto" w:fill="FFFFFF"/>
        </w:rPr>
      </w:pPr>
    </w:p>
    <w:p w:rsidR="00C75415" w:rsidRPr="00BB46F8" w:rsidRDefault="00C75415" w:rsidP="00C75415">
      <w:pPr>
        <w:tabs>
          <w:tab w:val="left" w:pos="5805"/>
        </w:tabs>
      </w:pPr>
    </w:p>
    <w:sectPr w:rsidR="00C75415" w:rsidRPr="00BB46F8" w:rsidSect="00C75415">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F64" w:rsidRDefault="002B7F64">
      <w:pPr>
        <w:spacing w:after="0" w:line="240" w:lineRule="auto"/>
      </w:pPr>
      <w:r>
        <w:separator/>
      </w:r>
    </w:p>
  </w:endnote>
  <w:endnote w:type="continuationSeparator" w:id="0">
    <w:p w:rsidR="002B7F64" w:rsidRDefault="002B7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F64" w:rsidRDefault="002B7F64">
      <w:pPr>
        <w:spacing w:after="0" w:line="240" w:lineRule="auto"/>
      </w:pPr>
      <w:r>
        <w:separator/>
      </w:r>
    </w:p>
  </w:footnote>
  <w:footnote w:type="continuationSeparator" w:id="0">
    <w:p w:rsidR="002B7F64" w:rsidRDefault="002B7F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5415" w:rsidRDefault="002B7F64">
    <w:pPr>
      <w:pStyle w:val="Header"/>
      <w:jc w:val="right"/>
    </w:pPr>
    <w:r>
      <w:t>CONSTITUTION</w:t>
    </w:r>
    <w:r>
      <w:tab/>
    </w:r>
    <w:r>
      <w:tab/>
      <w:t xml:space="preserve"> </w:t>
    </w:r>
    <w:sdt>
      <w:sdtPr>
        <w:id w:val="15226401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53A3F">
          <w:rPr>
            <w:noProof/>
          </w:rPr>
          <w:t>3</w:t>
        </w:r>
        <w:r>
          <w:rPr>
            <w:noProof/>
          </w:rPr>
          <w:fldChar w:fldCharType="end"/>
        </w:r>
      </w:sdtContent>
    </w:sdt>
  </w:p>
  <w:p w:rsidR="00C75415" w:rsidRDefault="00C7541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5415" w:rsidRDefault="002B7F64">
    <w:pPr>
      <w:pStyle w:val="Header"/>
      <w:jc w:val="right"/>
    </w:pPr>
    <w:r>
      <w:t xml:space="preserve">Running Head: CONSTITUTION </w:t>
    </w:r>
    <w:r>
      <w:tab/>
    </w:r>
    <w:r>
      <w:tab/>
    </w:r>
    <w:sdt>
      <w:sdtPr>
        <w:id w:val="-160178925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53A3F">
          <w:rPr>
            <w:noProof/>
          </w:rPr>
          <w:t>1</w:t>
        </w:r>
        <w:r>
          <w:rPr>
            <w:noProof/>
          </w:rPr>
          <w:fldChar w:fldCharType="end"/>
        </w:r>
      </w:sdtContent>
    </w:sdt>
  </w:p>
  <w:p w:rsidR="00C75415" w:rsidRDefault="00C754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415"/>
    <w:rsid w:val="00053A3F"/>
    <w:rsid w:val="002418E5"/>
    <w:rsid w:val="002B7F64"/>
    <w:rsid w:val="002E0F95"/>
    <w:rsid w:val="00BA6741"/>
    <w:rsid w:val="00BB46F8"/>
    <w:rsid w:val="00C5044B"/>
    <w:rsid w:val="00C75415"/>
    <w:rsid w:val="00FC5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9272F0-EA40-44EB-A777-04F64D127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54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5415"/>
  </w:style>
  <w:style w:type="paragraph" w:styleId="Footer">
    <w:name w:val="footer"/>
    <w:basedOn w:val="Normal"/>
    <w:link w:val="FooterChar"/>
    <w:uiPriority w:val="99"/>
    <w:unhideWhenUsed/>
    <w:rsid w:val="00C754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415"/>
  </w:style>
  <w:style w:type="character" w:styleId="Strong">
    <w:name w:val="Strong"/>
    <w:basedOn w:val="DefaultParagraphFont"/>
    <w:uiPriority w:val="22"/>
    <w:qFormat/>
    <w:rsid w:val="00BB46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378</Words>
  <Characters>2156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2021-05-07T07:37:00Z</dcterms:created>
  <dcterms:modified xsi:type="dcterms:W3CDTF">2021-05-07T10:05:00Z</dcterms:modified>
</cp:coreProperties>
</file>