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368D5" w14:textId="6523C80A" w:rsidR="00CC130D" w:rsidRDefault="00CC130D" w:rsidP="006B3ABF">
      <w:pPr>
        <w:jc w:val="center"/>
      </w:pPr>
    </w:p>
    <w:p w14:paraId="28BE20F2" w14:textId="21029A50" w:rsidR="00CC130D" w:rsidRDefault="00CC130D" w:rsidP="006B3ABF">
      <w:pPr>
        <w:jc w:val="center"/>
      </w:pPr>
    </w:p>
    <w:p w14:paraId="7BE6C3F4" w14:textId="5EF86020" w:rsidR="00CC130D" w:rsidRDefault="00CC130D" w:rsidP="006B3ABF">
      <w:pPr>
        <w:jc w:val="center"/>
      </w:pPr>
    </w:p>
    <w:p w14:paraId="798C8875" w14:textId="1F5BF2BB" w:rsidR="00CC130D" w:rsidRDefault="00CC130D" w:rsidP="006B3ABF">
      <w:pPr>
        <w:jc w:val="center"/>
      </w:pPr>
    </w:p>
    <w:p w14:paraId="257BBE16" w14:textId="173816C7" w:rsidR="00CC130D" w:rsidRDefault="00CC130D" w:rsidP="006B3ABF">
      <w:pPr>
        <w:jc w:val="center"/>
      </w:pPr>
    </w:p>
    <w:p w14:paraId="5DCEA064" w14:textId="2A4F75C9" w:rsidR="00CC130D" w:rsidRDefault="00CC130D" w:rsidP="006B3ABF">
      <w:pPr>
        <w:jc w:val="center"/>
      </w:pPr>
      <w:r w:rsidRPr="00CC130D">
        <w:t>Case Study Analysis</w:t>
      </w:r>
    </w:p>
    <w:p w14:paraId="456663E8" w14:textId="3138A1F6" w:rsidR="00CC130D" w:rsidRDefault="00CC130D" w:rsidP="006B3ABF">
      <w:pPr>
        <w:jc w:val="center"/>
      </w:pPr>
      <w:r>
        <w:t>Name</w:t>
      </w:r>
    </w:p>
    <w:p w14:paraId="64AA2B5D" w14:textId="2FFB0887" w:rsidR="00CC130D" w:rsidRDefault="00CC130D" w:rsidP="006B3ABF">
      <w:pPr>
        <w:jc w:val="center"/>
      </w:pPr>
      <w:r>
        <w:t>Institution</w:t>
      </w:r>
    </w:p>
    <w:p w14:paraId="4C82F95C" w14:textId="60F67CF2" w:rsidR="00CC130D" w:rsidRDefault="00CC130D" w:rsidP="006B3ABF">
      <w:pPr>
        <w:jc w:val="center"/>
      </w:pPr>
      <w:r>
        <w:t>Class</w:t>
      </w:r>
    </w:p>
    <w:p w14:paraId="6B243AC2" w14:textId="3E9A500F" w:rsidR="00CC130D" w:rsidRDefault="00CC130D" w:rsidP="006B3ABF">
      <w:pPr>
        <w:jc w:val="center"/>
      </w:pPr>
      <w:r>
        <w:t>Professor</w:t>
      </w:r>
    </w:p>
    <w:p w14:paraId="40FE30A2" w14:textId="3A461C38" w:rsidR="00CC130D" w:rsidRPr="00CC130D" w:rsidRDefault="00CC130D" w:rsidP="006B3ABF">
      <w:pPr>
        <w:jc w:val="center"/>
      </w:pPr>
      <w:r>
        <w:t>Date</w:t>
      </w:r>
    </w:p>
    <w:p w14:paraId="7ABDF9C4" w14:textId="77777777" w:rsidR="00CC130D" w:rsidRDefault="00CC130D">
      <w:pPr>
        <w:rPr>
          <w:b/>
          <w:bCs/>
        </w:rPr>
      </w:pPr>
      <w:r>
        <w:rPr>
          <w:b/>
          <w:bCs/>
        </w:rPr>
        <w:br w:type="page"/>
      </w:r>
    </w:p>
    <w:sdt>
      <w:sdtPr>
        <w:rPr>
          <w:rFonts w:ascii="Times New Roman" w:hAnsi="Times New Roman" w:cs="Times New Roman"/>
          <w:b/>
          <w:bCs/>
          <w:color w:val="auto"/>
          <w:sz w:val="24"/>
          <w:szCs w:val="24"/>
        </w:rPr>
        <w:id w:val="1731039657"/>
        <w:docPartObj>
          <w:docPartGallery w:val="Table of Contents"/>
          <w:docPartUnique/>
        </w:docPartObj>
      </w:sdtPr>
      <w:sdtEndPr>
        <w:rPr>
          <w:rFonts w:eastAsiaTheme="minorHAnsi" w:cstheme="minorBidi"/>
          <w:b w:val="0"/>
          <w:bCs w:val="0"/>
          <w:noProof/>
          <w:szCs w:val="22"/>
        </w:rPr>
      </w:sdtEndPr>
      <w:sdtContent>
        <w:p w14:paraId="2C964D8C" w14:textId="5CFB6679" w:rsidR="00450737" w:rsidRPr="00E02DE6" w:rsidRDefault="00450737" w:rsidP="00E02DE6">
          <w:pPr>
            <w:pStyle w:val="TOCHeading"/>
            <w:spacing w:line="480" w:lineRule="auto"/>
            <w:rPr>
              <w:rFonts w:ascii="Times New Roman" w:hAnsi="Times New Roman" w:cs="Times New Roman"/>
              <w:b/>
              <w:bCs/>
            </w:rPr>
          </w:pPr>
          <w:r w:rsidRPr="00E02DE6">
            <w:rPr>
              <w:rFonts w:ascii="Times New Roman" w:hAnsi="Times New Roman" w:cs="Times New Roman"/>
              <w:b/>
              <w:bCs/>
              <w:color w:val="auto"/>
              <w:sz w:val="24"/>
              <w:szCs w:val="24"/>
            </w:rPr>
            <w:t>Table of Contents</w:t>
          </w:r>
        </w:p>
        <w:p w14:paraId="50725790" w14:textId="2B2DC819" w:rsidR="00450737" w:rsidRPr="00E02DE6" w:rsidRDefault="00450737" w:rsidP="00497F6C">
          <w:pPr>
            <w:pStyle w:val="TOC1"/>
            <w:tabs>
              <w:tab w:val="right" w:leader="dot" w:pos="9350"/>
            </w:tabs>
            <w:spacing w:line="360" w:lineRule="auto"/>
            <w:rPr>
              <w:noProof/>
            </w:rPr>
          </w:pPr>
          <w:r w:rsidRPr="00E02DE6">
            <w:fldChar w:fldCharType="begin"/>
          </w:r>
          <w:r w:rsidRPr="00E02DE6">
            <w:instrText xml:space="preserve"> TOC \o "1-3" \h \z \u </w:instrText>
          </w:r>
          <w:r w:rsidRPr="00E02DE6">
            <w:fldChar w:fldCharType="separate"/>
          </w:r>
          <w:hyperlink w:anchor="_Toc105975861" w:history="1">
            <w:r w:rsidRPr="00E02DE6">
              <w:rPr>
                <w:rStyle w:val="Hyperlink"/>
                <w:rFonts w:cs="Times New Roman"/>
                <w:noProof/>
              </w:rPr>
              <w:t>1. Problem Identification</w:t>
            </w:r>
            <w:r w:rsidRPr="00E02DE6">
              <w:rPr>
                <w:noProof/>
                <w:webHidden/>
              </w:rPr>
              <w:tab/>
            </w:r>
            <w:r w:rsidRPr="00E02DE6">
              <w:rPr>
                <w:noProof/>
                <w:webHidden/>
              </w:rPr>
              <w:fldChar w:fldCharType="begin"/>
            </w:r>
            <w:r w:rsidRPr="00E02DE6">
              <w:rPr>
                <w:noProof/>
                <w:webHidden/>
              </w:rPr>
              <w:instrText xml:space="preserve"> PAGEREF _Toc105975861 \h </w:instrText>
            </w:r>
            <w:r w:rsidRPr="00E02DE6">
              <w:rPr>
                <w:noProof/>
                <w:webHidden/>
              </w:rPr>
            </w:r>
            <w:r w:rsidRPr="00E02DE6">
              <w:rPr>
                <w:noProof/>
                <w:webHidden/>
              </w:rPr>
              <w:fldChar w:fldCharType="separate"/>
            </w:r>
            <w:r w:rsidRPr="00E02DE6">
              <w:rPr>
                <w:noProof/>
                <w:webHidden/>
              </w:rPr>
              <w:t>3</w:t>
            </w:r>
            <w:r w:rsidRPr="00E02DE6">
              <w:rPr>
                <w:noProof/>
                <w:webHidden/>
              </w:rPr>
              <w:fldChar w:fldCharType="end"/>
            </w:r>
          </w:hyperlink>
        </w:p>
        <w:p w14:paraId="4D9616A3" w14:textId="0152E4E9" w:rsidR="00450737" w:rsidRPr="00E02DE6" w:rsidRDefault="00450737" w:rsidP="00497F6C">
          <w:pPr>
            <w:pStyle w:val="TOC1"/>
            <w:tabs>
              <w:tab w:val="right" w:leader="dot" w:pos="9350"/>
            </w:tabs>
            <w:spacing w:line="360" w:lineRule="auto"/>
            <w:rPr>
              <w:noProof/>
            </w:rPr>
          </w:pPr>
          <w:hyperlink w:anchor="_Toc105975862" w:history="1">
            <w:r w:rsidRPr="00E02DE6">
              <w:rPr>
                <w:rStyle w:val="Hyperlink"/>
                <w:rFonts w:cs="Times New Roman"/>
                <w:noProof/>
              </w:rPr>
              <w:t>2. Introduction</w:t>
            </w:r>
            <w:r w:rsidRPr="00E02DE6">
              <w:rPr>
                <w:noProof/>
                <w:webHidden/>
              </w:rPr>
              <w:tab/>
            </w:r>
            <w:r w:rsidRPr="00E02DE6">
              <w:rPr>
                <w:noProof/>
                <w:webHidden/>
              </w:rPr>
              <w:fldChar w:fldCharType="begin"/>
            </w:r>
            <w:r w:rsidRPr="00E02DE6">
              <w:rPr>
                <w:noProof/>
                <w:webHidden/>
              </w:rPr>
              <w:instrText xml:space="preserve"> PAGEREF _Toc105975862 \h </w:instrText>
            </w:r>
            <w:r w:rsidRPr="00E02DE6">
              <w:rPr>
                <w:noProof/>
                <w:webHidden/>
              </w:rPr>
            </w:r>
            <w:r w:rsidRPr="00E02DE6">
              <w:rPr>
                <w:noProof/>
                <w:webHidden/>
              </w:rPr>
              <w:fldChar w:fldCharType="separate"/>
            </w:r>
            <w:r w:rsidRPr="00E02DE6">
              <w:rPr>
                <w:noProof/>
                <w:webHidden/>
              </w:rPr>
              <w:t>3</w:t>
            </w:r>
            <w:r w:rsidRPr="00E02DE6">
              <w:rPr>
                <w:noProof/>
                <w:webHidden/>
              </w:rPr>
              <w:fldChar w:fldCharType="end"/>
            </w:r>
          </w:hyperlink>
        </w:p>
        <w:p w14:paraId="11EF5790" w14:textId="0610F77B" w:rsidR="00450737" w:rsidRPr="00E02DE6" w:rsidRDefault="00450737" w:rsidP="00497F6C">
          <w:pPr>
            <w:pStyle w:val="TOC1"/>
            <w:tabs>
              <w:tab w:val="right" w:leader="dot" w:pos="9350"/>
            </w:tabs>
            <w:spacing w:line="360" w:lineRule="auto"/>
            <w:rPr>
              <w:noProof/>
            </w:rPr>
          </w:pPr>
          <w:hyperlink w:anchor="_Toc105975863" w:history="1">
            <w:r w:rsidRPr="00E02DE6">
              <w:rPr>
                <w:rStyle w:val="Hyperlink"/>
                <w:rFonts w:cs="Times New Roman"/>
                <w:noProof/>
              </w:rPr>
              <w:t>3. Presenting the Facts</w:t>
            </w:r>
            <w:r w:rsidRPr="00E02DE6">
              <w:rPr>
                <w:noProof/>
                <w:webHidden/>
              </w:rPr>
              <w:tab/>
            </w:r>
            <w:r w:rsidRPr="00E02DE6">
              <w:rPr>
                <w:noProof/>
                <w:webHidden/>
              </w:rPr>
              <w:fldChar w:fldCharType="begin"/>
            </w:r>
            <w:r w:rsidRPr="00E02DE6">
              <w:rPr>
                <w:noProof/>
                <w:webHidden/>
              </w:rPr>
              <w:instrText xml:space="preserve"> PAGEREF _Toc105975863 \h </w:instrText>
            </w:r>
            <w:r w:rsidRPr="00E02DE6">
              <w:rPr>
                <w:noProof/>
                <w:webHidden/>
              </w:rPr>
            </w:r>
            <w:r w:rsidRPr="00E02DE6">
              <w:rPr>
                <w:noProof/>
                <w:webHidden/>
              </w:rPr>
              <w:fldChar w:fldCharType="separate"/>
            </w:r>
            <w:r w:rsidRPr="00E02DE6">
              <w:rPr>
                <w:noProof/>
                <w:webHidden/>
              </w:rPr>
              <w:t>4</w:t>
            </w:r>
            <w:r w:rsidRPr="00E02DE6">
              <w:rPr>
                <w:noProof/>
                <w:webHidden/>
              </w:rPr>
              <w:fldChar w:fldCharType="end"/>
            </w:r>
          </w:hyperlink>
        </w:p>
        <w:p w14:paraId="25FEFBD1" w14:textId="6B9584E0" w:rsidR="00450737" w:rsidRPr="00E02DE6" w:rsidRDefault="00450737" w:rsidP="00497F6C">
          <w:pPr>
            <w:pStyle w:val="TOC1"/>
            <w:tabs>
              <w:tab w:val="right" w:leader="dot" w:pos="9350"/>
            </w:tabs>
            <w:spacing w:line="360" w:lineRule="auto"/>
            <w:rPr>
              <w:noProof/>
            </w:rPr>
          </w:pPr>
          <w:hyperlink w:anchor="_Toc105975864" w:history="1">
            <w:r w:rsidRPr="00E02DE6">
              <w:rPr>
                <w:rStyle w:val="Hyperlink"/>
                <w:rFonts w:cs="Times New Roman"/>
                <w:noProof/>
              </w:rPr>
              <w:t>4. Alternative Courses of Action</w:t>
            </w:r>
            <w:r w:rsidRPr="00E02DE6">
              <w:rPr>
                <w:noProof/>
                <w:webHidden/>
              </w:rPr>
              <w:tab/>
            </w:r>
            <w:r w:rsidRPr="00E02DE6">
              <w:rPr>
                <w:noProof/>
                <w:webHidden/>
              </w:rPr>
              <w:fldChar w:fldCharType="begin"/>
            </w:r>
            <w:r w:rsidRPr="00E02DE6">
              <w:rPr>
                <w:noProof/>
                <w:webHidden/>
              </w:rPr>
              <w:instrText xml:space="preserve"> PAGEREF _Toc105975864 \h </w:instrText>
            </w:r>
            <w:r w:rsidRPr="00E02DE6">
              <w:rPr>
                <w:noProof/>
                <w:webHidden/>
              </w:rPr>
            </w:r>
            <w:r w:rsidRPr="00E02DE6">
              <w:rPr>
                <w:noProof/>
                <w:webHidden/>
              </w:rPr>
              <w:fldChar w:fldCharType="separate"/>
            </w:r>
            <w:r w:rsidRPr="00E02DE6">
              <w:rPr>
                <w:noProof/>
                <w:webHidden/>
              </w:rPr>
              <w:t>5</w:t>
            </w:r>
            <w:r w:rsidRPr="00E02DE6">
              <w:rPr>
                <w:noProof/>
                <w:webHidden/>
              </w:rPr>
              <w:fldChar w:fldCharType="end"/>
            </w:r>
          </w:hyperlink>
        </w:p>
        <w:p w14:paraId="420F45DC" w14:textId="0AAAC089" w:rsidR="00450737" w:rsidRPr="00E02DE6" w:rsidRDefault="00450737" w:rsidP="00497F6C">
          <w:pPr>
            <w:pStyle w:val="TOC1"/>
            <w:tabs>
              <w:tab w:val="right" w:leader="dot" w:pos="9350"/>
            </w:tabs>
            <w:spacing w:line="360" w:lineRule="auto"/>
            <w:rPr>
              <w:noProof/>
            </w:rPr>
          </w:pPr>
          <w:hyperlink w:anchor="_Toc105975865" w:history="1">
            <w:r w:rsidRPr="00E02DE6">
              <w:rPr>
                <w:rStyle w:val="Hyperlink"/>
                <w:rFonts w:cs="Times New Roman"/>
                <w:noProof/>
              </w:rPr>
              <w:t>5. My Decision and Reasoning</w:t>
            </w:r>
            <w:r w:rsidRPr="00E02DE6">
              <w:rPr>
                <w:noProof/>
                <w:webHidden/>
              </w:rPr>
              <w:tab/>
            </w:r>
            <w:r w:rsidRPr="00E02DE6">
              <w:rPr>
                <w:noProof/>
                <w:webHidden/>
              </w:rPr>
              <w:fldChar w:fldCharType="begin"/>
            </w:r>
            <w:r w:rsidRPr="00E02DE6">
              <w:rPr>
                <w:noProof/>
                <w:webHidden/>
              </w:rPr>
              <w:instrText xml:space="preserve"> PAGEREF _Toc105975865 \h </w:instrText>
            </w:r>
            <w:r w:rsidRPr="00E02DE6">
              <w:rPr>
                <w:noProof/>
                <w:webHidden/>
              </w:rPr>
            </w:r>
            <w:r w:rsidRPr="00E02DE6">
              <w:rPr>
                <w:noProof/>
                <w:webHidden/>
              </w:rPr>
              <w:fldChar w:fldCharType="separate"/>
            </w:r>
            <w:r w:rsidRPr="00E02DE6">
              <w:rPr>
                <w:noProof/>
                <w:webHidden/>
              </w:rPr>
              <w:t>7</w:t>
            </w:r>
            <w:r w:rsidRPr="00E02DE6">
              <w:rPr>
                <w:noProof/>
                <w:webHidden/>
              </w:rPr>
              <w:fldChar w:fldCharType="end"/>
            </w:r>
          </w:hyperlink>
        </w:p>
        <w:p w14:paraId="5EF7E6F5" w14:textId="06867122" w:rsidR="00450737" w:rsidRPr="00E02DE6" w:rsidRDefault="00450737" w:rsidP="00497F6C">
          <w:pPr>
            <w:pStyle w:val="TOC1"/>
            <w:tabs>
              <w:tab w:val="right" w:leader="dot" w:pos="9350"/>
            </w:tabs>
            <w:spacing w:line="360" w:lineRule="auto"/>
            <w:rPr>
              <w:noProof/>
            </w:rPr>
          </w:pPr>
          <w:hyperlink w:anchor="_Toc105975866" w:history="1">
            <w:r w:rsidRPr="00E02DE6">
              <w:rPr>
                <w:rStyle w:val="Hyperlink"/>
                <w:rFonts w:cs="Times New Roman"/>
                <w:noProof/>
              </w:rPr>
              <w:t>6. Implementation</w:t>
            </w:r>
            <w:r w:rsidRPr="00E02DE6">
              <w:rPr>
                <w:noProof/>
                <w:webHidden/>
              </w:rPr>
              <w:tab/>
            </w:r>
            <w:r w:rsidRPr="00E02DE6">
              <w:rPr>
                <w:noProof/>
                <w:webHidden/>
              </w:rPr>
              <w:fldChar w:fldCharType="begin"/>
            </w:r>
            <w:r w:rsidRPr="00E02DE6">
              <w:rPr>
                <w:noProof/>
                <w:webHidden/>
              </w:rPr>
              <w:instrText xml:space="preserve"> PAGEREF _Toc105975866 \h </w:instrText>
            </w:r>
            <w:r w:rsidRPr="00E02DE6">
              <w:rPr>
                <w:noProof/>
                <w:webHidden/>
              </w:rPr>
            </w:r>
            <w:r w:rsidRPr="00E02DE6">
              <w:rPr>
                <w:noProof/>
                <w:webHidden/>
              </w:rPr>
              <w:fldChar w:fldCharType="separate"/>
            </w:r>
            <w:r w:rsidRPr="00E02DE6">
              <w:rPr>
                <w:noProof/>
                <w:webHidden/>
              </w:rPr>
              <w:t>8</w:t>
            </w:r>
            <w:r w:rsidRPr="00E02DE6">
              <w:rPr>
                <w:noProof/>
                <w:webHidden/>
              </w:rPr>
              <w:fldChar w:fldCharType="end"/>
            </w:r>
          </w:hyperlink>
        </w:p>
        <w:p w14:paraId="1D29B2A7" w14:textId="280D10A4" w:rsidR="00450737" w:rsidRDefault="00450737" w:rsidP="00497F6C">
          <w:pPr>
            <w:pStyle w:val="TOC1"/>
            <w:tabs>
              <w:tab w:val="right" w:leader="dot" w:pos="9350"/>
            </w:tabs>
            <w:spacing w:line="360" w:lineRule="auto"/>
          </w:pPr>
          <w:hyperlink w:anchor="_Toc105975867" w:history="1">
            <w:r w:rsidRPr="00E02DE6">
              <w:rPr>
                <w:rStyle w:val="Hyperlink"/>
                <w:rFonts w:cs="Times New Roman"/>
                <w:noProof/>
              </w:rPr>
              <w:t>7. Conclusion</w:t>
            </w:r>
            <w:r w:rsidRPr="00E02DE6">
              <w:rPr>
                <w:noProof/>
                <w:webHidden/>
              </w:rPr>
              <w:tab/>
            </w:r>
            <w:r w:rsidRPr="00E02DE6">
              <w:rPr>
                <w:noProof/>
                <w:webHidden/>
              </w:rPr>
              <w:fldChar w:fldCharType="begin"/>
            </w:r>
            <w:r w:rsidRPr="00E02DE6">
              <w:rPr>
                <w:noProof/>
                <w:webHidden/>
              </w:rPr>
              <w:instrText xml:space="preserve"> PAGEREF _Toc105975867 \h </w:instrText>
            </w:r>
            <w:r w:rsidRPr="00E02DE6">
              <w:rPr>
                <w:noProof/>
                <w:webHidden/>
              </w:rPr>
            </w:r>
            <w:r w:rsidRPr="00E02DE6">
              <w:rPr>
                <w:noProof/>
                <w:webHidden/>
              </w:rPr>
              <w:fldChar w:fldCharType="separate"/>
            </w:r>
            <w:r w:rsidRPr="00E02DE6">
              <w:rPr>
                <w:noProof/>
                <w:webHidden/>
              </w:rPr>
              <w:t>9</w:t>
            </w:r>
            <w:r w:rsidRPr="00E02DE6">
              <w:rPr>
                <w:noProof/>
                <w:webHidden/>
              </w:rPr>
              <w:fldChar w:fldCharType="end"/>
            </w:r>
          </w:hyperlink>
          <w:r w:rsidRPr="00E02DE6">
            <w:rPr>
              <w:noProof/>
            </w:rPr>
            <w:fldChar w:fldCharType="end"/>
          </w:r>
        </w:p>
      </w:sdtContent>
    </w:sdt>
    <w:p w14:paraId="2D58756F" w14:textId="77777777" w:rsidR="00764A34" w:rsidRDefault="00764A34">
      <w:r>
        <w:br w:type="page"/>
      </w:r>
    </w:p>
    <w:p w14:paraId="2D769CAE" w14:textId="6E0412F7" w:rsidR="00F2671C" w:rsidRPr="00CC130D" w:rsidRDefault="00EB07FE" w:rsidP="006B3ABF">
      <w:pPr>
        <w:jc w:val="center"/>
      </w:pPr>
      <w:r w:rsidRPr="00CC130D">
        <w:lastRenderedPageBreak/>
        <w:t>Case Study Analysis</w:t>
      </w:r>
    </w:p>
    <w:p w14:paraId="51CAC952" w14:textId="55E2AC49" w:rsidR="003E17BB" w:rsidRPr="000F74D8" w:rsidRDefault="008A601D" w:rsidP="000F74D8">
      <w:pPr>
        <w:pStyle w:val="Heading1"/>
        <w:rPr>
          <w:rFonts w:ascii="Times New Roman" w:hAnsi="Times New Roman" w:cs="Times New Roman"/>
          <w:b/>
          <w:bCs/>
        </w:rPr>
      </w:pPr>
      <w:bookmarkStart w:id="0" w:name="_Toc105975861"/>
      <w:r>
        <w:rPr>
          <w:rFonts w:ascii="Times New Roman" w:hAnsi="Times New Roman" w:cs="Times New Roman"/>
          <w:b/>
          <w:bCs/>
          <w:color w:val="auto"/>
          <w:sz w:val="24"/>
          <w:szCs w:val="24"/>
        </w:rPr>
        <w:t xml:space="preserve">1. </w:t>
      </w:r>
      <w:r w:rsidR="00942FF4" w:rsidRPr="000F74D8">
        <w:rPr>
          <w:rFonts w:ascii="Times New Roman" w:hAnsi="Times New Roman" w:cs="Times New Roman"/>
          <w:b/>
          <w:bCs/>
          <w:color w:val="auto"/>
          <w:sz w:val="24"/>
          <w:szCs w:val="24"/>
        </w:rPr>
        <w:t>Problem Identification</w:t>
      </w:r>
      <w:bookmarkEnd w:id="0"/>
    </w:p>
    <w:p w14:paraId="795A7AAF" w14:textId="77777777" w:rsidR="007D4331" w:rsidRPr="007D4331" w:rsidRDefault="007D4331" w:rsidP="007D4331">
      <w:pPr>
        <w:ind w:firstLine="720"/>
      </w:pPr>
      <w:r w:rsidRPr="007D4331">
        <w:t>The case presents macroeconomic forces that affected the Canadian National Hockey League (NHL), thereby impacting the future of the Chicago Blackhawks financially. Although Stan Bowman, the new general manager (GM), helped the team overcome the past salary cap issue to win the Stanley Cup, the current problem is more challenging to address. The fall of oil prices in the international market caused the Bank of Canada to lower its target, thereby affecting the revenue growth of the NHL. The reduced revenue growth imposed financial constraints on Chicago Blackhawks, making it challenging for the GM to decide on the team's future. By the end of the season, 12 key players were going to be out of contract, but Bowman had only $1.35 million that could be spent on payroll. With the existing financial constraint, will Bowman be able to keep the team intact and fit to successfully defend the Stanley Cup title in the subsequent season?</w:t>
      </w:r>
    </w:p>
    <w:p w14:paraId="1F21937F" w14:textId="09C6737C" w:rsidR="007D4331" w:rsidRPr="000F74D8" w:rsidRDefault="008A601D" w:rsidP="000F74D8">
      <w:pPr>
        <w:pStyle w:val="Heading1"/>
        <w:rPr>
          <w:rFonts w:ascii="Times New Roman" w:hAnsi="Times New Roman" w:cs="Times New Roman"/>
          <w:b/>
          <w:bCs/>
        </w:rPr>
      </w:pPr>
      <w:bookmarkStart w:id="1" w:name="_Toc105975862"/>
      <w:r>
        <w:rPr>
          <w:rFonts w:ascii="Times New Roman" w:hAnsi="Times New Roman" w:cs="Times New Roman"/>
          <w:b/>
          <w:bCs/>
          <w:color w:val="auto"/>
          <w:sz w:val="24"/>
          <w:szCs w:val="24"/>
        </w:rPr>
        <w:t xml:space="preserve">2. </w:t>
      </w:r>
      <w:r w:rsidR="007D4331" w:rsidRPr="000F74D8">
        <w:rPr>
          <w:rFonts w:ascii="Times New Roman" w:hAnsi="Times New Roman" w:cs="Times New Roman"/>
          <w:b/>
          <w:bCs/>
          <w:color w:val="auto"/>
          <w:sz w:val="24"/>
          <w:szCs w:val="24"/>
        </w:rPr>
        <w:t>Introduction</w:t>
      </w:r>
      <w:bookmarkEnd w:id="1"/>
    </w:p>
    <w:p w14:paraId="662435CB" w14:textId="77777777" w:rsidR="007D4331" w:rsidRPr="007D4331" w:rsidRDefault="007D4331" w:rsidP="007D4331">
      <w:pPr>
        <w:ind w:firstLine="720"/>
      </w:pPr>
      <w:r w:rsidRPr="007D4331">
        <w:t>Despite winning the third NHL title in 2015-16, the Chicago Blackhawks' success the following season faced significant challenges due to the existing macroeconomic forces. The salary cap imposed from the 2005-06 season limited the team's financial operations in the NHL, but Bowman successfully led the team to overcome the associated issues. Chicago Blackhawks functioned well until the 50 percent oil price fall in 2014 affected the Canadian economy. The Bank of Canada responded by lowering its interest rate target, thereby reducing the foreign exchange rates of the Canada-US dollar from $0.93 to $0.73. At the time, the team had 12 key players whose contracts would end by the end of the season and two whose salaries were to be raised by $8 million (29 percent of the team's salary cap).</w:t>
      </w:r>
    </w:p>
    <w:p w14:paraId="1630919A" w14:textId="77777777" w:rsidR="007D4331" w:rsidRPr="007D4331" w:rsidRDefault="007D4331" w:rsidP="007D4331">
      <w:pPr>
        <w:ind w:firstLine="720"/>
      </w:pPr>
      <w:r w:rsidRPr="007D4331">
        <w:lastRenderedPageBreak/>
        <w:t>The available $1.35 million was too little for Bowman to renew the contracts of the 12 key players, maintain the existing ones and increase the salaries of the other two key players. The fall of oil prices, affected economy, and altered interest rates were the main problems in this case. The club's management and the players need to agree on pay cuts to enable the club to meet its financial obligations. Another strategy is creating a collective bargaining agreement (CBA) that allows the teams to increase their salaries when the normal economic conditions are restored. This paper presents a global business case analyzed from the player's point of view to establish the impact of the problem identified above on the players and the team's ability to defend its league title the following season.</w:t>
      </w:r>
    </w:p>
    <w:p w14:paraId="604E8727" w14:textId="720C1BFF" w:rsidR="007D4331" w:rsidRPr="000F74D8" w:rsidRDefault="008A601D" w:rsidP="000F74D8">
      <w:pPr>
        <w:pStyle w:val="Heading1"/>
        <w:rPr>
          <w:rFonts w:ascii="Times New Roman" w:hAnsi="Times New Roman" w:cs="Times New Roman"/>
          <w:b/>
          <w:bCs/>
        </w:rPr>
      </w:pPr>
      <w:bookmarkStart w:id="2" w:name="_Toc105975863"/>
      <w:r>
        <w:rPr>
          <w:rFonts w:ascii="Times New Roman" w:hAnsi="Times New Roman" w:cs="Times New Roman"/>
          <w:b/>
          <w:bCs/>
          <w:color w:val="auto"/>
          <w:sz w:val="24"/>
          <w:szCs w:val="24"/>
        </w:rPr>
        <w:t xml:space="preserve">3. </w:t>
      </w:r>
      <w:r w:rsidR="007D4331" w:rsidRPr="000F74D8">
        <w:rPr>
          <w:rFonts w:ascii="Times New Roman" w:hAnsi="Times New Roman" w:cs="Times New Roman"/>
          <w:b/>
          <w:bCs/>
          <w:color w:val="auto"/>
          <w:sz w:val="24"/>
          <w:szCs w:val="24"/>
        </w:rPr>
        <w:t>Presenting the Facts</w:t>
      </w:r>
      <w:bookmarkEnd w:id="2"/>
    </w:p>
    <w:p w14:paraId="3FA3C493" w14:textId="77777777" w:rsidR="007D4331" w:rsidRPr="007D4331" w:rsidRDefault="007D4331" w:rsidP="007D4331">
      <w:pPr>
        <w:ind w:firstLine="720"/>
      </w:pPr>
      <w:r w:rsidRPr="007D4331">
        <w:t>The salary cap was introduced into the NHL to regulate the players' salaries to ensure that they increase consistently with the league revenues. For instance, the salary cap in 2005-06 was $39 million and grew consistently with the league revenue to $69 million by 2014-15, just a year before Chicago Blackhawks clinched the league title. Later, the salary floor was introduced to balance the player salaries and prevent salary pay inequality in the league. The salary cap and salary floor imposed on teams limited their financial capabilities. After undergoing a healthy growth rate for 12 years, NHL faced adverse financial problems following the economic decline caused by macroeconomic forces. The NHL teams such as Chicago Blackhawks were affected by the salary cap and experienced difficulty maintaining their key players through salary increases as stated in the CBA.</w:t>
      </w:r>
    </w:p>
    <w:p w14:paraId="08B91A57" w14:textId="77777777" w:rsidR="007D4331" w:rsidRPr="007D4331" w:rsidRDefault="007D4331" w:rsidP="007D4331">
      <w:pPr>
        <w:ind w:firstLine="720"/>
      </w:pPr>
      <w:r w:rsidRPr="007D4331">
        <w:t xml:space="preserve">The fall of oil in 2014 was a major issue that affected NHL teams' growth rate. The 50 percent oil price fall significantly reduced the Canadian GDP, causing the economy to contract. The shock to the economy reduced the value of the Canadian dollar in the foreign exchange </w:t>
      </w:r>
      <w:r w:rsidRPr="007D4331">
        <w:lastRenderedPageBreak/>
        <w:t>market from $0.93 to $0.79. The salary cap increased by $2.1 million only, causing Chicago Blackhawks to remain with only $1.35 million to spend on paying players, increasing salaries, and keeping the team intact. Since 12 key players would be out of contract by the end of the season and two key players were supposed to receive a salary increase worth $8 million, the available $1.35 million was insufficient for Bowman to keep the team intact.</w:t>
      </w:r>
    </w:p>
    <w:p w14:paraId="40343467" w14:textId="4761651E" w:rsidR="007D4331" w:rsidRPr="00852D0E" w:rsidRDefault="008A601D" w:rsidP="00852D0E">
      <w:pPr>
        <w:pStyle w:val="Heading1"/>
        <w:rPr>
          <w:rFonts w:ascii="Times New Roman" w:hAnsi="Times New Roman" w:cs="Times New Roman"/>
          <w:b/>
          <w:bCs/>
        </w:rPr>
      </w:pPr>
      <w:bookmarkStart w:id="3" w:name="_Toc105975864"/>
      <w:r>
        <w:rPr>
          <w:rFonts w:ascii="Times New Roman" w:hAnsi="Times New Roman" w:cs="Times New Roman"/>
          <w:b/>
          <w:bCs/>
          <w:color w:val="auto"/>
          <w:sz w:val="24"/>
          <w:szCs w:val="24"/>
        </w:rPr>
        <w:t xml:space="preserve">4. </w:t>
      </w:r>
      <w:r w:rsidR="007D4331" w:rsidRPr="00852D0E">
        <w:rPr>
          <w:rFonts w:ascii="Times New Roman" w:hAnsi="Times New Roman" w:cs="Times New Roman"/>
          <w:b/>
          <w:bCs/>
          <w:color w:val="auto"/>
          <w:sz w:val="24"/>
          <w:szCs w:val="24"/>
        </w:rPr>
        <w:t>Alternative Courses of Action</w:t>
      </w:r>
      <w:bookmarkEnd w:id="3"/>
    </w:p>
    <w:p w14:paraId="2DCB211F" w14:textId="77777777" w:rsidR="007D4331" w:rsidRPr="007D4331" w:rsidRDefault="007D4331" w:rsidP="007D4331">
      <w:pPr>
        <w:ind w:firstLine="720"/>
      </w:pPr>
      <w:r w:rsidRPr="007D4331">
        <w:t>To minimize the impact of the salary cap on the teams like Chicago Blackhawks, the NHL and the NHL Players' Association should create a CBA that lowers the salary cap and salary floor by a uniform ratio to reduce the financial burden. For instance, the salary cap salary floor should be reduced by about $5-10 million to allow the teams to remain sustainable during the economic crisis and then be restored when the economic health restores.</w:t>
      </w:r>
    </w:p>
    <w:p w14:paraId="64C26399" w14:textId="77777777" w:rsidR="007D4331" w:rsidRPr="007D4331" w:rsidRDefault="007D4331" w:rsidP="007D4331">
      <w:pPr>
        <w:ind w:firstLine="720"/>
      </w:pPr>
      <w:r w:rsidRPr="007D4331">
        <w:t>Chicago Blackhawks and other NHL teams should make an agreement with the players to cut their salaries to reduce the financial burden. The pay cut would allow the teams to reduce their expenditures, thereby remaining sustainable during the economic crisis caused by the oil prices fall (</w:t>
      </w:r>
      <w:proofErr w:type="spellStart"/>
      <w:r w:rsidRPr="007D4331">
        <w:t>Waldstein</w:t>
      </w:r>
      <w:proofErr w:type="spellEnd"/>
      <w:r w:rsidRPr="007D4331">
        <w:t xml:space="preserve">, 2020; </w:t>
      </w:r>
      <w:proofErr w:type="spellStart"/>
      <w:r w:rsidRPr="007D4331">
        <w:t>Tsiouvaras</w:t>
      </w:r>
      <w:proofErr w:type="spellEnd"/>
      <w:r w:rsidRPr="007D4331">
        <w:t>, 2021). The teams should agree with the players to apply the pay cut now and then compensate them in the future at agreed rates when the economic health improves. For example, Chicago Blackhawks should apply the pay cut on its players and use the saved expenses to sustain the club's operations.</w:t>
      </w:r>
    </w:p>
    <w:p w14:paraId="1073CD69" w14:textId="77777777" w:rsidR="007D4331" w:rsidRPr="007D4331" w:rsidRDefault="007D4331" w:rsidP="007D4331">
      <w:pPr>
        <w:ind w:firstLine="720"/>
      </w:pPr>
      <w:r w:rsidRPr="007D4331">
        <w:t>Another alternative course of action that the Chicago Blackhawks should implement is suspending the salary increments and putting on hold the additional benefits (</w:t>
      </w:r>
      <w:proofErr w:type="spellStart"/>
      <w:r w:rsidRPr="007D4331">
        <w:t>Tsiouvaras</w:t>
      </w:r>
      <w:proofErr w:type="spellEnd"/>
      <w:r w:rsidRPr="007D4331">
        <w:t xml:space="preserve">, 2021). This would allow them to save costs which can then be used to sustain their financial operations during the hard economic times. For example, Chicago Blackhawks should suspend the planned </w:t>
      </w:r>
      <w:r w:rsidRPr="007D4331">
        <w:lastRenderedPageBreak/>
        <w:t>$8 million salary increment for the two players to minimize the financial burden. The club's management, led by Bowman, should sign a formal agreement to increase the salary when the economic conditions improve. Bonuses such as those given to players above 35 years or those on entry-level contracts should be suspended to cut down the team's expenses for sustainability purposes (</w:t>
      </w:r>
      <w:proofErr w:type="spellStart"/>
      <w:r w:rsidRPr="007D4331">
        <w:t>Su</w:t>
      </w:r>
      <w:proofErr w:type="spellEnd"/>
      <w:r w:rsidRPr="007D4331">
        <w:t xml:space="preserve"> et al., 2021). The saved costs can be added to the available payroll budget and used to renew the contracts of the 12 players whose contracts have expired.</w:t>
      </w:r>
    </w:p>
    <w:p w14:paraId="459BED0B" w14:textId="77777777" w:rsidR="007D4331" w:rsidRPr="007D4331" w:rsidRDefault="007D4331" w:rsidP="007D4331">
      <w:pPr>
        <w:ind w:firstLine="720"/>
      </w:pPr>
      <w:r w:rsidRPr="007D4331">
        <w:t xml:space="preserve">According to </w:t>
      </w:r>
      <w:proofErr w:type="spellStart"/>
      <w:r w:rsidRPr="007D4331">
        <w:t>Tsiouvaras</w:t>
      </w:r>
      <w:proofErr w:type="spellEnd"/>
      <w:r w:rsidRPr="007D4331">
        <w:t xml:space="preserve"> (2021), an external funding source is another vital course of action that the Chicago Blackhawks should take. Bowman and the senior management board should lead the team seeking external funding through sponsorships. Typically, sponsorship deals are good funding sources that enable teams in various sporting categories to meet their financial activities. Securing a sponsorship deal from external firms would boost the financial capacity of the Chicago Blackhawks (</w:t>
      </w:r>
      <w:proofErr w:type="spellStart"/>
      <w:r w:rsidRPr="007D4331">
        <w:t>Tsiouvaras</w:t>
      </w:r>
      <w:proofErr w:type="spellEnd"/>
      <w:r w:rsidRPr="007D4331">
        <w:t xml:space="preserve">, 2021; </w:t>
      </w:r>
      <w:proofErr w:type="spellStart"/>
      <w:r w:rsidRPr="007D4331">
        <w:t>Rockerbie</w:t>
      </w:r>
      <w:proofErr w:type="spellEnd"/>
      <w:r w:rsidRPr="007D4331">
        <w:t xml:space="preserve"> &amp; Easton, 2019). This would enable it to maintain the existing players by renewing the contracts of the 12 players whose contracts would expire at the end of the season.</w:t>
      </w:r>
    </w:p>
    <w:p w14:paraId="09E185CF" w14:textId="77777777" w:rsidR="007D4331" w:rsidRPr="007D4331" w:rsidRDefault="007D4331" w:rsidP="007D4331">
      <w:pPr>
        <w:ind w:firstLine="720"/>
      </w:pPr>
      <w:r w:rsidRPr="007D4331">
        <w:t xml:space="preserve">Another action that the Chicago Blackhawks and other NHL teams should consider is temporarily laying off some players and cutting down the expenses </w:t>
      </w:r>
      <w:proofErr w:type="spellStart"/>
      <w:r w:rsidRPr="007D4331">
        <w:t>Tsiouvaras</w:t>
      </w:r>
      <w:proofErr w:type="spellEnd"/>
      <w:r w:rsidRPr="007D4331">
        <w:t xml:space="preserve"> (2021). The team can sign a formal agreement with players whose contracts are active to restore them when the economic conditions improve. When laying off the players, Chicago Blackhawks should consider those that made the least appearances, although they were in good health. The contract validity should also be used as a laying strategy. The players whose contracts have ended and made the least appearances should be considered.</w:t>
      </w:r>
    </w:p>
    <w:p w14:paraId="2BD6FC44" w14:textId="77777777" w:rsidR="007D4331" w:rsidRPr="007D4331" w:rsidRDefault="007D4331" w:rsidP="007D4331">
      <w:pPr>
        <w:ind w:firstLine="720"/>
      </w:pPr>
      <w:r w:rsidRPr="007D4331">
        <w:t xml:space="preserve">In this case, Chicago Blackhawks should lay off David </w:t>
      </w:r>
      <w:proofErr w:type="spellStart"/>
      <w:r w:rsidRPr="007D4331">
        <w:t>Rundblad</w:t>
      </w:r>
      <w:proofErr w:type="spellEnd"/>
      <w:r w:rsidRPr="007D4331">
        <w:t xml:space="preserve"> and Joakim </w:t>
      </w:r>
      <w:proofErr w:type="spellStart"/>
      <w:r w:rsidRPr="007D4331">
        <w:t>Joakim</w:t>
      </w:r>
      <w:proofErr w:type="spellEnd"/>
      <w:r w:rsidRPr="007D4331">
        <w:t xml:space="preserve"> Nordstrom because they made the least appearances, and their contracts would end at the end of </w:t>
      </w:r>
      <w:r w:rsidRPr="007D4331">
        <w:lastRenderedPageBreak/>
        <w:t>the season. Laying off some players and leaving the vacancies of players whose contracts expire is a sure way of reducing the team's expenses (</w:t>
      </w:r>
      <w:proofErr w:type="spellStart"/>
      <w:r w:rsidRPr="007D4331">
        <w:t>Rockerbie</w:t>
      </w:r>
      <w:proofErr w:type="spellEnd"/>
      <w:r w:rsidRPr="007D4331">
        <w:t xml:space="preserve"> &amp; Easton, 2019). The team may decide permanently lay off these players or renew their contracts in the future when the economic conditions improve.</w:t>
      </w:r>
    </w:p>
    <w:p w14:paraId="71987AAB" w14:textId="2D86240B" w:rsidR="007D4331" w:rsidRPr="00852D0E" w:rsidRDefault="008A601D" w:rsidP="00852D0E">
      <w:pPr>
        <w:pStyle w:val="Heading1"/>
        <w:rPr>
          <w:rFonts w:ascii="Times New Roman" w:hAnsi="Times New Roman" w:cs="Times New Roman"/>
          <w:b/>
          <w:bCs/>
        </w:rPr>
      </w:pPr>
      <w:bookmarkStart w:id="4" w:name="_Toc105975865"/>
      <w:r>
        <w:rPr>
          <w:rFonts w:ascii="Times New Roman" w:hAnsi="Times New Roman" w:cs="Times New Roman"/>
          <w:b/>
          <w:bCs/>
          <w:color w:val="auto"/>
          <w:sz w:val="24"/>
          <w:szCs w:val="24"/>
        </w:rPr>
        <w:t xml:space="preserve">5. </w:t>
      </w:r>
      <w:r w:rsidR="007D4331" w:rsidRPr="00852D0E">
        <w:rPr>
          <w:rFonts w:ascii="Times New Roman" w:hAnsi="Times New Roman" w:cs="Times New Roman"/>
          <w:b/>
          <w:bCs/>
          <w:color w:val="auto"/>
          <w:sz w:val="24"/>
          <w:szCs w:val="24"/>
        </w:rPr>
        <w:t>My Decision and Reasoning</w:t>
      </w:r>
      <w:bookmarkEnd w:id="4"/>
    </w:p>
    <w:p w14:paraId="01A6D448" w14:textId="77777777" w:rsidR="007D4331" w:rsidRPr="007D4331" w:rsidRDefault="007D4331" w:rsidP="007D4331">
      <w:pPr>
        <w:ind w:firstLine="720"/>
      </w:pPr>
      <w:r w:rsidRPr="007D4331">
        <w:t xml:space="preserve">The pay cut is the most suitable alternative course of action for Bowman to keep the team intact and successfully defend the Stanley Cup title in the subsequent season. Bowman should apply a uniform pay cut on all the players to allow the firm to reduce its expenses. According to </w:t>
      </w:r>
      <w:proofErr w:type="spellStart"/>
      <w:r w:rsidRPr="007D4331">
        <w:t>Waldstein</w:t>
      </w:r>
      <w:proofErr w:type="spellEnd"/>
      <w:r w:rsidRPr="007D4331">
        <w:t xml:space="preserve"> (2020), the pay cut can be applied to salary, benefits, bonuses, and pay raises. For example, reducing all the players' salaries by 20 percent and halting all the benefits and bonuses would enable Chicago Blackhawks to save a good amount of money that can be added to the available payroll allocation to renew the contracts of the 12 key players.</w:t>
      </w:r>
    </w:p>
    <w:p w14:paraId="782A7FD5" w14:textId="77777777" w:rsidR="007D4331" w:rsidRPr="007D4331" w:rsidRDefault="007D4331" w:rsidP="007D4331">
      <w:pPr>
        <w:ind w:firstLine="720"/>
      </w:pPr>
      <w:r w:rsidRPr="007D4331">
        <w:t xml:space="preserve">According to </w:t>
      </w:r>
      <w:proofErr w:type="spellStart"/>
      <w:r w:rsidRPr="007D4331">
        <w:t>Waldstein</w:t>
      </w:r>
      <w:proofErr w:type="spellEnd"/>
      <w:r w:rsidRPr="007D4331">
        <w:t xml:space="preserve"> (2020), the pay cut strategy has worked well for various sporting teams during economic crises; therefore, it would effectively help Chicago Blackhawks sustain itself. For example, English Premier League clubs like Arsenal agreed with their players to apply a 12.5 percent pay cut during the coronavirus pandemic to offset the financial burden the club was facing (Ames, 2020). The strategy worked well, and the club saved costs that were used to sustain the club's activities. Similarly, Bowman should lead Chicago Blackhawks to cut the players' salaries and halt the additional benefits and bonuses until economic conditions normalize.</w:t>
      </w:r>
    </w:p>
    <w:p w14:paraId="1176F8A2" w14:textId="77777777" w:rsidR="007D4331" w:rsidRPr="007D4331" w:rsidRDefault="007D4331" w:rsidP="007D4331">
      <w:pPr>
        <w:ind w:firstLine="720"/>
      </w:pPr>
      <w:r w:rsidRPr="007D4331">
        <w:t xml:space="preserve">The pay raise of the two players who are expecting the $8 million increment should be cut to reasonable amounts and, if possible, cut completely to save the money. Bowman can add </w:t>
      </w:r>
      <w:r w:rsidRPr="007D4331">
        <w:lastRenderedPageBreak/>
        <w:t>the money to the team's available funds to renew the contracts of the 12 key players. Maintaining the existing key players is crucial for the team's effort to defend its title because they are the same players that won it. These players familiarize themselves with the challenges involved in the tournament and understand the strengths and weaknesses of the opponents; therefore, keeping them is a great advantage for Chicago Blackhawks to defend its title.</w:t>
      </w:r>
    </w:p>
    <w:p w14:paraId="1C2D0D3C" w14:textId="77777777" w:rsidR="007D4331" w:rsidRPr="007D4331" w:rsidRDefault="007D4331" w:rsidP="007D4331">
      <w:pPr>
        <w:ind w:firstLine="720"/>
      </w:pPr>
      <w:r w:rsidRPr="007D4331">
        <w:t>These players understand each other's strengths and weaknesses, enabling them to have good connections on and off the pitch. It's, therefore, important to maintain all of them if Chicago Blackhawks indeed want to defend its title. By cutting down the players' pay, Bowman will reduce the team's expenses, sustain its financial activities and keep the team intact in preparation for title defense the following season (</w:t>
      </w:r>
      <w:proofErr w:type="spellStart"/>
      <w:r w:rsidRPr="007D4331">
        <w:t>Waldstein</w:t>
      </w:r>
      <w:proofErr w:type="spellEnd"/>
      <w:r w:rsidRPr="007D4331">
        <w:t>, 2020). The pay cut is better than options such as players' lay off because finding the players with the needed qualities and experience is difficult and costly.</w:t>
      </w:r>
    </w:p>
    <w:p w14:paraId="07617AFC" w14:textId="4EB91CC1" w:rsidR="007D4331" w:rsidRPr="00852D0E" w:rsidRDefault="008A601D" w:rsidP="00852D0E">
      <w:pPr>
        <w:pStyle w:val="Heading1"/>
        <w:rPr>
          <w:rFonts w:ascii="Times New Roman" w:hAnsi="Times New Roman" w:cs="Times New Roman"/>
          <w:b/>
          <w:bCs/>
        </w:rPr>
      </w:pPr>
      <w:bookmarkStart w:id="5" w:name="_Toc105975866"/>
      <w:r>
        <w:rPr>
          <w:rFonts w:ascii="Times New Roman" w:hAnsi="Times New Roman" w:cs="Times New Roman"/>
          <w:b/>
          <w:bCs/>
          <w:color w:val="auto"/>
          <w:sz w:val="24"/>
          <w:szCs w:val="24"/>
        </w:rPr>
        <w:t xml:space="preserve">6. </w:t>
      </w:r>
      <w:r w:rsidR="007D4331" w:rsidRPr="00852D0E">
        <w:rPr>
          <w:rFonts w:ascii="Times New Roman" w:hAnsi="Times New Roman" w:cs="Times New Roman"/>
          <w:b/>
          <w:bCs/>
          <w:color w:val="auto"/>
          <w:sz w:val="24"/>
          <w:szCs w:val="24"/>
        </w:rPr>
        <w:t>Implementation</w:t>
      </w:r>
      <w:bookmarkEnd w:id="5"/>
    </w:p>
    <w:p w14:paraId="41B7D443" w14:textId="77777777" w:rsidR="007D4331" w:rsidRPr="007D4331" w:rsidRDefault="007D4331" w:rsidP="007D4331">
      <w:pPr>
        <w:ind w:firstLine="720"/>
      </w:pPr>
      <w:r w:rsidRPr="007D4331">
        <w:t xml:space="preserve">Bowman, the GM, should implement the pay cut at the Chicago Blackhawks. He shall organize a meeting with the players in the presence of representatives from the NHL and NHL Players' Association to discuss the pay cut with the players. Bowman would read the proposal to the players, inform them of the reason for taking the measure, explain the terms and conditions involved and collect their views. According to </w:t>
      </w:r>
      <w:proofErr w:type="spellStart"/>
      <w:r w:rsidRPr="007D4331">
        <w:t>Waldstein</w:t>
      </w:r>
      <w:proofErr w:type="spellEnd"/>
      <w:r w:rsidRPr="007D4331">
        <w:t xml:space="preserve"> (2020), the players should be informed that the pay cut shall apply from the following month. Bowman shall clearly communicate to them the rate that would be applied, and the witnessing representatives shall take note too.</w:t>
      </w:r>
    </w:p>
    <w:p w14:paraId="4456E974" w14:textId="77777777" w:rsidR="007D4331" w:rsidRPr="007D4331" w:rsidRDefault="007D4331" w:rsidP="007D4331">
      <w:pPr>
        <w:ind w:firstLine="720"/>
      </w:pPr>
      <w:r w:rsidRPr="007D4331">
        <w:t xml:space="preserve">The pay cut-rate should be 20 percent and applied to all the staff. The benefits and bonuses should be cut to zero to allow the team to save more. For example, if Kane and Toews </w:t>
      </w:r>
      <w:r w:rsidRPr="007D4331">
        <w:lastRenderedPageBreak/>
        <w:t>currently earn salaries of $2.9 million each, cutting the pay by 20 percent will save $580,000 each, amounting to a total of $1.16 million. If the team's current revenue is $182 million, the 20 percent pay cut will increase the team's revenue by $36.4 million. Chicago Blackhawks' new revenue after the pay cut would therefore total $218.4 million.</w:t>
      </w:r>
    </w:p>
    <w:p w14:paraId="5546DC2F" w14:textId="041BCEB4" w:rsidR="007D4331" w:rsidRPr="00852D0E" w:rsidRDefault="008A601D" w:rsidP="00852D0E">
      <w:pPr>
        <w:pStyle w:val="Heading1"/>
        <w:rPr>
          <w:rFonts w:ascii="Times New Roman" w:hAnsi="Times New Roman" w:cs="Times New Roman"/>
          <w:b/>
          <w:bCs/>
        </w:rPr>
      </w:pPr>
      <w:bookmarkStart w:id="6" w:name="_Toc105975867"/>
      <w:r>
        <w:rPr>
          <w:rFonts w:ascii="Times New Roman" w:hAnsi="Times New Roman" w:cs="Times New Roman"/>
          <w:b/>
          <w:bCs/>
          <w:color w:val="auto"/>
          <w:sz w:val="24"/>
          <w:szCs w:val="24"/>
        </w:rPr>
        <w:t xml:space="preserve">7. </w:t>
      </w:r>
      <w:r w:rsidR="007D4331" w:rsidRPr="00852D0E">
        <w:rPr>
          <w:rFonts w:ascii="Times New Roman" w:hAnsi="Times New Roman" w:cs="Times New Roman"/>
          <w:b/>
          <w:bCs/>
          <w:color w:val="auto"/>
          <w:sz w:val="24"/>
          <w:szCs w:val="24"/>
        </w:rPr>
        <w:t>Conclusion</w:t>
      </w:r>
      <w:bookmarkEnd w:id="6"/>
    </w:p>
    <w:p w14:paraId="78153A44" w14:textId="1C544474" w:rsidR="00FF6118" w:rsidRDefault="007D4331" w:rsidP="007D4331">
      <w:pPr>
        <w:ind w:firstLine="720"/>
      </w:pPr>
      <w:r w:rsidRPr="007D4331">
        <w:t>The pay cut is indeed the most suitable strategy for Bowman to keep the team intact and fit to successfully defend the Stanley Cup title in the subsequent season. The pay cut allows the team to save costs that can be used to renew the contracts of the 12 players and maintain the team in preparation for defending the title. Implementing it is also easy and, most times, takes little effort provided that the reasons are convincing to the players and the management has a good relationship with them. The 20 percent pay cut will increase the team's revenue by 20 percent, thereby optimizing its financial performance and competitive advantage.</w:t>
      </w:r>
    </w:p>
    <w:p w14:paraId="0B9318A4" w14:textId="77777777" w:rsidR="00FF6118" w:rsidRDefault="00FF6118" w:rsidP="006B3ABF">
      <w:r>
        <w:br w:type="page"/>
      </w:r>
    </w:p>
    <w:p w14:paraId="64272224" w14:textId="0D1D865D" w:rsidR="005A5EEF" w:rsidRDefault="00FF6118" w:rsidP="006B3ABF">
      <w:pPr>
        <w:ind w:left="720" w:hanging="720"/>
        <w:jc w:val="center"/>
      </w:pPr>
      <w:r>
        <w:lastRenderedPageBreak/>
        <w:t>References</w:t>
      </w:r>
    </w:p>
    <w:p w14:paraId="6FEE538E" w14:textId="5DAD670E" w:rsidR="00FE31AC" w:rsidRDefault="00FE31AC" w:rsidP="006B3ABF">
      <w:pPr>
        <w:ind w:left="720" w:hanging="720"/>
      </w:pPr>
      <w:r>
        <w:t xml:space="preserve">Ames, N. (2020). </w:t>
      </w:r>
      <w:r w:rsidRPr="00E44455">
        <w:t>Arsenal announce</w:t>
      </w:r>
      <w:r>
        <w:t>s</w:t>
      </w:r>
      <w:r w:rsidRPr="00E44455">
        <w:t xml:space="preserve"> squad pay cut but deal not sealed with some players</w:t>
      </w:r>
      <w:r>
        <w:t xml:space="preserve">. </w:t>
      </w:r>
      <w:r>
        <w:rPr>
          <w:i/>
          <w:iCs/>
        </w:rPr>
        <w:t>The Guardian.</w:t>
      </w:r>
      <w:r>
        <w:t xml:space="preserve"> </w:t>
      </w:r>
      <w:hyperlink r:id="rId7" w:history="1">
        <w:r w:rsidRPr="0010589B">
          <w:rPr>
            <w:rStyle w:val="Hyperlink"/>
          </w:rPr>
          <w:t>https://www.theguardian.com/football/2020/apr/20/arsenal-announce-squad-pay-cut-but-deal-not-sealed-with-some-players</w:t>
        </w:r>
      </w:hyperlink>
      <w:r>
        <w:t xml:space="preserve"> [June 13, 2022]</w:t>
      </w:r>
    </w:p>
    <w:p w14:paraId="250852EB" w14:textId="77777777" w:rsidR="00FE31AC" w:rsidRDefault="00FE31AC" w:rsidP="006B3ABF">
      <w:pPr>
        <w:ind w:left="720" w:hanging="720"/>
      </w:pPr>
      <w:proofErr w:type="spellStart"/>
      <w:r>
        <w:t>Raiha</w:t>
      </w:r>
      <w:proofErr w:type="spellEnd"/>
      <w:r>
        <w:t xml:space="preserve">, D. (2017). </w:t>
      </w:r>
      <w:r w:rsidRPr="001F0F54">
        <w:t>Macroeconomic Forces, the National Hockey League, and Winning the Stanley Cup</w:t>
      </w:r>
      <w:r>
        <w:t xml:space="preserve">. </w:t>
      </w:r>
      <w:r>
        <w:rPr>
          <w:i/>
          <w:iCs/>
        </w:rPr>
        <w:t>Ivey Publishing.</w:t>
      </w:r>
      <w:r>
        <w:t xml:space="preserve"> </w:t>
      </w:r>
      <w:hyperlink r:id="rId8" w:history="1">
        <w:r w:rsidRPr="0010589B">
          <w:rPr>
            <w:rStyle w:val="Hyperlink"/>
          </w:rPr>
          <w:t>https://www.iveypublishing.ca/s/product/macroeconomic-forces-the-national-hockey-league-and-winning-the-stanley-cup/01t5c00000CwmynAAB</w:t>
        </w:r>
      </w:hyperlink>
      <w:r>
        <w:t xml:space="preserve"> [June 13, 2022]</w:t>
      </w:r>
    </w:p>
    <w:p w14:paraId="4B61BD3D" w14:textId="77777777" w:rsidR="00FE31AC" w:rsidRDefault="00FE31AC" w:rsidP="006B3ABF">
      <w:pPr>
        <w:ind w:left="720" w:hanging="720"/>
      </w:pPr>
      <w:proofErr w:type="spellStart"/>
      <w:r w:rsidRPr="00A21FD1">
        <w:t>Rockerbie</w:t>
      </w:r>
      <w:proofErr w:type="spellEnd"/>
      <w:r w:rsidRPr="00A21FD1">
        <w:t>, D. W., &amp; Easton, S. T. (2019). Economic Issues of the National Hockey League: A Survey of the Literature. </w:t>
      </w:r>
      <w:r w:rsidRPr="00A21FD1">
        <w:rPr>
          <w:i/>
          <w:iCs/>
        </w:rPr>
        <w:t>The SAGE Handbook of Sports Economics</w:t>
      </w:r>
      <w:r w:rsidRPr="00A21FD1">
        <w:t>, 308.</w:t>
      </w:r>
      <w:r>
        <w:t xml:space="preserve"> </w:t>
      </w:r>
    </w:p>
    <w:p w14:paraId="7FA5AC04" w14:textId="77777777" w:rsidR="00FE31AC" w:rsidRPr="0092654D" w:rsidRDefault="00FE31AC" w:rsidP="006B3ABF">
      <w:pPr>
        <w:ind w:left="720" w:hanging="720"/>
      </w:pPr>
      <w:proofErr w:type="spellStart"/>
      <w:r w:rsidRPr="0067575B">
        <w:t>Su</w:t>
      </w:r>
      <w:proofErr w:type="spellEnd"/>
      <w:r w:rsidRPr="0067575B">
        <w:t xml:space="preserve">, C. H. J., </w:t>
      </w:r>
      <w:proofErr w:type="spellStart"/>
      <w:r w:rsidRPr="0067575B">
        <w:t>Stravers</w:t>
      </w:r>
      <w:proofErr w:type="spellEnd"/>
      <w:r w:rsidRPr="0067575B">
        <w:t xml:space="preserve">, T., Petri, E., </w:t>
      </w:r>
      <w:proofErr w:type="spellStart"/>
      <w:r w:rsidRPr="0067575B">
        <w:t>Allinson</w:t>
      </w:r>
      <w:proofErr w:type="spellEnd"/>
      <w:r w:rsidRPr="0067575B">
        <w:t xml:space="preserve">, K., &amp; Tsai, C. H. K. (2021). National Hockey League </w:t>
      </w:r>
      <w:r>
        <w:t>s</w:t>
      </w:r>
      <w:r w:rsidRPr="0067575B">
        <w:t xml:space="preserve">cores </w:t>
      </w:r>
      <w:r>
        <w:t>b</w:t>
      </w:r>
      <w:r w:rsidRPr="0067575B">
        <w:t xml:space="preserve">ig </w:t>
      </w:r>
      <w:r>
        <w:t>w</w:t>
      </w:r>
      <w:r w:rsidRPr="0067575B">
        <w:t xml:space="preserve">ith </w:t>
      </w:r>
      <w:r>
        <w:t>n</w:t>
      </w:r>
      <w:r w:rsidRPr="0067575B">
        <w:t xml:space="preserve">ew </w:t>
      </w:r>
      <w:r>
        <w:t>s</w:t>
      </w:r>
      <w:r w:rsidRPr="0067575B">
        <w:t xml:space="preserve">ustainability </w:t>
      </w:r>
      <w:r>
        <w:t>p</w:t>
      </w:r>
      <w:r w:rsidRPr="0067575B">
        <w:t>rogram.</w:t>
      </w:r>
      <w:r>
        <w:t xml:space="preserve"> </w:t>
      </w:r>
    </w:p>
    <w:p w14:paraId="11C51403" w14:textId="77777777" w:rsidR="00FE31AC" w:rsidRDefault="00FE31AC" w:rsidP="006B3ABF">
      <w:pPr>
        <w:ind w:left="720" w:hanging="720"/>
      </w:pPr>
      <w:proofErr w:type="spellStart"/>
      <w:r w:rsidRPr="00AF0BC4">
        <w:t>Tsiouvaras</w:t>
      </w:r>
      <w:proofErr w:type="spellEnd"/>
      <w:r w:rsidRPr="00AF0BC4">
        <w:t>, N. (2021). The" Fundies" of ADR in the NHL. </w:t>
      </w:r>
      <w:proofErr w:type="spellStart"/>
      <w:r w:rsidRPr="00AF0BC4">
        <w:rPr>
          <w:i/>
          <w:iCs/>
        </w:rPr>
        <w:t>Pepp</w:t>
      </w:r>
      <w:proofErr w:type="spellEnd"/>
      <w:r w:rsidRPr="00AF0BC4">
        <w:rPr>
          <w:i/>
          <w:iCs/>
        </w:rPr>
        <w:t xml:space="preserve">. Disp. </w:t>
      </w:r>
      <w:proofErr w:type="spellStart"/>
      <w:r w:rsidRPr="00AF0BC4">
        <w:rPr>
          <w:i/>
          <w:iCs/>
        </w:rPr>
        <w:t>Resol</w:t>
      </w:r>
      <w:proofErr w:type="spellEnd"/>
      <w:r w:rsidRPr="00AF0BC4">
        <w:rPr>
          <w:i/>
          <w:iCs/>
        </w:rPr>
        <w:t>. LJ</w:t>
      </w:r>
      <w:r w:rsidRPr="00AF0BC4">
        <w:t>, </w:t>
      </w:r>
      <w:r w:rsidRPr="00AF0BC4">
        <w:rPr>
          <w:i/>
          <w:iCs/>
        </w:rPr>
        <w:t>21</w:t>
      </w:r>
      <w:r w:rsidRPr="00AF0BC4">
        <w:t>, 75.</w:t>
      </w:r>
      <w:r>
        <w:t xml:space="preserve"> </w:t>
      </w:r>
    </w:p>
    <w:p w14:paraId="509D629F" w14:textId="77777777" w:rsidR="00FE31AC" w:rsidRDefault="00FE31AC" w:rsidP="006B3ABF">
      <w:pPr>
        <w:ind w:left="720" w:hanging="720"/>
      </w:pPr>
      <w:proofErr w:type="spellStart"/>
      <w:r w:rsidRPr="0092654D">
        <w:t>Waldstein</w:t>
      </w:r>
      <w:proofErr w:type="spellEnd"/>
      <w:r w:rsidRPr="0092654D">
        <w:t xml:space="preserve">, D. (2020). With the NHL's Season Cut Sharply, Some of Its Paychecks Are Shrinking, </w:t>
      </w:r>
      <w:proofErr w:type="gramStart"/>
      <w:r w:rsidRPr="0092654D">
        <w:t>Too</w:t>
      </w:r>
      <w:proofErr w:type="gramEnd"/>
      <w:r w:rsidRPr="0092654D">
        <w:t>. </w:t>
      </w:r>
      <w:r w:rsidRPr="0092654D">
        <w:rPr>
          <w:i/>
          <w:iCs/>
        </w:rPr>
        <w:t>The New York Times</w:t>
      </w:r>
      <w:r w:rsidRPr="0092654D">
        <w:t>, B12-L.</w:t>
      </w:r>
      <w:r>
        <w:t xml:space="preserve"> </w:t>
      </w:r>
    </w:p>
    <w:sectPr w:rsidR="00FE31A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89396A" w14:textId="77777777" w:rsidR="008F0A0C" w:rsidRDefault="008F0A0C" w:rsidP="00E60C70">
      <w:pPr>
        <w:spacing w:after="0" w:line="240" w:lineRule="auto"/>
      </w:pPr>
      <w:r>
        <w:separator/>
      </w:r>
    </w:p>
  </w:endnote>
  <w:endnote w:type="continuationSeparator" w:id="0">
    <w:p w14:paraId="365F6ADC" w14:textId="77777777" w:rsidR="008F0A0C" w:rsidRDefault="008F0A0C" w:rsidP="00E60C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CB2C2" w14:textId="77777777" w:rsidR="008F0A0C" w:rsidRDefault="008F0A0C" w:rsidP="00E60C70">
      <w:pPr>
        <w:spacing w:after="0" w:line="240" w:lineRule="auto"/>
      </w:pPr>
      <w:r>
        <w:separator/>
      </w:r>
    </w:p>
  </w:footnote>
  <w:footnote w:type="continuationSeparator" w:id="0">
    <w:p w14:paraId="6FDD17D3" w14:textId="77777777" w:rsidR="008F0A0C" w:rsidRDefault="008F0A0C" w:rsidP="00E60C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0564215"/>
      <w:docPartObj>
        <w:docPartGallery w:val="Page Numbers (Top of Page)"/>
        <w:docPartUnique/>
      </w:docPartObj>
    </w:sdtPr>
    <w:sdtEndPr>
      <w:rPr>
        <w:noProof/>
      </w:rPr>
    </w:sdtEndPr>
    <w:sdtContent>
      <w:p w14:paraId="4DD7C41E" w14:textId="298C015E" w:rsidR="00E60C70" w:rsidRDefault="00E60C7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E9D8B90" w14:textId="77777777" w:rsidR="00E60C70" w:rsidRDefault="00E60C7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240"/>
    <w:rsid w:val="00007654"/>
    <w:rsid w:val="000079D4"/>
    <w:rsid w:val="00024842"/>
    <w:rsid w:val="00041D82"/>
    <w:rsid w:val="000422B7"/>
    <w:rsid w:val="00064EE5"/>
    <w:rsid w:val="0009619F"/>
    <w:rsid w:val="000A17A5"/>
    <w:rsid w:val="000B259B"/>
    <w:rsid w:val="000C0999"/>
    <w:rsid w:val="000E1196"/>
    <w:rsid w:val="000F74D8"/>
    <w:rsid w:val="00103CF9"/>
    <w:rsid w:val="00111DB5"/>
    <w:rsid w:val="00133D04"/>
    <w:rsid w:val="00151E3A"/>
    <w:rsid w:val="00157609"/>
    <w:rsid w:val="00164349"/>
    <w:rsid w:val="0019100F"/>
    <w:rsid w:val="001A3568"/>
    <w:rsid w:val="001A7EB7"/>
    <w:rsid w:val="001B4D02"/>
    <w:rsid w:val="001B6861"/>
    <w:rsid w:val="001D5990"/>
    <w:rsid w:val="001D6C60"/>
    <w:rsid w:val="001E520D"/>
    <w:rsid w:val="001E7D7C"/>
    <w:rsid w:val="001F0F54"/>
    <w:rsid w:val="001F24FF"/>
    <w:rsid w:val="0020202A"/>
    <w:rsid w:val="00203D8F"/>
    <w:rsid w:val="00206AED"/>
    <w:rsid w:val="002132AB"/>
    <w:rsid w:val="00214300"/>
    <w:rsid w:val="00226338"/>
    <w:rsid w:val="00232A34"/>
    <w:rsid w:val="00232B27"/>
    <w:rsid w:val="00242D5C"/>
    <w:rsid w:val="00280D22"/>
    <w:rsid w:val="00287B98"/>
    <w:rsid w:val="002A2FA8"/>
    <w:rsid w:val="002A6A0F"/>
    <w:rsid w:val="002B08C4"/>
    <w:rsid w:val="002B3C55"/>
    <w:rsid w:val="002C4744"/>
    <w:rsid w:val="002D544B"/>
    <w:rsid w:val="00312483"/>
    <w:rsid w:val="00330712"/>
    <w:rsid w:val="003308BD"/>
    <w:rsid w:val="00340E29"/>
    <w:rsid w:val="003416EF"/>
    <w:rsid w:val="00341AFC"/>
    <w:rsid w:val="00355936"/>
    <w:rsid w:val="00357E89"/>
    <w:rsid w:val="00376E7D"/>
    <w:rsid w:val="00393BB0"/>
    <w:rsid w:val="00395689"/>
    <w:rsid w:val="003A7294"/>
    <w:rsid w:val="003D64A2"/>
    <w:rsid w:val="003E17BB"/>
    <w:rsid w:val="003E5AC2"/>
    <w:rsid w:val="00420C56"/>
    <w:rsid w:val="004264C3"/>
    <w:rsid w:val="00431E8C"/>
    <w:rsid w:val="00432953"/>
    <w:rsid w:val="00445669"/>
    <w:rsid w:val="00450737"/>
    <w:rsid w:val="0045235F"/>
    <w:rsid w:val="00454825"/>
    <w:rsid w:val="00456EF3"/>
    <w:rsid w:val="004974CF"/>
    <w:rsid w:val="00497F6C"/>
    <w:rsid w:val="004C46D3"/>
    <w:rsid w:val="004C55CB"/>
    <w:rsid w:val="004D4B09"/>
    <w:rsid w:val="004E233F"/>
    <w:rsid w:val="004E44C9"/>
    <w:rsid w:val="00504305"/>
    <w:rsid w:val="00504320"/>
    <w:rsid w:val="00514BA0"/>
    <w:rsid w:val="00517773"/>
    <w:rsid w:val="00522973"/>
    <w:rsid w:val="00522CDC"/>
    <w:rsid w:val="00532766"/>
    <w:rsid w:val="00534A91"/>
    <w:rsid w:val="00541820"/>
    <w:rsid w:val="00547EA3"/>
    <w:rsid w:val="0055287E"/>
    <w:rsid w:val="00557B20"/>
    <w:rsid w:val="00567E2E"/>
    <w:rsid w:val="00583B8C"/>
    <w:rsid w:val="005840D6"/>
    <w:rsid w:val="00587751"/>
    <w:rsid w:val="00595C76"/>
    <w:rsid w:val="005A5EEF"/>
    <w:rsid w:val="005B4144"/>
    <w:rsid w:val="005B6B89"/>
    <w:rsid w:val="005D68D3"/>
    <w:rsid w:val="005E2405"/>
    <w:rsid w:val="005F10B4"/>
    <w:rsid w:val="00601B16"/>
    <w:rsid w:val="00611C7B"/>
    <w:rsid w:val="00631754"/>
    <w:rsid w:val="00656240"/>
    <w:rsid w:val="00662C42"/>
    <w:rsid w:val="00664E2B"/>
    <w:rsid w:val="00671633"/>
    <w:rsid w:val="0067575B"/>
    <w:rsid w:val="00675F9E"/>
    <w:rsid w:val="0067630F"/>
    <w:rsid w:val="00682F49"/>
    <w:rsid w:val="0068581C"/>
    <w:rsid w:val="0069725E"/>
    <w:rsid w:val="00697C7F"/>
    <w:rsid w:val="006A54E1"/>
    <w:rsid w:val="006A69C9"/>
    <w:rsid w:val="006A72DC"/>
    <w:rsid w:val="006B3ABF"/>
    <w:rsid w:val="006B7644"/>
    <w:rsid w:val="006D5D24"/>
    <w:rsid w:val="006D6ECE"/>
    <w:rsid w:val="006F6E22"/>
    <w:rsid w:val="00700F61"/>
    <w:rsid w:val="00707A87"/>
    <w:rsid w:val="00735571"/>
    <w:rsid w:val="00743618"/>
    <w:rsid w:val="00747F8B"/>
    <w:rsid w:val="00753889"/>
    <w:rsid w:val="0075492C"/>
    <w:rsid w:val="00764A34"/>
    <w:rsid w:val="0077521D"/>
    <w:rsid w:val="00775B5A"/>
    <w:rsid w:val="00776E39"/>
    <w:rsid w:val="00794983"/>
    <w:rsid w:val="007A758E"/>
    <w:rsid w:val="007D4331"/>
    <w:rsid w:val="007F21D0"/>
    <w:rsid w:val="00814F17"/>
    <w:rsid w:val="0082107A"/>
    <w:rsid w:val="008345AA"/>
    <w:rsid w:val="00852D0E"/>
    <w:rsid w:val="00866AF3"/>
    <w:rsid w:val="0088440C"/>
    <w:rsid w:val="008943BD"/>
    <w:rsid w:val="00897F46"/>
    <w:rsid w:val="008A06E4"/>
    <w:rsid w:val="008A2237"/>
    <w:rsid w:val="008A601D"/>
    <w:rsid w:val="008B14C9"/>
    <w:rsid w:val="008B6AC2"/>
    <w:rsid w:val="008D4071"/>
    <w:rsid w:val="008D5C42"/>
    <w:rsid w:val="008E1F60"/>
    <w:rsid w:val="008E3952"/>
    <w:rsid w:val="008F00C4"/>
    <w:rsid w:val="008F0A0C"/>
    <w:rsid w:val="008F1363"/>
    <w:rsid w:val="0091475F"/>
    <w:rsid w:val="0092654D"/>
    <w:rsid w:val="00927081"/>
    <w:rsid w:val="00930287"/>
    <w:rsid w:val="00934A15"/>
    <w:rsid w:val="009353D9"/>
    <w:rsid w:val="009363DF"/>
    <w:rsid w:val="00942FF4"/>
    <w:rsid w:val="0094681C"/>
    <w:rsid w:val="00953903"/>
    <w:rsid w:val="009836BF"/>
    <w:rsid w:val="009A0517"/>
    <w:rsid w:val="009A0FD7"/>
    <w:rsid w:val="009C070F"/>
    <w:rsid w:val="009C2FBF"/>
    <w:rsid w:val="009E14CB"/>
    <w:rsid w:val="00A21FD1"/>
    <w:rsid w:val="00A24A52"/>
    <w:rsid w:val="00A3387E"/>
    <w:rsid w:val="00A41F99"/>
    <w:rsid w:val="00A53D7C"/>
    <w:rsid w:val="00A541B3"/>
    <w:rsid w:val="00A813BE"/>
    <w:rsid w:val="00A96F09"/>
    <w:rsid w:val="00AA1E86"/>
    <w:rsid w:val="00AA41ED"/>
    <w:rsid w:val="00AB02AE"/>
    <w:rsid w:val="00AB3731"/>
    <w:rsid w:val="00AD00D1"/>
    <w:rsid w:val="00AE52B7"/>
    <w:rsid w:val="00AF0BC4"/>
    <w:rsid w:val="00AF5886"/>
    <w:rsid w:val="00B27728"/>
    <w:rsid w:val="00B63DF8"/>
    <w:rsid w:val="00B7687C"/>
    <w:rsid w:val="00B810B2"/>
    <w:rsid w:val="00B861BC"/>
    <w:rsid w:val="00B86DEE"/>
    <w:rsid w:val="00B86F5E"/>
    <w:rsid w:val="00BA2FF3"/>
    <w:rsid w:val="00BA3756"/>
    <w:rsid w:val="00BB003C"/>
    <w:rsid w:val="00BE10C6"/>
    <w:rsid w:val="00BE7773"/>
    <w:rsid w:val="00C01005"/>
    <w:rsid w:val="00C1139C"/>
    <w:rsid w:val="00C16085"/>
    <w:rsid w:val="00C36A57"/>
    <w:rsid w:val="00C44D5F"/>
    <w:rsid w:val="00C6663E"/>
    <w:rsid w:val="00C973C9"/>
    <w:rsid w:val="00CA367F"/>
    <w:rsid w:val="00CA3C35"/>
    <w:rsid w:val="00CA5486"/>
    <w:rsid w:val="00CB5418"/>
    <w:rsid w:val="00CC130D"/>
    <w:rsid w:val="00CC370A"/>
    <w:rsid w:val="00CE2CE1"/>
    <w:rsid w:val="00CE67DC"/>
    <w:rsid w:val="00CF4A7F"/>
    <w:rsid w:val="00D00AF7"/>
    <w:rsid w:val="00D041AB"/>
    <w:rsid w:val="00D251B4"/>
    <w:rsid w:val="00D332DA"/>
    <w:rsid w:val="00D65050"/>
    <w:rsid w:val="00D86772"/>
    <w:rsid w:val="00D91BD7"/>
    <w:rsid w:val="00DA1227"/>
    <w:rsid w:val="00DA4524"/>
    <w:rsid w:val="00DE504B"/>
    <w:rsid w:val="00DE53D3"/>
    <w:rsid w:val="00E02DE6"/>
    <w:rsid w:val="00E21F0E"/>
    <w:rsid w:val="00E42BCE"/>
    <w:rsid w:val="00E44455"/>
    <w:rsid w:val="00E538B0"/>
    <w:rsid w:val="00E57A24"/>
    <w:rsid w:val="00E60C70"/>
    <w:rsid w:val="00E7454D"/>
    <w:rsid w:val="00E748FF"/>
    <w:rsid w:val="00E92D6B"/>
    <w:rsid w:val="00E94A02"/>
    <w:rsid w:val="00E9600B"/>
    <w:rsid w:val="00EA02F9"/>
    <w:rsid w:val="00EA1D9F"/>
    <w:rsid w:val="00EB07FE"/>
    <w:rsid w:val="00EB1FC7"/>
    <w:rsid w:val="00EB211C"/>
    <w:rsid w:val="00EB2D75"/>
    <w:rsid w:val="00ED19CA"/>
    <w:rsid w:val="00EE4718"/>
    <w:rsid w:val="00F2317E"/>
    <w:rsid w:val="00F2671C"/>
    <w:rsid w:val="00F27028"/>
    <w:rsid w:val="00F55D9A"/>
    <w:rsid w:val="00F72BAE"/>
    <w:rsid w:val="00F8087D"/>
    <w:rsid w:val="00F8199B"/>
    <w:rsid w:val="00F838EA"/>
    <w:rsid w:val="00F84E3D"/>
    <w:rsid w:val="00F925FC"/>
    <w:rsid w:val="00F95CF0"/>
    <w:rsid w:val="00FA4037"/>
    <w:rsid w:val="00FC203D"/>
    <w:rsid w:val="00FC3E1B"/>
    <w:rsid w:val="00FD1FC5"/>
    <w:rsid w:val="00FE31AC"/>
    <w:rsid w:val="00FF6118"/>
    <w:rsid w:val="00FF74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CE252"/>
  <w15:chartTrackingRefBased/>
  <w15:docId w15:val="{06523DDC-EA3A-40F5-9870-1CF730BD7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44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4455"/>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E44455"/>
    <w:rPr>
      <w:color w:val="0563C1" w:themeColor="hyperlink"/>
      <w:u w:val="single"/>
    </w:rPr>
  </w:style>
  <w:style w:type="character" w:styleId="UnresolvedMention">
    <w:name w:val="Unresolved Mention"/>
    <w:basedOn w:val="DefaultParagraphFont"/>
    <w:uiPriority w:val="99"/>
    <w:semiHidden/>
    <w:unhideWhenUsed/>
    <w:rsid w:val="00E44455"/>
    <w:rPr>
      <w:color w:val="605E5C"/>
      <w:shd w:val="clear" w:color="auto" w:fill="E1DFDD"/>
    </w:rPr>
  </w:style>
  <w:style w:type="paragraph" w:styleId="Header">
    <w:name w:val="header"/>
    <w:basedOn w:val="Normal"/>
    <w:link w:val="HeaderChar"/>
    <w:uiPriority w:val="99"/>
    <w:unhideWhenUsed/>
    <w:rsid w:val="00E60C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C70"/>
  </w:style>
  <w:style w:type="paragraph" w:styleId="Footer">
    <w:name w:val="footer"/>
    <w:basedOn w:val="Normal"/>
    <w:link w:val="FooterChar"/>
    <w:uiPriority w:val="99"/>
    <w:unhideWhenUsed/>
    <w:rsid w:val="00E60C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C70"/>
  </w:style>
  <w:style w:type="paragraph" w:styleId="TOCHeading">
    <w:name w:val="TOC Heading"/>
    <w:basedOn w:val="Heading1"/>
    <w:next w:val="Normal"/>
    <w:uiPriority w:val="39"/>
    <w:unhideWhenUsed/>
    <w:qFormat/>
    <w:rsid w:val="00450737"/>
    <w:pPr>
      <w:spacing w:line="259" w:lineRule="auto"/>
      <w:outlineLvl w:val="9"/>
    </w:pPr>
  </w:style>
  <w:style w:type="paragraph" w:styleId="TOC1">
    <w:name w:val="toc 1"/>
    <w:basedOn w:val="Normal"/>
    <w:next w:val="Normal"/>
    <w:autoRedefine/>
    <w:uiPriority w:val="39"/>
    <w:unhideWhenUsed/>
    <w:rsid w:val="00450737"/>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6350">
      <w:bodyDiv w:val="1"/>
      <w:marLeft w:val="0"/>
      <w:marRight w:val="0"/>
      <w:marTop w:val="0"/>
      <w:marBottom w:val="0"/>
      <w:divBdr>
        <w:top w:val="none" w:sz="0" w:space="0" w:color="auto"/>
        <w:left w:val="none" w:sz="0" w:space="0" w:color="auto"/>
        <w:bottom w:val="none" w:sz="0" w:space="0" w:color="auto"/>
        <w:right w:val="none" w:sz="0" w:space="0" w:color="auto"/>
      </w:divBdr>
    </w:div>
    <w:div w:id="904681351">
      <w:bodyDiv w:val="1"/>
      <w:marLeft w:val="0"/>
      <w:marRight w:val="0"/>
      <w:marTop w:val="0"/>
      <w:marBottom w:val="0"/>
      <w:divBdr>
        <w:top w:val="none" w:sz="0" w:space="0" w:color="auto"/>
        <w:left w:val="none" w:sz="0" w:space="0" w:color="auto"/>
        <w:bottom w:val="none" w:sz="0" w:space="0" w:color="auto"/>
        <w:right w:val="none" w:sz="0" w:space="0" w:color="auto"/>
      </w:divBdr>
    </w:div>
    <w:div w:id="1150095568">
      <w:bodyDiv w:val="1"/>
      <w:marLeft w:val="0"/>
      <w:marRight w:val="0"/>
      <w:marTop w:val="0"/>
      <w:marBottom w:val="0"/>
      <w:divBdr>
        <w:top w:val="none" w:sz="0" w:space="0" w:color="auto"/>
        <w:left w:val="none" w:sz="0" w:space="0" w:color="auto"/>
        <w:bottom w:val="none" w:sz="0" w:space="0" w:color="auto"/>
        <w:right w:val="none" w:sz="0" w:space="0" w:color="auto"/>
      </w:divBdr>
    </w:div>
    <w:div w:id="1387028962">
      <w:bodyDiv w:val="1"/>
      <w:marLeft w:val="0"/>
      <w:marRight w:val="0"/>
      <w:marTop w:val="0"/>
      <w:marBottom w:val="0"/>
      <w:divBdr>
        <w:top w:val="none" w:sz="0" w:space="0" w:color="auto"/>
        <w:left w:val="none" w:sz="0" w:space="0" w:color="auto"/>
        <w:bottom w:val="none" w:sz="0" w:space="0" w:color="auto"/>
        <w:right w:val="none" w:sz="0" w:space="0" w:color="auto"/>
      </w:divBdr>
    </w:div>
    <w:div w:id="1504390005">
      <w:bodyDiv w:val="1"/>
      <w:marLeft w:val="0"/>
      <w:marRight w:val="0"/>
      <w:marTop w:val="0"/>
      <w:marBottom w:val="0"/>
      <w:divBdr>
        <w:top w:val="none" w:sz="0" w:space="0" w:color="auto"/>
        <w:left w:val="none" w:sz="0" w:space="0" w:color="auto"/>
        <w:bottom w:val="none" w:sz="0" w:space="0" w:color="auto"/>
        <w:right w:val="none" w:sz="0" w:space="0" w:color="auto"/>
      </w:divBdr>
    </w:div>
    <w:div w:id="1734086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veypublishing.ca/s/product/macroeconomic-forces-the-national-hockey-league-and-winning-the-stanley-cup/01t5c00000CwmynAAB" TargetMode="External"/><Relationship Id="rId3" Type="http://schemas.openxmlformats.org/officeDocument/2006/relationships/settings" Target="settings.xml"/><Relationship Id="rId7" Type="http://schemas.openxmlformats.org/officeDocument/2006/relationships/hyperlink" Target="https://www.theguardian.com/football/2020/apr/20/arsenal-announce-squad-pay-cut-but-deal-not-sealed-with-some-player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0B923-251F-40E6-96B9-55768CD6C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877</TotalTime>
  <Pages>10</Pages>
  <Words>2153</Words>
  <Characters>12277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265</cp:revision>
  <dcterms:created xsi:type="dcterms:W3CDTF">2022-06-12T04:25:00Z</dcterms:created>
  <dcterms:modified xsi:type="dcterms:W3CDTF">2022-06-12T22:26:00Z</dcterms:modified>
</cp:coreProperties>
</file>