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07E5" w:rsidRPr="00307D4A" w:rsidRDefault="000F07E5" w:rsidP="00D222E8">
      <w:pPr>
        <w:spacing w:line="480" w:lineRule="auto"/>
        <w:rPr>
          <w:szCs w:val="24"/>
        </w:rPr>
      </w:pPr>
    </w:p>
    <w:p w:rsidR="003D7EF6" w:rsidRPr="00307D4A" w:rsidRDefault="003D7EF6" w:rsidP="00D222E8">
      <w:pPr>
        <w:spacing w:line="480" w:lineRule="auto"/>
        <w:rPr>
          <w:szCs w:val="24"/>
        </w:rPr>
      </w:pPr>
    </w:p>
    <w:p w:rsidR="003D7EF6" w:rsidRPr="00307D4A" w:rsidRDefault="003D7EF6" w:rsidP="00D222E8">
      <w:pPr>
        <w:spacing w:line="480" w:lineRule="auto"/>
        <w:rPr>
          <w:szCs w:val="24"/>
        </w:rPr>
      </w:pPr>
    </w:p>
    <w:p w:rsidR="003D7EF6" w:rsidRPr="00307D4A" w:rsidRDefault="003D7EF6" w:rsidP="00D222E8">
      <w:pPr>
        <w:spacing w:line="480" w:lineRule="auto"/>
        <w:rPr>
          <w:szCs w:val="24"/>
        </w:rPr>
      </w:pPr>
    </w:p>
    <w:p w:rsidR="003D7EF6" w:rsidRPr="00307D4A" w:rsidRDefault="003D7EF6" w:rsidP="00D222E8">
      <w:pPr>
        <w:spacing w:line="480" w:lineRule="auto"/>
        <w:rPr>
          <w:szCs w:val="24"/>
        </w:rPr>
      </w:pPr>
    </w:p>
    <w:p w:rsidR="003D7EF6" w:rsidRPr="00307D4A" w:rsidRDefault="003D7EF6" w:rsidP="00D222E8">
      <w:pPr>
        <w:spacing w:line="480" w:lineRule="auto"/>
        <w:rPr>
          <w:szCs w:val="24"/>
        </w:rPr>
      </w:pPr>
    </w:p>
    <w:p w:rsidR="003D7EF6" w:rsidRPr="00307D4A" w:rsidRDefault="003D7EF6" w:rsidP="00D222E8">
      <w:pPr>
        <w:spacing w:line="480" w:lineRule="auto"/>
        <w:rPr>
          <w:szCs w:val="24"/>
        </w:rPr>
      </w:pPr>
    </w:p>
    <w:p w:rsidR="003D7EF6" w:rsidRPr="00307D4A" w:rsidRDefault="003D7EF6" w:rsidP="00D222E8">
      <w:pPr>
        <w:spacing w:line="480" w:lineRule="auto"/>
        <w:rPr>
          <w:szCs w:val="24"/>
        </w:rPr>
      </w:pPr>
    </w:p>
    <w:p w:rsidR="003D7EF6" w:rsidRPr="00307D4A" w:rsidRDefault="003D7EF6" w:rsidP="00D222E8">
      <w:pPr>
        <w:spacing w:line="480" w:lineRule="auto"/>
        <w:jc w:val="center"/>
        <w:rPr>
          <w:szCs w:val="24"/>
        </w:rPr>
      </w:pPr>
      <w:r w:rsidRPr="00307D4A">
        <w:rPr>
          <w:szCs w:val="24"/>
        </w:rPr>
        <w:t>Levels of Translational Research</w:t>
      </w:r>
    </w:p>
    <w:p w:rsidR="003D7EF6" w:rsidRPr="00307D4A" w:rsidRDefault="003D7EF6" w:rsidP="00D222E8">
      <w:pPr>
        <w:spacing w:line="480" w:lineRule="auto"/>
        <w:jc w:val="center"/>
        <w:rPr>
          <w:szCs w:val="24"/>
        </w:rPr>
      </w:pPr>
      <w:r w:rsidRPr="00307D4A">
        <w:rPr>
          <w:szCs w:val="24"/>
        </w:rPr>
        <w:t>Student’s Name</w:t>
      </w:r>
    </w:p>
    <w:p w:rsidR="003D7EF6" w:rsidRPr="00307D4A" w:rsidRDefault="003D7EF6" w:rsidP="00D222E8">
      <w:pPr>
        <w:spacing w:line="480" w:lineRule="auto"/>
        <w:jc w:val="center"/>
        <w:rPr>
          <w:szCs w:val="24"/>
        </w:rPr>
      </w:pPr>
      <w:r w:rsidRPr="00307D4A">
        <w:rPr>
          <w:szCs w:val="24"/>
        </w:rPr>
        <w:t xml:space="preserve">Institutional Affiliation </w:t>
      </w:r>
    </w:p>
    <w:p w:rsidR="003D7EF6" w:rsidRPr="00307D4A" w:rsidRDefault="003D7EF6" w:rsidP="00D222E8">
      <w:pPr>
        <w:spacing w:line="480" w:lineRule="auto"/>
        <w:jc w:val="center"/>
        <w:rPr>
          <w:szCs w:val="24"/>
        </w:rPr>
      </w:pPr>
    </w:p>
    <w:p w:rsidR="003D7EF6" w:rsidRPr="00307D4A" w:rsidRDefault="003D7EF6" w:rsidP="00D222E8">
      <w:pPr>
        <w:spacing w:line="480" w:lineRule="auto"/>
        <w:jc w:val="center"/>
        <w:rPr>
          <w:szCs w:val="24"/>
        </w:rPr>
      </w:pPr>
    </w:p>
    <w:p w:rsidR="003D7EF6" w:rsidRPr="00307D4A" w:rsidRDefault="003D7EF6" w:rsidP="00D222E8">
      <w:pPr>
        <w:spacing w:line="480" w:lineRule="auto"/>
        <w:jc w:val="center"/>
        <w:rPr>
          <w:szCs w:val="24"/>
        </w:rPr>
      </w:pPr>
    </w:p>
    <w:p w:rsidR="003D7EF6" w:rsidRPr="00307D4A" w:rsidRDefault="003D7EF6" w:rsidP="00D222E8">
      <w:pPr>
        <w:spacing w:line="480" w:lineRule="auto"/>
        <w:jc w:val="center"/>
        <w:rPr>
          <w:szCs w:val="24"/>
        </w:rPr>
      </w:pPr>
    </w:p>
    <w:p w:rsidR="003D7EF6" w:rsidRPr="00307D4A" w:rsidRDefault="003D7EF6" w:rsidP="00D222E8">
      <w:pPr>
        <w:spacing w:line="480" w:lineRule="auto"/>
        <w:jc w:val="center"/>
        <w:rPr>
          <w:szCs w:val="24"/>
        </w:rPr>
      </w:pPr>
    </w:p>
    <w:p w:rsidR="003D7EF6" w:rsidRPr="00307D4A" w:rsidRDefault="003D7EF6" w:rsidP="00D222E8">
      <w:pPr>
        <w:spacing w:line="480" w:lineRule="auto"/>
        <w:rPr>
          <w:szCs w:val="24"/>
        </w:rPr>
      </w:pPr>
    </w:p>
    <w:p w:rsidR="00AF46BA" w:rsidRPr="00307D4A" w:rsidRDefault="00AF46BA" w:rsidP="00D222E8">
      <w:pPr>
        <w:spacing w:line="480" w:lineRule="auto"/>
        <w:rPr>
          <w:szCs w:val="24"/>
        </w:rPr>
      </w:pPr>
    </w:p>
    <w:p w:rsidR="003D7EF6" w:rsidRPr="00307D4A" w:rsidRDefault="003D7EF6" w:rsidP="00D222E8">
      <w:pPr>
        <w:spacing w:line="480" w:lineRule="auto"/>
        <w:jc w:val="center"/>
        <w:rPr>
          <w:szCs w:val="24"/>
        </w:rPr>
      </w:pPr>
      <w:r w:rsidRPr="00307D4A">
        <w:rPr>
          <w:szCs w:val="24"/>
        </w:rPr>
        <w:lastRenderedPageBreak/>
        <w:t>Levels of Translational Research</w:t>
      </w:r>
    </w:p>
    <w:p w:rsidR="00AF46BA" w:rsidRPr="00307D4A" w:rsidRDefault="007B7129" w:rsidP="00D222E8">
      <w:pPr>
        <w:spacing w:line="480" w:lineRule="auto"/>
        <w:rPr>
          <w:szCs w:val="24"/>
        </w:rPr>
      </w:pPr>
      <w:r w:rsidRPr="00307D4A">
        <w:rPr>
          <w:szCs w:val="24"/>
        </w:rPr>
        <w:tab/>
      </w:r>
      <w:r w:rsidR="00AF46BA" w:rsidRPr="00307D4A">
        <w:rPr>
          <w:szCs w:val="24"/>
        </w:rPr>
        <w:t>Within the clinical and translational research domain, the garnered scientific discoveries usually move along virtual paths, leading to improvements in overall human health. Various bodies recommend the research classification to be between T0 to T4, facilitating better tracking of research portfolio alongside the research continuum. The initial level, T0 constitute basic biomedical research that leverages preclinical and animal studies and excludes any interventions that involve human subjects. T1 research test level covers a translation of basic research to one with humans and concerns the development of treatments and interventions, where basic research concerns laboratory research and epidemiology</w:t>
      </w:r>
      <w:r w:rsidR="00955005" w:rsidRPr="00307D4A">
        <w:rPr>
          <w:szCs w:val="24"/>
        </w:rPr>
        <w:t xml:space="preserve"> </w:t>
      </w:r>
      <w:r w:rsidR="00955005" w:rsidRPr="00307D4A">
        <w:rPr>
          <w:color w:val="000000"/>
          <w:szCs w:val="24"/>
          <w:shd w:val="clear" w:color="auto" w:fill="FFFFFF"/>
        </w:rPr>
        <w:t>(Titler, 2018)</w:t>
      </w:r>
      <w:r w:rsidR="00AF46BA" w:rsidRPr="00307D4A">
        <w:rPr>
          <w:szCs w:val="24"/>
        </w:rPr>
        <w:t xml:space="preserve">. The level utilizes observational and case studies in identifying how new knowledge on diseases could develop into clinically pertinent understandings. T2 research covers a translation to patients where emergent clinical expertise is integrated into routine clinical practice and decision making. It facilitates testing effectiveness of treatments and interventions by applying information and insights derived from basic and clinical research and includes phase III clinical trials and observational studies.  </w:t>
      </w:r>
    </w:p>
    <w:p w:rsidR="00AF46BA" w:rsidRPr="00307D4A" w:rsidRDefault="00AF46BA" w:rsidP="00D222E8">
      <w:pPr>
        <w:spacing w:line="480" w:lineRule="auto"/>
        <w:rPr>
          <w:szCs w:val="24"/>
        </w:rPr>
      </w:pPr>
      <w:r w:rsidRPr="00307D4A">
        <w:rPr>
          <w:szCs w:val="24"/>
        </w:rPr>
        <w:t xml:space="preserve">           T3 research identifies ways to apply evidence-based guidelines within the general practice to enhance system-wide change. It is practice-based research that leverages evidence from clinical trials by using dissemination, implementation and diffusion research. Lastly, there is T4 research and involves a translation to communities. The level involves activities, such as monitoring for morbidity, mortality and risks associated with policy and change. The research type differs from evidence-based practice. It involves a study of the implementation of interventions and contextual variables that affect the use and application of knowledge within communities.</w:t>
      </w:r>
    </w:p>
    <w:p w:rsidR="003D7EF6" w:rsidRPr="00307D4A" w:rsidRDefault="00AF46BA" w:rsidP="00D222E8">
      <w:pPr>
        <w:spacing w:line="480" w:lineRule="auto"/>
        <w:rPr>
          <w:szCs w:val="24"/>
        </w:rPr>
      </w:pPr>
      <w:r w:rsidRPr="00307D4A">
        <w:rPr>
          <w:szCs w:val="24"/>
        </w:rPr>
        <w:t>In contrast, EBP involves applying evidence in practice. Translational research uses models in fostering population health management, with the first depicting frameworks for advanced research in health disparities</w:t>
      </w:r>
      <w:r w:rsidR="004E06BD" w:rsidRPr="00307D4A">
        <w:rPr>
          <w:szCs w:val="24"/>
        </w:rPr>
        <w:t xml:space="preserve"> (</w:t>
      </w:r>
      <w:r w:rsidR="004E06BD" w:rsidRPr="00307D4A">
        <w:rPr>
          <w:color w:val="222222"/>
          <w:szCs w:val="24"/>
          <w:shd w:val="clear" w:color="auto" w:fill="FFFFFF"/>
        </w:rPr>
        <w:t xml:space="preserve">Fleming et al., </w:t>
      </w:r>
      <w:r w:rsidR="00A95666" w:rsidRPr="00307D4A">
        <w:rPr>
          <w:color w:val="222222"/>
          <w:szCs w:val="24"/>
          <w:shd w:val="clear" w:color="auto" w:fill="FFFFFF"/>
        </w:rPr>
        <w:t>2014)</w:t>
      </w:r>
      <w:r w:rsidRPr="00307D4A">
        <w:rPr>
          <w:szCs w:val="24"/>
        </w:rPr>
        <w:t>. The subsequent model constitutes a comprehensive illustration of the elements involved in the research process while building on other conceptualizations. Concerning public health research, it fosters community engagement and epidemiological assessments.</w:t>
      </w:r>
    </w:p>
    <w:p w:rsidR="00F4296D" w:rsidRPr="00307D4A" w:rsidRDefault="00F4296D" w:rsidP="00D222E8">
      <w:pPr>
        <w:spacing w:line="480" w:lineRule="auto"/>
        <w:rPr>
          <w:szCs w:val="24"/>
        </w:rPr>
      </w:pPr>
    </w:p>
    <w:p w:rsidR="00F4296D" w:rsidRPr="00307D4A" w:rsidRDefault="00F4296D" w:rsidP="00D222E8">
      <w:pPr>
        <w:spacing w:line="480" w:lineRule="auto"/>
        <w:rPr>
          <w:szCs w:val="24"/>
        </w:rPr>
      </w:pPr>
    </w:p>
    <w:p w:rsidR="00F4296D" w:rsidRPr="00307D4A" w:rsidRDefault="00F4296D" w:rsidP="00D222E8">
      <w:pPr>
        <w:spacing w:line="480" w:lineRule="auto"/>
        <w:rPr>
          <w:szCs w:val="24"/>
        </w:rPr>
      </w:pPr>
    </w:p>
    <w:p w:rsidR="00F4296D" w:rsidRPr="00307D4A" w:rsidRDefault="00F4296D" w:rsidP="00D222E8">
      <w:pPr>
        <w:spacing w:line="480" w:lineRule="auto"/>
        <w:rPr>
          <w:szCs w:val="24"/>
        </w:rPr>
      </w:pPr>
    </w:p>
    <w:p w:rsidR="00F4296D" w:rsidRPr="00307D4A" w:rsidRDefault="00F4296D" w:rsidP="00D222E8">
      <w:pPr>
        <w:spacing w:line="480" w:lineRule="auto"/>
        <w:rPr>
          <w:szCs w:val="24"/>
        </w:rPr>
      </w:pPr>
    </w:p>
    <w:p w:rsidR="00F4296D" w:rsidRPr="00307D4A" w:rsidRDefault="00F4296D" w:rsidP="00D222E8">
      <w:pPr>
        <w:spacing w:line="480" w:lineRule="auto"/>
        <w:rPr>
          <w:szCs w:val="24"/>
        </w:rPr>
      </w:pPr>
    </w:p>
    <w:p w:rsidR="00F4296D" w:rsidRPr="00307D4A" w:rsidRDefault="00F4296D" w:rsidP="00D222E8">
      <w:pPr>
        <w:spacing w:line="480" w:lineRule="auto"/>
        <w:rPr>
          <w:szCs w:val="24"/>
        </w:rPr>
      </w:pPr>
    </w:p>
    <w:p w:rsidR="00F4296D" w:rsidRPr="00307D4A" w:rsidRDefault="00F4296D" w:rsidP="00D222E8">
      <w:pPr>
        <w:spacing w:line="480" w:lineRule="auto"/>
        <w:rPr>
          <w:szCs w:val="24"/>
        </w:rPr>
      </w:pPr>
    </w:p>
    <w:p w:rsidR="00F4296D" w:rsidRPr="00307D4A" w:rsidRDefault="00F4296D" w:rsidP="00D222E8">
      <w:pPr>
        <w:spacing w:line="480" w:lineRule="auto"/>
        <w:rPr>
          <w:szCs w:val="24"/>
        </w:rPr>
      </w:pPr>
    </w:p>
    <w:p w:rsidR="00F4296D" w:rsidRPr="00307D4A" w:rsidRDefault="00F4296D" w:rsidP="00D222E8">
      <w:pPr>
        <w:spacing w:line="480" w:lineRule="auto"/>
        <w:rPr>
          <w:szCs w:val="24"/>
        </w:rPr>
      </w:pPr>
    </w:p>
    <w:p w:rsidR="00F4296D" w:rsidRPr="00307D4A" w:rsidRDefault="00F4296D" w:rsidP="00D222E8">
      <w:pPr>
        <w:spacing w:line="480" w:lineRule="auto"/>
        <w:rPr>
          <w:szCs w:val="24"/>
        </w:rPr>
      </w:pPr>
    </w:p>
    <w:p w:rsidR="00F4296D" w:rsidRPr="00307D4A" w:rsidRDefault="00F4296D" w:rsidP="00D222E8">
      <w:pPr>
        <w:spacing w:line="480" w:lineRule="auto"/>
        <w:rPr>
          <w:szCs w:val="24"/>
        </w:rPr>
      </w:pPr>
    </w:p>
    <w:p w:rsidR="00F4296D" w:rsidRPr="00307D4A" w:rsidRDefault="00F4296D" w:rsidP="00D222E8">
      <w:pPr>
        <w:spacing w:line="480" w:lineRule="auto"/>
        <w:rPr>
          <w:szCs w:val="24"/>
        </w:rPr>
      </w:pPr>
    </w:p>
    <w:p w:rsidR="00F4296D" w:rsidRPr="00307D4A" w:rsidRDefault="00F4296D" w:rsidP="00D222E8">
      <w:pPr>
        <w:spacing w:line="480" w:lineRule="auto"/>
        <w:jc w:val="center"/>
        <w:rPr>
          <w:szCs w:val="24"/>
        </w:rPr>
      </w:pPr>
      <w:r w:rsidRPr="00307D4A">
        <w:rPr>
          <w:szCs w:val="24"/>
        </w:rPr>
        <w:t>References</w:t>
      </w:r>
    </w:p>
    <w:p w:rsidR="003F447F" w:rsidRPr="00307D4A" w:rsidRDefault="003F447F" w:rsidP="00D222E8">
      <w:pPr>
        <w:spacing w:line="480" w:lineRule="auto"/>
        <w:ind w:left="720" w:hanging="720"/>
        <w:rPr>
          <w:color w:val="222222"/>
          <w:szCs w:val="24"/>
          <w:shd w:val="clear" w:color="auto" w:fill="FFFFFF"/>
        </w:rPr>
      </w:pPr>
      <w:r w:rsidRPr="00307D4A">
        <w:rPr>
          <w:color w:val="222222"/>
          <w:szCs w:val="24"/>
          <w:shd w:val="clear" w:color="auto" w:fill="FFFFFF"/>
        </w:rPr>
        <w:t xml:space="preserve">Fleming, E. S., Perkins, J., Easa, D., Conde, J. G., Baker, R. S., Southerland, </w:t>
      </w:r>
      <w:r w:rsidR="00D84175">
        <w:rPr>
          <w:color w:val="222222"/>
          <w:szCs w:val="24"/>
          <w:shd w:val="clear" w:color="auto" w:fill="FFFFFF"/>
        </w:rPr>
        <w:t>W. M., ... &amp; Norris, K. C. (2014</w:t>
      </w:r>
      <w:bookmarkStart w:id="0" w:name="_GoBack"/>
      <w:bookmarkEnd w:id="0"/>
      <w:r w:rsidRPr="00307D4A">
        <w:rPr>
          <w:color w:val="222222"/>
          <w:szCs w:val="24"/>
          <w:shd w:val="clear" w:color="auto" w:fill="FFFFFF"/>
        </w:rPr>
        <w:t>). The role of translational research in addressing health disparities: a conceptual framework. </w:t>
      </w:r>
      <w:r w:rsidRPr="00307D4A">
        <w:rPr>
          <w:i/>
          <w:iCs/>
          <w:color w:val="222222"/>
          <w:szCs w:val="24"/>
          <w:shd w:val="clear" w:color="auto" w:fill="FFFFFF"/>
        </w:rPr>
        <w:t>Ethnicity &amp; disease</w:t>
      </w:r>
      <w:r w:rsidRPr="00307D4A">
        <w:rPr>
          <w:color w:val="222222"/>
          <w:szCs w:val="24"/>
          <w:shd w:val="clear" w:color="auto" w:fill="FFFFFF"/>
        </w:rPr>
        <w:t>, </w:t>
      </w:r>
      <w:r w:rsidRPr="00307D4A">
        <w:rPr>
          <w:i/>
          <w:iCs/>
          <w:color w:val="222222"/>
          <w:szCs w:val="24"/>
          <w:shd w:val="clear" w:color="auto" w:fill="FFFFFF"/>
        </w:rPr>
        <w:t>18</w:t>
      </w:r>
      <w:r w:rsidRPr="00307D4A">
        <w:rPr>
          <w:color w:val="222222"/>
          <w:szCs w:val="24"/>
          <w:shd w:val="clear" w:color="auto" w:fill="FFFFFF"/>
        </w:rPr>
        <w:t>(2 Suppl 2), S2.</w:t>
      </w:r>
    </w:p>
    <w:p w:rsidR="003F447F" w:rsidRPr="00307D4A" w:rsidRDefault="003F447F" w:rsidP="00D222E8">
      <w:pPr>
        <w:spacing w:line="480" w:lineRule="auto"/>
        <w:ind w:left="720" w:hanging="720"/>
        <w:rPr>
          <w:color w:val="000000"/>
          <w:szCs w:val="24"/>
          <w:shd w:val="clear" w:color="auto" w:fill="FFFFFF"/>
        </w:rPr>
      </w:pPr>
      <w:r w:rsidRPr="00307D4A">
        <w:rPr>
          <w:color w:val="000000"/>
          <w:szCs w:val="24"/>
          <w:shd w:val="clear" w:color="auto" w:fill="FFFFFF"/>
        </w:rPr>
        <w:t>Titler, M. (2018). </w:t>
      </w:r>
      <w:r w:rsidRPr="00307D4A">
        <w:rPr>
          <w:i/>
          <w:iCs/>
          <w:color w:val="000000"/>
          <w:szCs w:val="24"/>
          <w:shd w:val="clear" w:color="auto" w:fill="FFFFFF"/>
        </w:rPr>
        <w:t>Translation Research in Practice: An Introduction</w:t>
      </w:r>
      <w:r w:rsidRPr="00307D4A">
        <w:rPr>
          <w:color w:val="000000"/>
          <w:szCs w:val="24"/>
          <w:shd w:val="clear" w:color="auto" w:fill="FFFFFF"/>
        </w:rPr>
        <w:t xml:space="preserve">. Ojin.nursingworld.org. </w:t>
      </w:r>
      <w:hyperlink r:id="rId6" w:anchor=":~:text=EBP%20is%20the%20actual%20application,use%20in%20practices%20and%20communities" w:history="1">
        <w:r w:rsidRPr="00307D4A">
          <w:rPr>
            <w:rStyle w:val="Hyperlink"/>
            <w:szCs w:val="24"/>
            <w:shd w:val="clear" w:color="auto" w:fill="FFFFFF"/>
          </w:rPr>
          <w:t>https://ojin.nursingworld.org/MainMenuCategories/ANAMarketplace/ANAPeriodicals/OJIN/TableofContents/Vol-23-2018/No2-May-2018/Translational-Research-in-Practice.html#:~:text=EBP%20is%20the%20actual%20application,use%20in%20practices%20and%20communities</w:t>
        </w:r>
      </w:hyperlink>
      <w:r w:rsidRPr="00307D4A">
        <w:rPr>
          <w:color w:val="000000"/>
          <w:szCs w:val="24"/>
          <w:shd w:val="clear" w:color="auto" w:fill="FFFFFF"/>
        </w:rPr>
        <w:t>.</w:t>
      </w:r>
    </w:p>
    <w:p w:rsidR="00307D4A" w:rsidRPr="00307D4A" w:rsidRDefault="00307D4A" w:rsidP="00D222E8">
      <w:pPr>
        <w:spacing w:line="480" w:lineRule="auto"/>
        <w:ind w:left="720" w:hanging="720"/>
        <w:rPr>
          <w:szCs w:val="24"/>
        </w:rPr>
      </w:pPr>
    </w:p>
    <w:sectPr w:rsidR="00307D4A" w:rsidRPr="00307D4A" w:rsidSect="003D7EF6">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5FBD" w:rsidRDefault="000B5FBD" w:rsidP="003D7EF6">
      <w:pPr>
        <w:spacing w:after="0" w:line="240" w:lineRule="auto"/>
      </w:pPr>
      <w:r>
        <w:separator/>
      </w:r>
    </w:p>
  </w:endnote>
  <w:endnote w:type="continuationSeparator" w:id="0">
    <w:p w:rsidR="000B5FBD" w:rsidRDefault="000B5FBD" w:rsidP="003D7E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5FBD" w:rsidRDefault="000B5FBD" w:rsidP="003D7EF6">
      <w:pPr>
        <w:spacing w:after="0" w:line="240" w:lineRule="auto"/>
      </w:pPr>
      <w:r>
        <w:separator/>
      </w:r>
    </w:p>
  </w:footnote>
  <w:footnote w:type="continuationSeparator" w:id="0">
    <w:p w:rsidR="000B5FBD" w:rsidRDefault="000B5FBD" w:rsidP="003D7EF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7EF6" w:rsidRDefault="003D7EF6">
    <w:pPr>
      <w:pStyle w:val="Header"/>
      <w:jc w:val="right"/>
    </w:pPr>
    <w:r>
      <w:t xml:space="preserve">TRANSLATIONAL RESEARCH </w:t>
    </w:r>
    <w:r>
      <w:tab/>
    </w:r>
    <w:r>
      <w:tab/>
    </w:r>
    <w:sdt>
      <w:sdtPr>
        <w:id w:val="-1279339002"/>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D84175">
          <w:rPr>
            <w:noProof/>
          </w:rPr>
          <w:t>4</w:t>
        </w:r>
        <w:r>
          <w:rPr>
            <w:noProof/>
          </w:rPr>
          <w:fldChar w:fldCharType="end"/>
        </w:r>
      </w:sdtContent>
    </w:sdt>
  </w:p>
  <w:p w:rsidR="003D7EF6" w:rsidRDefault="003D7EF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7EF6" w:rsidRDefault="003D7EF6">
    <w:pPr>
      <w:pStyle w:val="Header"/>
      <w:jc w:val="right"/>
    </w:pPr>
    <w:r>
      <w:t xml:space="preserve">Running head: TRANSLATIONAL RESEARCH </w:t>
    </w:r>
    <w:r>
      <w:tab/>
    </w:r>
    <w:sdt>
      <w:sdtPr>
        <w:id w:val="-61567763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0B5FBD">
          <w:rPr>
            <w:noProof/>
          </w:rPr>
          <w:t>1</w:t>
        </w:r>
        <w:r>
          <w:rPr>
            <w:noProof/>
          </w:rPr>
          <w:fldChar w:fldCharType="end"/>
        </w:r>
      </w:sdtContent>
    </w:sdt>
  </w:p>
  <w:p w:rsidR="003D7EF6" w:rsidRDefault="003D7EF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7EF6"/>
    <w:rsid w:val="0001589E"/>
    <w:rsid w:val="000B5FBD"/>
    <w:rsid w:val="000F07E5"/>
    <w:rsid w:val="00164D71"/>
    <w:rsid w:val="001E52B7"/>
    <w:rsid w:val="001F4EAD"/>
    <w:rsid w:val="00237A47"/>
    <w:rsid w:val="002844D0"/>
    <w:rsid w:val="00307D4A"/>
    <w:rsid w:val="003A4E1C"/>
    <w:rsid w:val="003B2817"/>
    <w:rsid w:val="003D7EF6"/>
    <w:rsid w:val="003F447F"/>
    <w:rsid w:val="00407E30"/>
    <w:rsid w:val="0042034B"/>
    <w:rsid w:val="004E06BD"/>
    <w:rsid w:val="00567F9C"/>
    <w:rsid w:val="005F0573"/>
    <w:rsid w:val="00641769"/>
    <w:rsid w:val="006433AC"/>
    <w:rsid w:val="00650E52"/>
    <w:rsid w:val="006518A9"/>
    <w:rsid w:val="006B3BF6"/>
    <w:rsid w:val="006E66FC"/>
    <w:rsid w:val="00731A7D"/>
    <w:rsid w:val="007B7129"/>
    <w:rsid w:val="007E1951"/>
    <w:rsid w:val="00875E1C"/>
    <w:rsid w:val="008A5879"/>
    <w:rsid w:val="00932D71"/>
    <w:rsid w:val="00937F64"/>
    <w:rsid w:val="0094782D"/>
    <w:rsid w:val="00955005"/>
    <w:rsid w:val="009A5BC3"/>
    <w:rsid w:val="009F4606"/>
    <w:rsid w:val="00A95666"/>
    <w:rsid w:val="00AB7475"/>
    <w:rsid w:val="00AD7FE4"/>
    <w:rsid w:val="00AF46BA"/>
    <w:rsid w:val="00BA35F7"/>
    <w:rsid w:val="00BC1DEA"/>
    <w:rsid w:val="00BC718B"/>
    <w:rsid w:val="00C153E4"/>
    <w:rsid w:val="00C47608"/>
    <w:rsid w:val="00C94C6D"/>
    <w:rsid w:val="00CA657F"/>
    <w:rsid w:val="00CD557C"/>
    <w:rsid w:val="00CF5220"/>
    <w:rsid w:val="00D222E8"/>
    <w:rsid w:val="00D84175"/>
    <w:rsid w:val="00EB7FCB"/>
    <w:rsid w:val="00F05A2D"/>
    <w:rsid w:val="00F41304"/>
    <w:rsid w:val="00F4296D"/>
    <w:rsid w:val="00F4644B"/>
    <w:rsid w:val="00F654B3"/>
    <w:rsid w:val="00F81EE1"/>
    <w:rsid w:val="00FA2C97"/>
    <w:rsid w:val="00FB63CF"/>
    <w:rsid w:val="00FB75E2"/>
    <w:rsid w:val="00FF5D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83B832-E371-4FA7-9D79-821823AB5A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D7E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7EF6"/>
  </w:style>
  <w:style w:type="paragraph" w:styleId="Footer">
    <w:name w:val="footer"/>
    <w:basedOn w:val="Normal"/>
    <w:link w:val="FooterChar"/>
    <w:uiPriority w:val="99"/>
    <w:unhideWhenUsed/>
    <w:rsid w:val="003D7E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7EF6"/>
  </w:style>
  <w:style w:type="character" w:styleId="Hyperlink">
    <w:name w:val="Hyperlink"/>
    <w:basedOn w:val="DefaultParagraphFont"/>
    <w:uiPriority w:val="99"/>
    <w:unhideWhenUsed/>
    <w:rsid w:val="00875E1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ojin.nursingworld.org/MainMenuCategories/ANAMarketplace/ANAPeriodicals/OJIN/TableofContents/Vol-23-2018/No2-May-2018/Translational-Research-in-Practice.html"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TotalTime>
  <Pages>4</Pages>
  <Words>510</Words>
  <Characters>2910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53</cp:revision>
  <dcterms:created xsi:type="dcterms:W3CDTF">2021-05-07T07:11:00Z</dcterms:created>
  <dcterms:modified xsi:type="dcterms:W3CDTF">2021-05-07T09:28:00Z</dcterms:modified>
</cp:coreProperties>
</file>