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D472" w14:textId="27CE0FFC" w:rsidR="00ED64D7" w:rsidRPr="00DA0845" w:rsidRDefault="00910883" w:rsidP="008F1478">
      <w:pPr>
        <w:spacing w:line="240" w:lineRule="auto"/>
        <w:jc w:val="both"/>
        <w:rPr>
          <w:rFonts w:cs="Times New Roman"/>
          <w:szCs w:val="24"/>
          <w:u w:val="single"/>
        </w:rPr>
      </w:pPr>
      <w:r w:rsidRPr="00DA0845">
        <w:rPr>
          <w:rFonts w:cs="Times New Roman"/>
          <w:szCs w:val="24"/>
          <w:u w:val="single"/>
        </w:rPr>
        <w:t>a)</w:t>
      </w:r>
      <w:r w:rsidR="00ED64D7" w:rsidRPr="00DA0845">
        <w:rPr>
          <w:rFonts w:cs="Times New Roman"/>
          <w:szCs w:val="24"/>
          <w:u w:val="single"/>
        </w:rPr>
        <w:t>Fat intake</w:t>
      </w:r>
      <w:r w:rsidRPr="00DA0845">
        <w:rPr>
          <w:rFonts w:cs="Times New Roman"/>
          <w:szCs w:val="24"/>
          <w:u w:val="single"/>
        </w:rPr>
        <w:t xml:space="preserve"> – </w:t>
      </w:r>
      <w:r w:rsidR="001C70DF">
        <w:rPr>
          <w:rFonts w:cs="Times New Roman"/>
          <w:szCs w:val="24"/>
          <w:u w:val="single"/>
        </w:rPr>
        <w:t>Total</w:t>
      </w:r>
      <w:r w:rsidRPr="00DA0845">
        <w:rPr>
          <w:rFonts w:cs="Times New Roman"/>
          <w:szCs w:val="24"/>
          <w:u w:val="single"/>
        </w:rPr>
        <w:t xml:space="preserve"> Fat </w:t>
      </w:r>
      <w:r w:rsidR="001C70DF">
        <w:rPr>
          <w:rFonts w:cs="Times New Roman"/>
          <w:szCs w:val="24"/>
          <w:u w:val="single"/>
        </w:rPr>
        <w:t xml:space="preserve">Intake </w:t>
      </w:r>
      <w:r w:rsidRPr="00DA0845">
        <w:rPr>
          <w:rFonts w:cs="Times New Roman"/>
          <w:szCs w:val="24"/>
          <w:u w:val="single"/>
        </w:rPr>
        <w:t>1</w:t>
      </w:r>
      <w:r w:rsidR="001C70DF">
        <w:rPr>
          <w:rFonts w:cs="Times New Roman"/>
          <w:szCs w:val="24"/>
          <w:u w:val="single"/>
        </w:rPr>
        <w:t xml:space="preserve"> and Total Fat Intake</w:t>
      </w:r>
      <w:r w:rsidR="000B0F0F">
        <w:rPr>
          <w:rFonts w:cs="Times New Roman"/>
          <w:szCs w:val="24"/>
          <w:u w:val="single"/>
        </w:rPr>
        <w:t xml:space="preserve"> </w:t>
      </w:r>
      <w:r w:rsidRPr="00DA0845">
        <w:rPr>
          <w:rFonts w:cs="Times New Roman"/>
          <w:szCs w:val="24"/>
          <w:u w:val="single"/>
        </w:rPr>
        <w:t>2</w:t>
      </w:r>
    </w:p>
    <w:p w14:paraId="31FFD1D6" w14:textId="5726D24B" w:rsidR="00ED64D7" w:rsidRDefault="00ED64D7" w:rsidP="008F1478">
      <w:pPr>
        <w:spacing w:line="240" w:lineRule="auto"/>
        <w:ind w:firstLine="720"/>
        <w:jc w:val="both"/>
        <w:rPr>
          <w:rFonts w:cs="Times New Roman"/>
          <w:szCs w:val="24"/>
        </w:rPr>
      </w:pPr>
      <w:r w:rsidRPr="00DA0845">
        <w:rPr>
          <w:rFonts w:cs="Times New Roman"/>
          <w:szCs w:val="24"/>
        </w:rPr>
        <w:t>For testing of normality consider the histograms of fat before (</w:t>
      </w:r>
      <w:r w:rsidR="00156054">
        <w:rPr>
          <w:rFonts w:cs="Times New Roman"/>
          <w:szCs w:val="24"/>
        </w:rPr>
        <w:t>Total fat intake 1</w:t>
      </w:r>
      <w:r w:rsidRPr="00DA0845">
        <w:rPr>
          <w:rFonts w:cs="Times New Roman"/>
          <w:szCs w:val="24"/>
        </w:rPr>
        <w:t>) and after (</w:t>
      </w:r>
      <w:r w:rsidR="00156054">
        <w:rPr>
          <w:rFonts w:cs="Times New Roman"/>
          <w:szCs w:val="24"/>
        </w:rPr>
        <w:t>total fat intake 2</w:t>
      </w:r>
      <w:r w:rsidRPr="00DA0845">
        <w:rPr>
          <w:rFonts w:cs="Times New Roman"/>
          <w:szCs w:val="24"/>
        </w:rPr>
        <w:t>) Nutrition education program.</w:t>
      </w:r>
    </w:p>
    <w:p w14:paraId="3B8EAE46" w14:textId="5E6E9F06" w:rsidR="00927E21" w:rsidRPr="00DA0845" w:rsidRDefault="00927E21" w:rsidP="008F1478">
      <w:pPr>
        <w:spacing w:line="240" w:lineRule="auto"/>
        <w:ind w:firstLine="720"/>
        <w:jc w:val="both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54D7A1D0" wp14:editId="3591B5D4">
            <wp:extent cx="4229100" cy="2276475"/>
            <wp:effectExtent l="0" t="0" r="0" b="9525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0C4CEDE8-8CC7-4C12-9E70-19916E60FB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E21CFF7" w14:textId="19570D84" w:rsidR="00ED64D7" w:rsidRPr="00DA0845" w:rsidRDefault="00ED64D7" w:rsidP="008F1478">
      <w:pPr>
        <w:spacing w:line="240" w:lineRule="auto"/>
        <w:jc w:val="center"/>
        <w:rPr>
          <w:rFonts w:cs="Times New Roman"/>
          <w:szCs w:val="24"/>
        </w:rPr>
      </w:pPr>
    </w:p>
    <w:p w14:paraId="32340CAD" w14:textId="02DF4861" w:rsidR="00ED64D7" w:rsidRPr="00DA0845" w:rsidRDefault="00927E21" w:rsidP="008F1478">
      <w:pPr>
        <w:spacing w:line="240" w:lineRule="auto"/>
        <w:jc w:val="center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4D96AA43" wp14:editId="30D6FED3">
            <wp:extent cx="4238625" cy="2476500"/>
            <wp:effectExtent l="0" t="0" r="9525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67B7C750-8287-4187-8E23-A7B43FA628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1D70970" w14:textId="451818EC" w:rsidR="00ED64D7" w:rsidRPr="00DA0845" w:rsidRDefault="00AA7488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Given that the</w:t>
      </w:r>
      <w:r w:rsidR="00ED64D7" w:rsidRPr="00DA0845">
        <w:rPr>
          <w:rFonts w:cs="Times New Roman"/>
          <w:szCs w:val="24"/>
        </w:rPr>
        <w:t xml:space="preserve"> data for both</w:t>
      </w:r>
      <w:r>
        <w:rPr>
          <w:rFonts w:cs="Times New Roman"/>
          <w:szCs w:val="24"/>
        </w:rPr>
        <w:t xml:space="preserve"> </w:t>
      </w:r>
      <w:r w:rsidRPr="00D36C76">
        <w:t>the</w:t>
      </w:r>
      <w:r w:rsidR="00ED64D7" w:rsidRPr="00D36C76">
        <w:t xml:space="preserve"> fat before and after Nutrition education program </w:t>
      </w:r>
      <w:r w:rsidR="00B94544" w:rsidRPr="00D36C76">
        <w:t xml:space="preserve">are </w:t>
      </w:r>
      <w:r w:rsidR="00ED64D7" w:rsidRPr="00D36C76">
        <w:t>normally distributed</w:t>
      </w:r>
      <w:r w:rsidRPr="00D36C76">
        <w:t>, a</w:t>
      </w:r>
      <w:r w:rsidR="00ED64D7" w:rsidRPr="00D36C76">
        <w:t xml:space="preserve"> parametric test</w:t>
      </w:r>
      <w:r w:rsidRPr="00D36C76">
        <w:t xml:space="preserve"> is appropriate</w:t>
      </w:r>
      <w:r w:rsidR="00B94544" w:rsidRPr="00D36C76">
        <w:t xml:space="preserve">. In this case, a </w:t>
      </w:r>
      <w:r w:rsidR="00D36C76" w:rsidRPr="00D36C76">
        <w:t>z</w:t>
      </w:r>
      <w:r w:rsidR="00B94544" w:rsidRPr="00D36C76">
        <w:t>-test is necessary</w:t>
      </w:r>
      <w:r w:rsidR="00D36C76" w:rsidRPr="00D36C76">
        <w:t xml:space="preserve"> because </w:t>
      </w:r>
      <w:r w:rsidR="00D36C76">
        <w:t xml:space="preserve">it compares </w:t>
      </w:r>
      <w:r w:rsidR="00D36C76" w:rsidRPr="00D36C76">
        <w:t xml:space="preserve">the </w:t>
      </w:r>
      <w:r w:rsidR="00D36C76">
        <w:t>mean values</w:t>
      </w:r>
      <w:r w:rsidR="00D36C76" w:rsidRPr="00D36C76">
        <w:t xml:space="preserve"> </w:t>
      </w:r>
      <w:r w:rsidR="00D36C76">
        <w:t>for a</w:t>
      </w:r>
      <w:r w:rsidR="00D36C76" w:rsidRPr="00D36C76">
        <w:t xml:space="preserve"> sample size</w:t>
      </w:r>
      <w:r w:rsidR="00D36C76">
        <w:t xml:space="preserve"> that</w:t>
      </w:r>
      <w:r w:rsidR="00D36C76" w:rsidRPr="00D36C76">
        <w:t xml:space="preserve"> is large (usually greater than 50)</w:t>
      </w:r>
      <w:r w:rsidR="00D36C76">
        <w:t xml:space="preserve">. </w:t>
      </w:r>
      <w:r w:rsidR="002D703C">
        <w:t>The sample size in this case is 66.</w:t>
      </w:r>
      <w:r w:rsidR="00CC716C">
        <w:t xml:space="preserve"> The test will compare the Critical Z value at 95% confidence level and the calculated Z value using the formula: Z = (population mean (</w:t>
      </w:r>
      <w:r w:rsidR="00CC716C">
        <w:rPr>
          <w:rFonts w:ascii="Verdana" w:hAnsi="Verdana"/>
          <w:i/>
          <w:iCs/>
          <w:sz w:val="21"/>
          <w:szCs w:val="21"/>
          <w:shd w:val="clear" w:color="auto" w:fill="FFFFFF"/>
        </w:rPr>
        <w:t>µ</w:t>
      </w:r>
      <w:r w:rsidR="00CC716C">
        <w:rPr>
          <w:rFonts w:ascii="Verdana" w:hAnsi="Verdana"/>
          <w:sz w:val="21"/>
          <w:szCs w:val="21"/>
          <w:shd w:val="clear" w:color="auto" w:fill="FFFFFF"/>
        </w:rPr>
        <w:t>)</w:t>
      </w:r>
      <w:r w:rsidR="00CC716C">
        <w:t>– mean) / (standard deviation / sqrt (no. of samples))</w:t>
      </w:r>
    </w:p>
    <w:p w14:paraId="0191D732" w14:textId="295B67A4" w:rsidR="00ED64D7" w:rsidRPr="00DA0845" w:rsidRDefault="00ED64D7" w:rsidP="008F1478">
      <w:pPr>
        <w:spacing w:line="240" w:lineRule="auto"/>
        <w:jc w:val="both"/>
        <w:rPr>
          <w:rFonts w:cs="Times New Roman"/>
          <w:szCs w:val="24"/>
        </w:rPr>
      </w:pPr>
      <w:r w:rsidRPr="00DA0845">
        <w:rPr>
          <w:rFonts w:cs="Times New Roman"/>
          <w:b/>
          <w:szCs w:val="24"/>
        </w:rPr>
        <w:t>Null hypothesis</w:t>
      </w:r>
      <w:r w:rsidRPr="00DA0845">
        <w:rPr>
          <w:rFonts w:cs="Times New Roman"/>
          <w:szCs w:val="24"/>
        </w:rPr>
        <w:t xml:space="preserve">, ho: there is no significant difference in the </w:t>
      </w:r>
      <w:r w:rsidR="00B97820">
        <w:rPr>
          <w:rFonts w:cs="Times New Roman"/>
          <w:szCs w:val="24"/>
        </w:rPr>
        <w:t>mean</w:t>
      </w:r>
      <w:r w:rsidRPr="00DA0845">
        <w:rPr>
          <w:rFonts w:cs="Times New Roman"/>
          <w:szCs w:val="24"/>
        </w:rPr>
        <w:t xml:space="preserve"> fat intake before and after </w:t>
      </w:r>
      <w:r w:rsidR="00B97820">
        <w:rPr>
          <w:rFonts w:cs="Times New Roman"/>
          <w:szCs w:val="24"/>
        </w:rPr>
        <w:t xml:space="preserve">the </w:t>
      </w:r>
      <w:r w:rsidRPr="00DA0845">
        <w:rPr>
          <w:rFonts w:cs="Times New Roman"/>
          <w:szCs w:val="24"/>
        </w:rPr>
        <w:t xml:space="preserve">Nutrition education program. </w:t>
      </w:r>
      <w:r w:rsidR="00C05868">
        <w:rPr>
          <w:rFonts w:cs="Times New Roman"/>
          <w:szCs w:val="24"/>
        </w:rPr>
        <w:t>In this case,</w:t>
      </w:r>
      <w:r w:rsidRPr="00DA0845">
        <w:rPr>
          <w:rFonts w:cs="Times New Roman"/>
          <w:szCs w:val="24"/>
        </w:rPr>
        <w:t xml:space="preserve"> u1 – u2 = 0. </w:t>
      </w:r>
    </w:p>
    <w:p w14:paraId="52F953E8" w14:textId="10A64CF3" w:rsidR="00ED64D7" w:rsidRPr="00DA0845" w:rsidRDefault="00ED64D7" w:rsidP="008F1478">
      <w:pPr>
        <w:spacing w:line="240" w:lineRule="auto"/>
        <w:jc w:val="both"/>
        <w:rPr>
          <w:rFonts w:cs="Times New Roman"/>
          <w:szCs w:val="24"/>
        </w:rPr>
      </w:pPr>
      <w:r w:rsidRPr="00DA0845">
        <w:rPr>
          <w:rFonts w:cs="Times New Roman"/>
          <w:b/>
          <w:szCs w:val="24"/>
        </w:rPr>
        <w:t>Alternative hypothesis</w:t>
      </w:r>
      <w:r w:rsidRPr="00DA0845">
        <w:rPr>
          <w:rFonts w:cs="Times New Roman"/>
          <w:szCs w:val="24"/>
        </w:rPr>
        <w:t xml:space="preserve">, h1: the </w:t>
      </w:r>
      <w:r w:rsidR="00C05868">
        <w:rPr>
          <w:rFonts w:cs="Times New Roman"/>
          <w:szCs w:val="24"/>
        </w:rPr>
        <w:t>mean</w:t>
      </w:r>
      <w:r w:rsidRPr="00DA0845">
        <w:rPr>
          <w:rFonts w:cs="Times New Roman"/>
          <w:szCs w:val="24"/>
        </w:rPr>
        <w:t xml:space="preserve"> fat intake before </w:t>
      </w:r>
      <w:r w:rsidR="00C05868">
        <w:rPr>
          <w:rFonts w:cs="Times New Roman"/>
          <w:szCs w:val="24"/>
        </w:rPr>
        <w:t xml:space="preserve">the </w:t>
      </w:r>
      <w:r w:rsidRPr="00DA0845">
        <w:rPr>
          <w:rFonts w:cs="Times New Roman"/>
          <w:szCs w:val="24"/>
        </w:rPr>
        <w:t>Nutrition education program is more than th</w:t>
      </w:r>
      <w:r w:rsidR="00875AA0">
        <w:rPr>
          <w:rFonts w:cs="Times New Roman"/>
          <w:szCs w:val="24"/>
        </w:rPr>
        <w:t>e mean fat intake</w:t>
      </w:r>
      <w:r w:rsidRPr="00DA0845">
        <w:rPr>
          <w:rFonts w:cs="Times New Roman"/>
          <w:szCs w:val="24"/>
        </w:rPr>
        <w:t xml:space="preserve"> after Nutrition education program. That is u1 &gt; u2.</w:t>
      </w:r>
    </w:p>
    <w:p w14:paraId="4214D4B5" w14:textId="4946B554" w:rsidR="00ED64D7" w:rsidRPr="00DA0845" w:rsidRDefault="00875AA0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Therefore</w:t>
      </w:r>
      <w:r w:rsidR="00910883" w:rsidRPr="00DA0845">
        <w:rPr>
          <w:rFonts w:cs="Times New Roman"/>
          <w:szCs w:val="24"/>
        </w:rPr>
        <w:t xml:space="preserve">, </w:t>
      </w:r>
      <w:r w:rsidR="00910883" w:rsidRPr="00DA0845">
        <w:rPr>
          <w:rFonts w:cs="Times New Roman"/>
          <w:szCs w:val="24"/>
        </w:rPr>
        <w:tab/>
      </w:r>
      <w:r w:rsidR="00ED64D7" w:rsidRPr="00DA0845">
        <w:rPr>
          <w:rFonts w:cs="Times New Roman"/>
          <w:szCs w:val="24"/>
        </w:rPr>
        <w:t xml:space="preserve">U1 is the </w:t>
      </w:r>
      <w:r>
        <w:rPr>
          <w:rFonts w:cs="Times New Roman"/>
          <w:szCs w:val="24"/>
        </w:rPr>
        <w:t>mean</w:t>
      </w:r>
      <w:r w:rsidR="00ED64D7" w:rsidRPr="00DA0845">
        <w:rPr>
          <w:rFonts w:cs="Times New Roman"/>
          <w:szCs w:val="24"/>
        </w:rPr>
        <w:t xml:space="preserve"> fat intake before Nutrition education program</w:t>
      </w:r>
      <w:r>
        <w:rPr>
          <w:rFonts w:cs="Times New Roman"/>
          <w:szCs w:val="24"/>
        </w:rPr>
        <w:t>, and</w:t>
      </w:r>
    </w:p>
    <w:p w14:paraId="3430F880" w14:textId="4A77D8FD" w:rsidR="00ED64D7" w:rsidRPr="00DA0845" w:rsidRDefault="00ED64D7" w:rsidP="008F1478">
      <w:pPr>
        <w:spacing w:line="240" w:lineRule="auto"/>
        <w:ind w:firstLine="720"/>
        <w:jc w:val="both"/>
        <w:rPr>
          <w:rFonts w:cs="Times New Roman"/>
          <w:szCs w:val="24"/>
        </w:rPr>
      </w:pPr>
      <w:r w:rsidRPr="00DA0845">
        <w:rPr>
          <w:rFonts w:cs="Times New Roman"/>
          <w:szCs w:val="24"/>
        </w:rPr>
        <w:lastRenderedPageBreak/>
        <w:t xml:space="preserve">U2 is the </w:t>
      </w:r>
      <w:r w:rsidR="00875AA0">
        <w:rPr>
          <w:rFonts w:cs="Times New Roman"/>
          <w:szCs w:val="24"/>
        </w:rPr>
        <w:t>mean</w:t>
      </w:r>
      <w:r w:rsidRPr="00DA0845">
        <w:rPr>
          <w:rFonts w:cs="Times New Roman"/>
          <w:szCs w:val="24"/>
        </w:rPr>
        <w:t xml:space="preserve"> fat intake after</w:t>
      </w:r>
      <w:r w:rsidR="00875AA0">
        <w:rPr>
          <w:rFonts w:cs="Times New Roman"/>
          <w:szCs w:val="24"/>
        </w:rPr>
        <w:t xml:space="preserve"> the</w:t>
      </w:r>
      <w:r w:rsidRPr="00DA0845">
        <w:rPr>
          <w:rFonts w:cs="Times New Roman"/>
          <w:szCs w:val="24"/>
        </w:rPr>
        <w:t xml:space="preserve"> Nutrition education program</w:t>
      </w:r>
    </w:p>
    <w:p w14:paraId="55BA0AAF" w14:textId="1CD3CDB8" w:rsidR="00ED64D7" w:rsidRDefault="00F4359D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bCs/>
          <w:szCs w:val="24"/>
        </w:rPr>
        <w:t xml:space="preserve">The </w:t>
      </w:r>
      <w:r w:rsidR="00ED64D7" w:rsidRPr="00DA0845">
        <w:rPr>
          <w:rFonts w:cs="Times New Roman"/>
          <w:b/>
          <w:szCs w:val="24"/>
        </w:rPr>
        <w:t>Level of significance</w:t>
      </w:r>
      <w:r w:rsidR="00ED64D7" w:rsidRPr="00DA0845">
        <w:rPr>
          <w:rFonts w:cs="Times New Roman"/>
          <w:szCs w:val="24"/>
        </w:rPr>
        <w:t>, alpha = 0.0</w:t>
      </w:r>
      <w:r>
        <w:rPr>
          <w:rFonts w:cs="Times New Roman"/>
          <w:szCs w:val="24"/>
        </w:rPr>
        <w:t>5, implying</w:t>
      </w:r>
      <w:r w:rsidR="00ED64D7" w:rsidRPr="00DA084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that</w:t>
      </w:r>
      <w:r w:rsidR="00ED64D7" w:rsidRPr="00DA0845">
        <w:rPr>
          <w:rFonts w:cs="Times New Roman"/>
          <w:szCs w:val="24"/>
        </w:rPr>
        <w:t xml:space="preserve"> I am 95% confident about my results.</w:t>
      </w:r>
    </w:p>
    <w:p w14:paraId="0487BE0D" w14:textId="2197E82F" w:rsidR="00EB0EE2" w:rsidRPr="00F6401E" w:rsidRDefault="00EB0EE2" w:rsidP="008F1478">
      <w:pPr>
        <w:spacing w:line="240" w:lineRule="auto"/>
        <w:jc w:val="both"/>
        <w:rPr>
          <w:rFonts w:cs="Times New Roman"/>
          <w:b/>
          <w:bCs/>
          <w:szCs w:val="24"/>
          <w:u w:val="single"/>
        </w:rPr>
      </w:pPr>
      <w:r w:rsidRPr="00F6401E">
        <w:rPr>
          <w:rFonts w:cs="Times New Roman"/>
          <w:b/>
          <w:bCs/>
          <w:szCs w:val="24"/>
          <w:u w:val="single"/>
        </w:rPr>
        <w:t>Z-test results:</w:t>
      </w:r>
    </w:p>
    <w:tbl>
      <w:tblPr>
        <w:tblW w:w="8298" w:type="dxa"/>
        <w:tblLook w:val="04A0" w:firstRow="1" w:lastRow="0" w:firstColumn="1" w:lastColumn="0" w:noHBand="0" w:noVBand="1"/>
      </w:tblPr>
      <w:tblGrid>
        <w:gridCol w:w="4040"/>
        <w:gridCol w:w="2129"/>
        <w:gridCol w:w="2129"/>
      </w:tblGrid>
      <w:tr w:rsidR="00B47F67" w:rsidRPr="00B47F67" w14:paraId="405E318E" w14:textId="77777777" w:rsidTr="00FD568D">
        <w:trPr>
          <w:trHeight w:val="231"/>
        </w:trPr>
        <w:tc>
          <w:tcPr>
            <w:tcW w:w="40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A234" w14:textId="77777777" w:rsidR="003973C7" w:rsidRPr="00B47F67" w:rsidRDefault="003973C7" w:rsidP="008F1478">
            <w:pPr>
              <w:spacing w:line="240" w:lineRule="auto"/>
              <w:jc w:val="center"/>
              <w:rPr>
                <w:rFonts w:cs="Times New Roman"/>
                <w:i/>
                <w:iCs/>
                <w:szCs w:val="24"/>
              </w:rPr>
            </w:pPr>
            <w:r w:rsidRPr="00B47F67">
              <w:rPr>
                <w:rFonts w:cs="Times New Roman"/>
                <w:i/>
                <w:iCs/>
                <w:szCs w:val="24"/>
              </w:rPr>
              <w:t> 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1998D" w14:textId="77777777" w:rsidR="003973C7" w:rsidRPr="00B47F67" w:rsidRDefault="003973C7" w:rsidP="008F1478">
            <w:pPr>
              <w:spacing w:line="240" w:lineRule="auto"/>
              <w:jc w:val="center"/>
              <w:rPr>
                <w:rFonts w:cs="Times New Roman"/>
                <w:i/>
                <w:iCs/>
                <w:szCs w:val="24"/>
              </w:rPr>
            </w:pPr>
            <w:proofErr w:type="spellStart"/>
            <w:r w:rsidRPr="00B47F67">
              <w:rPr>
                <w:rFonts w:cs="Times New Roman"/>
                <w:i/>
                <w:iCs/>
                <w:szCs w:val="24"/>
              </w:rPr>
              <w:t>TotFat</w:t>
            </w:r>
            <w:proofErr w:type="spellEnd"/>
            <w:r w:rsidRPr="00B47F67">
              <w:rPr>
                <w:rFonts w:cs="Times New Roman"/>
                <w:i/>
                <w:iCs/>
                <w:szCs w:val="24"/>
              </w:rPr>
              <w:t xml:space="preserve"> 1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CAF4E" w14:textId="77777777" w:rsidR="003973C7" w:rsidRPr="00B47F67" w:rsidRDefault="003973C7" w:rsidP="008F1478">
            <w:pPr>
              <w:spacing w:line="240" w:lineRule="auto"/>
              <w:jc w:val="center"/>
              <w:rPr>
                <w:rFonts w:cs="Times New Roman"/>
                <w:i/>
                <w:iCs/>
                <w:szCs w:val="24"/>
              </w:rPr>
            </w:pPr>
            <w:proofErr w:type="spellStart"/>
            <w:r w:rsidRPr="00B47F67">
              <w:rPr>
                <w:rFonts w:cs="Times New Roman"/>
                <w:i/>
                <w:iCs/>
                <w:szCs w:val="24"/>
              </w:rPr>
              <w:t>TotFat</w:t>
            </w:r>
            <w:proofErr w:type="spellEnd"/>
            <w:r w:rsidRPr="00B47F67">
              <w:rPr>
                <w:rFonts w:cs="Times New Roman"/>
                <w:i/>
                <w:iCs/>
                <w:szCs w:val="24"/>
              </w:rPr>
              <w:t xml:space="preserve"> 2</w:t>
            </w:r>
          </w:p>
        </w:tc>
      </w:tr>
      <w:tr w:rsidR="00B47F67" w:rsidRPr="00B47F67" w14:paraId="0D3E1FC0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F5EA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Mean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1057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66.06601013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96AC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40.82237594</w:t>
            </w:r>
          </w:p>
        </w:tc>
      </w:tr>
      <w:tr w:rsidR="00B47F67" w:rsidRPr="00B47F67" w14:paraId="280E7179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C55E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Known Variance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7EF8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988.736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9F13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423.396</w:t>
            </w:r>
          </w:p>
        </w:tc>
      </w:tr>
      <w:tr w:rsidR="00B47F67" w:rsidRPr="00B47F67" w14:paraId="1271ECDC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F311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Observations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B148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66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1CC1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66</w:t>
            </w:r>
          </w:p>
        </w:tc>
      </w:tr>
      <w:tr w:rsidR="00B47F67" w:rsidRPr="00B47F67" w14:paraId="5D7ACDCF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781C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Hypothesized Mean Difference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88E2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0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4794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</w:p>
        </w:tc>
      </w:tr>
      <w:tr w:rsidR="00B47F67" w:rsidRPr="00B47F67" w14:paraId="5D00C4A0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5E42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z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DE91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5.457405176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63A7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</w:p>
        </w:tc>
      </w:tr>
      <w:tr w:rsidR="00B47F67" w:rsidRPr="00B47F67" w14:paraId="3FA5984F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087E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P(Z&lt;=z) one-tail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7F7F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2.41572E-08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0E0B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</w:p>
        </w:tc>
      </w:tr>
      <w:tr w:rsidR="00B47F67" w:rsidRPr="00B47F67" w14:paraId="46487F96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E025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z Critical one-tail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D64A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1.644853627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AF78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</w:p>
        </w:tc>
      </w:tr>
      <w:tr w:rsidR="00B47F67" w:rsidRPr="00B47F67" w14:paraId="50FA2F56" w14:textId="77777777" w:rsidTr="00FD568D">
        <w:trPr>
          <w:trHeight w:val="231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7408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P(Z&lt;=z) two-tail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4F3E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4.83143E-08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CC6D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</w:p>
        </w:tc>
      </w:tr>
      <w:tr w:rsidR="00B47F67" w:rsidRPr="00B47F67" w14:paraId="616A79C3" w14:textId="77777777" w:rsidTr="00FD568D">
        <w:trPr>
          <w:trHeight w:val="245"/>
        </w:trPr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6E9DC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z Critical two-tail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65AD1" w14:textId="77777777" w:rsidR="003973C7" w:rsidRPr="00B47F67" w:rsidRDefault="003973C7" w:rsidP="008F1478">
            <w:pPr>
              <w:spacing w:line="240" w:lineRule="auto"/>
              <w:jc w:val="right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1.959963985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6B8C1" w14:textId="77777777" w:rsidR="003973C7" w:rsidRPr="00B47F67" w:rsidRDefault="003973C7" w:rsidP="008F1478">
            <w:pPr>
              <w:spacing w:line="240" w:lineRule="auto"/>
              <w:rPr>
                <w:rFonts w:cs="Times New Roman"/>
                <w:szCs w:val="24"/>
              </w:rPr>
            </w:pPr>
            <w:r w:rsidRPr="00B47F67">
              <w:rPr>
                <w:rFonts w:cs="Times New Roman"/>
                <w:szCs w:val="24"/>
              </w:rPr>
              <w:t> </w:t>
            </w:r>
          </w:p>
        </w:tc>
      </w:tr>
    </w:tbl>
    <w:p w14:paraId="61FB9B4A" w14:textId="77777777" w:rsidR="00893301" w:rsidRDefault="00893301" w:rsidP="008F1478">
      <w:pPr>
        <w:spacing w:line="240" w:lineRule="auto"/>
        <w:ind w:firstLine="720"/>
        <w:jc w:val="both"/>
        <w:rPr>
          <w:rFonts w:cs="Times New Roman"/>
          <w:b/>
        </w:rPr>
      </w:pPr>
    </w:p>
    <w:p w14:paraId="2E6AB537" w14:textId="77777777" w:rsidR="00F25DCD" w:rsidRDefault="00910883" w:rsidP="00F25DCD">
      <w:pPr>
        <w:spacing w:line="240" w:lineRule="auto"/>
        <w:ind w:firstLine="720"/>
        <w:jc w:val="both"/>
      </w:pPr>
      <w:r w:rsidRPr="00DA0845">
        <w:rPr>
          <w:rFonts w:cs="Times New Roman"/>
          <w:b/>
        </w:rPr>
        <w:t>Conclusion</w:t>
      </w:r>
      <w:r w:rsidR="00F615A5">
        <w:rPr>
          <w:rFonts w:cs="Times New Roman"/>
        </w:rPr>
        <w:t xml:space="preserve">. </w:t>
      </w:r>
      <w:r w:rsidR="00ED64D7" w:rsidRPr="00DA0845">
        <w:rPr>
          <w:rFonts w:cs="Times New Roman"/>
        </w:rPr>
        <w:t xml:space="preserve">With z = </w:t>
      </w:r>
      <w:r w:rsidR="00F615A5">
        <w:rPr>
          <w:rFonts w:cs="Times New Roman"/>
        </w:rPr>
        <w:t>5.4574</w:t>
      </w:r>
      <w:r w:rsidR="00ED64D7" w:rsidRPr="00DA0845">
        <w:rPr>
          <w:rFonts w:cs="Times New Roman"/>
        </w:rPr>
        <w:t xml:space="preserve"> and p-value </w:t>
      </w:r>
      <w:r w:rsidR="00F615A5">
        <w:rPr>
          <w:rFonts w:cs="Times New Roman"/>
        </w:rPr>
        <w:t>smaller than alpha (</w:t>
      </w:r>
      <w:r w:rsidR="00ED64D7" w:rsidRPr="00DA0845">
        <w:rPr>
          <w:rFonts w:cs="Times New Roman"/>
        </w:rPr>
        <w:t>0.05</w:t>
      </w:r>
      <w:r w:rsidR="00F615A5">
        <w:rPr>
          <w:rFonts w:cs="Times New Roman"/>
        </w:rPr>
        <w:t xml:space="preserve">), we </w:t>
      </w:r>
      <w:r w:rsidR="00ED64D7" w:rsidRPr="00DA0845">
        <w:rPr>
          <w:rFonts w:cs="Times New Roman"/>
        </w:rPr>
        <w:t xml:space="preserve">reject </w:t>
      </w:r>
      <w:r w:rsidR="00F615A5">
        <w:rPr>
          <w:rFonts w:cs="Times New Roman"/>
        </w:rPr>
        <w:t xml:space="preserve">the null hypothesis, </w:t>
      </w:r>
      <w:r w:rsidR="00ED64D7" w:rsidRPr="00DA0845">
        <w:rPr>
          <w:rFonts w:cs="Times New Roman"/>
        </w:rPr>
        <w:t xml:space="preserve">ho at 5% level of significance and conclude that the </w:t>
      </w:r>
      <w:r w:rsidR="00F615A5">
        <w:rPr>
          <w:rFonts w:cs="Times New Roman"/>
        </w:rPr>
        <w:t>mean</w:t>
      </w:r>
      <w:r w:rsidR="00ED64D7" w:rsidRPr="00DA0845">
        <w:rPr>
          <w:rFonts w:cs="Times New Roman"/>
        </w:rPr>
        <w:t xml:space="preserve"> fat intake before </w:t>
      </w:r>
      <w:r w:rsidR="00F615A5">
        <w:rPr>
          <w:rFonts w:cs="Times New Roman"/>
        </w:rPr>
        <w:t xml:space="preserve">the </w:t>
      </w:r>
      <w:r w:rsidR="00ED64D7" w:rsidRPr="00DA0845">
        <w:rPr>
          <w:rFonts w:cs="Times New Roman"/>
        </w:rPr>
        <w:t xml:space="preserve">Nutrition education program is more than </w:t>
      </w:r>
      <w:r w:rsidR="00F615A5">
        <w:rPr>
          <w:rFonts w:cs="Times New Roman"/>
        </w:rPr>
        <w:t>the mean fat intake</w:t>
      </w:r>
      <w:r w:rsidR="00ED64D7" w:rsidRPr="00DA0845">
        <w:rPr>
          <w:rFonts w:cs="Times New Roman"/>
        </w:rPr>
        <w:t xml:space="preserve"> after Nutrition education program. That is u1 &gt; u2.</w:t>
      </w:r>
    </w:p>
    <w:p w14:paraId="3D423E3B" w14:textId="56163E8E" w:rsidR="00CA1816" w:rsidRPr="00F25DCD" w:rsidRDefault="00DB15DE" w:rsidP="00F25DCD">
      <w:pPr>
        <w:spacing w:line="240" w:lineRule="auto"/>
        <w:jc w:val="both"/>
        <w:rPr>
          <w:rFonts w:cs="Times New Roman"/>
        </w:rPr>
      </w:pPr>
      <w:r w:rsidRPr="00175FD4">
        <w:rPr>
          <w:rFonts w:cs="Times New Roman"/>
          <w:b/>
          <w:szCs w:val="24"/>
          <w:u w:val="single"/>
        </w:rPr>
        <w:t>b)</w:t>
      </w:r>
    </w:p>
    <w:p w14:paraId="315A2883" w14:textId="78C2A646" w:rsidR="00DB15DE" w:rsidRDefault="0058301D" w:rsidP="008F1478">
      <w:pPr>
        <w:spacing w:line="240" w:lineRule="auto"/>
        <w:jc w:val="both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 xml:space="preserve">Impact of </w:t>
      </w:r>
      <w:r w:rsidR="00DB15DE" w:rsidRPr="00175FD4">
        <w:rPr>
          <w:rFonts w:cs="Times New Roman"/>
          <w:b/>
          <w:szCs w:val="24"/>
          <w:u w:val="single"/>
        </w:rPr>
        <w:t xml:space="preserve">Age </w:t>
      </w:r>
      <w:r>
        <w:rPr>
          <w:rFonts w:cs="Times New Roman"/>
          <w:b/>
          <w:szCs w:val="24"/>
          <w:u w:val="single"/>
        </w:rPr>
        <w:t>o</w:t>
      </w:r>
      <w:r w:rsidR="00D046C4">
        <w:rPr>
          <w:rFonts w:cs="Times New Roman"/>
          <w:b/>
          <w:szCs w:val="24"/>
          <w:u w:val="single"/>
        </w:rPr>
        <w:t>n Fat Intake</w:t>
      </w:r>
      <w:r w:rsidR="00DB15DE" w:rsidRPr="00175FD4">
        <w:rPr>
          <w:rFonts w:cs="Times New Roman"/>
          <w:b/>
          <w:color w:val="000000"/>
          <w:szCs w:val="24"/>
          <w:u w:val="single"/>
          <w:shd w:val="clear" w:color="auto" w:fill="F8FEFF"/>
        </w:rPr>
        <w:t xml:space="preserve"> </w:t>
      </w:r>
      <w:r w:rsidR="00DB15DE" w:rsidRPr="00175FD4">
        <w:rPr>
          <w:rFonts w:cs="Times New Roman"/>
          <w:b/>
          <w:szCs w:val="24"/>
          <w:u w:val="single"/>
        </w:rPr>
        <w:t>reduction</w:t>
      </w:r>
      <w:r w:rsidR="00D046C4">
        <w:rPr>
          <w:rFonts w:cs="Times New Roman"/>
          <w:b/>
          <w:szCs w:val="24"/>
          <w:u w:val="single"/>
        </w:rPr>
        <w:t xml:space="preserve"> and Calories from Fat reduction</w:t>
      </w:r>
    </w:p>
    <w:p w14:paraId="5E71D2D3" w14:textId="1DD7B93A" w:rsidR="0006477E" w:rsidRPr="0074002F" w:rsidRDefault="0006477E" w:rsidP="008F1478">
      <w:pPr>
        <w:spacing w:line="240" w:lineRule="auto"/>
        <w:jc w:val="both"/>
        <w:rPr>
          <w:rFonts w:cs="Times New Roman"/>
          <w:bCs/>
          <w:szCs w:val="24"/>
          <w:u w:val="single"/>
        </w:rPr>
      </w:pPr>
      <w:r w:rsidRPr="0074002F">
        <w:rPr>
          <w:rFonts w:cs="Times New Roman"/>
          <w:bCs/>
          <w:szCs w:val="24"/>
          <w:u w:val="single"/>
        </w:rPr>
        <w:t>Fat Intake Reduction</w:t>
      </w:r>
      <w:r w:rsidR="001A2AFD" w:rsidRPr="0074002F">
        <w:rPr>
          <w:rFonts w:cs="Times New Roman"/>
          <w:bCs/>
          <w:szCs w:val="24"/>
          <w:u w:val="single"/>
        </w:rPr>
        <w:t>:</w:t>
      </w:r>
    </w:p>
    <w:p w14:paraId="6AD10394" w14:textId="25237C71" w:rsidR="00DB15DE" w:rsidRPr="00E96575" w:rsidRDefault="00175FD4" w:rsidP="008F1478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Null hypothesis</w:t>
      </w:r>
      <w:r>
        <w:rPr>
          <w:rFonts w:cs="Times New Roman"/>
          <w:szCs w:val="24"/>
        </w:rPr>
        <w:t xml:space="preserve">, </w:t>
      </w:r>
      <w:r w:rsidR="00DB15DE" w:rsidRPr="00E96575">
        <w:rPr>
          <w:rFonts w:cs="Times New Roman"/>
          <w:szCs w:val="24"/>
        </w:rPr>
        <w:t xml:space="preserve">Ho: </w:t>
      </w:r>
      <w:r w:rsidR="0058301D">
        <w:rPr>
          <w:rFonts w:cs="Times New Roman"/>
          <w:szCs w:val="24"/>
        </w:rPr>
        <w:t xml:space="preserve">No </w:t>
      </w:r>
      <w:r w:rsidR="00DB15DE" w:rsidRPr="00E96575">
        <w:rPr>
          <w:rFonts w:cs="Times New Roman"/>
          <w:szCs w:val="24"/>
        </w:rPr>
        <w:t>significant linear relationship</w:t>
      </w:r>
      <w:r w:rsidR="0058301D">
        <w:rPr>
          <w:rFonts w:cs="Times New Roman"/>
          <w:szCs w:val="24"/>
        </w:rPr>
        <w:t xml:space="preserve"> exists</w:t>
      </w:r>
      <w:r w:rsidR="00DB15DE" w:rsidRPr="00E96575">
        <w:rPr>
          <w:rFonts w:cs="Times New Roman"/>
          <w:szCs w:val="24"/>
        </w:rPr>
        <w:t xml:space="preserve"> between age an</w:t>
      </w:r>
      <w:r w:rsidR="00CE0AF6">
        <w:rPr>
          <w:rFonts w:cs="Times New Roman"/>
          <w:szCs w:val="24"/>
        </w:rPr>
        <w:t>d fat intake reduction</w:t>
      </w:r>
      <w:r w:rsidR="00F10DFF">
        <w:rPr>
          <w:rFonts w:cs="Times New Roman"/>
          <w:szCs w:val="24"/>
        </w:rPr>
        <w:t>.</w:t>
      </w:r>
    </w:p>
    <w:p w14:paraId="6F83245F" w14:textId="4906D249" w:rsidR="00DB15DE" w:rsidRPr="00E96575" w:rsidRDefault="00175FD4" w:rsidP="008F1478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Alternative hypothesis</w:t>
      </w:r>
      <w:r>
        <w:rPr>
          <w:rFonts w:cs="Times New Roman"/>
          <w:szCs w:val="24"/>
        </w:rPr>
        <w:t xml:space="preserve">, </w:t>
      </w:r>
      <w:r w:rsidR="00DB15DE" w:rsidRPr="00E96575">
        <w:rPr>
          <w:rFonts w:cs="Times New Roman"/>
          <w:szCs w:val="24"/>
        </w:rPr>
        <w:t>H</w:t>
      </w:r>
      <w:r w:rsidR="00DB15DE" w:rsidRPr="0029134F">
        <w:rPr>
          <w:rFonts w:cs="Times New Roman"/>
          <w:szCs w:val="24"/>
          <w:vertAlign w:val="subscript"/>
        </w:rPr>
        <w:t>1</w:t>
      </w:r>
      <w:r w:rsidR="00DB15DE" w:rsidRPr="00E96575">
        <w:rPr>
          <w:rFonts w:cs="Times New Roman"/>
          <w:szCs w:val="24"/>
        </w:rPr>
        <w:t>: there is significant linear relationship between age</w:t>
      </w:r>
      <w:r w:rsidR="00CE0AF6">
        <w:rPr>
          <w:rFonts w:cs="Times New Roman"/>
          <w:szCs w:val="24"/>
        </w:rPr>
        <w:t xml:space="preserve"> and</w:t>
      </w:r>
      <w:r w:rsidR="00DB15DE" w:rsidRPr="00E96575">
        <w:rPr>
          <w:rFonts w:cs="Times New Roman"/>
          <w:szCs w:val="24"/>
        </w:rPr>
        <w:t xml:space="preserve"> </w:t>
      </w:r>
      <w:r w:rsidR="00CE0AF6">
        <w:rPr>
          <w:rFonts w:cs="Times New Roman"/>
          <w:szCs w:val="24"/>
        </w:rPr>
        <w:t>fat intake reduction.</w:t>
      </w:r>
    </w:p>
    <w:tbl>
      <w:tblPr>
        <w:tblW w:w="3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1680"/>
      </w:tblGrid>
      <w:tr w:rsidR="00DB15DE" w:rsidRPr="00DB15DE" w14:paraId="6F5DEC1C" w14:textId="77777777" w:rsidTr="0056718A">
        <w:trPr>
          <w:trHeight w:val="255"/>
          <w:jc w:val="center"/>
        </w:trPr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15174806" w14:textId="4E6483F7" w:rsidR="00DB15DE" w:rsidRPr="00DB15DE" w:rsidRDefault="0056718A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r (correlation)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2DD3B" w14:textId="5A4C9073" w:rsidR="00DB15DE" w:rsidRPr="00DB15DE" w:rsidRDefault="00DB15D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0.</w:t>
            </w:r>
            <w:r w:rsidR="00872456">
              <w:rPr>
                <w:rFonts w:eastAsia="Times New Roman" w:cs="Times New Roman"/>
                <w:szCs w:val="24"/>
              </w:rPr>
              <w:t>0248</w:t>
            </w:r>
          </w:p>
        </w:tc>
      </w:tr>
      <w:tr w:rsidR="00DB15DE" w:rsidRPr="00DB15DE" w14:paraId="0EE77885" w14:textId="77777777" w:rsidTr="0056718A">
        <w:trPr>
          <w:trHeight w:val="255"/>
          <w:jc w:val="center"/>
        </w:trPr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0137D98C" w14:textId="600BA5B9" w:rsidR="00DB15DE" w:rsidRPr="00DB15DE" w:rsidRDefault="00DB15D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n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18E93" w14:textId="225097AB" w:rsidR="00DB15DE" w:rsidRPr="00DB15DE" w:rsidRDefault="0029134F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66</w:t>
            </w:r>
          </w:p>
        </w:tc>
      </w:tr>
    </w:tbl>
    <w:p w14:paraId="61074076" w14:textId="77777777" w:rsidR="00DB15DE" w:rsidRPr="00E96575" w:rsidRDefault="00DB15DE" w:rsidP="008F1478">
      <w:pPr>
        <w:spacing w:line="240" w:lineRule="auto"/>
        <w:jc w:val="both"/>
        <w:rPr>
          <w:rFonts w:cs="Times New Roman"/>
          <w:szCs w:val="24"/>
        </w:rPr>
      </w:pPr>
      <w:r w:rsidRPr="00E96575">
        <w:rPr>
          <w:rFonts w:cs="Times New Roman"/>
          <w:szCs w:val="24"/>
        </w:rPr>
        <w:t xml:space="preserve"> </w:t>
      </w:r>
    </w:p>
    <w:p w14:paraId="6E40C6E8" w14:textId="77777777" w:rsidR="00DB15DE" w:rsidRPr="00E96575" w:rsidRDefault="00DB15DE" w:rsidP="008F1478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Test statistic</w:t>
      </w:r>
      <w:r w:rsidRPr="00E96575">
        <w:rPr>
          <w:rFonts w:cs="Times New Roman"/>
          <w:szCs w:val="24"/>
        </w:rPr>
        <w:t>, T = r*sqrt((n-2)/(1-r^2))</w:t>
      </w:r>
    </w:p>
    <w:tbl>
      <w:tblPr>
        <w:tblW w:w="2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80"/>
      </w:tblGrid>
      <w:tr w:rsidR="00DB15DE" w:rsidRPr="00DB15DE" w14:paraId="344BCA03" w14:textId="77777777" w:rsidTr="00DB15DE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B9C88" w14:textId="23FE7232" w:rsidR="00DB15DE" w:rsidRPr="00DB15DE" w:rsidRDefault="00DB15D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t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0D6C3" w14:textId="6698B577" w:rsidR="00DB15DE" w:rsidRPr="00DB15DE" w:rsidRDefault="004B5617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</w:t>
            </w:r>
            <w:r w:rsidR="001D6D44">
              <w:rPr>
                <w:rFonts w:eastAsia="Times New Roman" w:cs="Times New Roman"/>
                <w:szCs w:val="24"/>
              </w:rPr>
              <w:t>1379</w:t>
            </w:r>
          </w:p>
        </w:tc>
      </w:tr>
    </w:tbl>
    <w:p w14:paraId="5A91A064" w14:textId="77777777" w:rsidR="00DB15DE" w:rsidRPr="00E96575" w:rsidRDefault="00DB15DE" w:rsidP="008F1478">
      <w:pPr>
        <w:spacing w:line="240" w:lineRule="auto"/>
        <w:jc w:val="both"/>
        <w:rPr>
          <w:rFonts w:cs="Times New Roman"/>
          <w:szCs w:val="24"/>
        </w:rPr>
      </w:pPr>
    </w:p>
    <w:p w14:paraId="1FC30B39" w14:textId="2B82BD90" w:rsidR="00DB15DE" w:rsidRPr="00E96575" w:rsidRDefault="003A7BD2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The</w:t>
      </w:r>
      <w:r w:rsidR="00DB15DE" w:rsidRPr="00E96575">
        <w:rPr>
          <w:rFonts w:cs="Times New Roman"/>
          <w:szCs w:val="24"/>
        </w:rPr>
        <w:t xml:space="preserve"> Critical value</w:t>
      </w:r>
      <w:r>
        <w:rPr>
          <w:rFonts w:cs="Times New Roman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876"/>
      </w:tblGrid>
      <w:tr w:rsidR="00DB15DE" w:rsidRPr="00E96575" w14:paraId="4D82AB6B" w14:textId="77777777" w:rsidTr="00F16093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925CF5" w14:textId="77777777" w:rsidR="00DB15DE" w:rsidRPr="00E96575" w:rsidRDefault="00DB15D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E96575">
              <w:rPr>
                <w:rFonts w:eastAsia="Times New Roman" w:cs="Times New Roman"/>
                <w:szCs w:val="24"/>
              </w:rPr>
              <w:t>t(a/</w:t>
            </w:r>
            <w:proofErr w:type="gramStart"/>
            <w:r w:rsidRPr="00E96575">
              <w:rPr>
                <w:rFonts w:eastAsia="Times New Roman" w:cs="Times New Roman"/>
                <w:szCs w:val="24"/>
              </w:rPr>
              <w:t>2,n</w:t>
            </w:r>
            <w:proofErr w:type="gramEnd"/>
            <w:r w:rsidRPr="00E96575">
              <w:rPr>
                <w:rFonts w:eastAsia="Times New Roman" w:cs="Times New Roman"/>
                <w:szCs w:val="24"/>
              </w:rPr>
              <w:t>-2) =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04CEE9" w14:textId="0D37D8F4" w:rsidR="00DB15DE" w:rsidRPr="00E96575" w:rsidRDefault="008F4C9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1.9971</w:t>
            </w:r>
          </w:p>
        </w:tc>
      </w:tr>
    </w:tbl>
    <w:p w14:paraId="28F6FB7E" w14:textId="77777777" w:rsidR="00DB15DE" w:rsidRPr="00E96575" w:rsidRDefault="00DB15DE" w:rsidP="008F1478">
      <w:pPr>
        <w:spacing w:line="240" w:lineRule="auto"/>
        <w:jc w:val="both"/>
        <w:rPr>
          <w:rFonts w:cs="Times New Roman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876"/>
      </w:tblGrid>
      <w:tr w:rsidR="00DB15DE" w:rsidRPr="00DB15DE" w14:paraId="7B9A7352" w14:textId="77777777" w:rsidTr="00DB15DE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1ADF86" w14:textId="77777777" w:rsidR="00DB15DE" w:rsidRPr="00DB15DE" w:rsidRDefault="00DB15D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 xml:space="preserve">p-value =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FDEDD8" w14:textId="1D0F5AAB" w:rsidR="00DB15DE" w:rsidRPr="00DB15DE" w:rsidRDefault="00DB15DE" w:rsidP="008F1478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0.</w:t>
            </w:r>
            <w:r w:rsidR="00F35977">
              <w:rPr>
                <w:rFonts w:eastAsia="Times New Roman" w:cs="Times New Roman"/>
                <w:szCs w:val="24"/>
              </w:rPr>
              <w:t>8907</w:t>
            </w:r>
          </w:p>
        </w:tc>
      </w:tr>
    </w:tbl>
    <w:p w14:paraId="6F471ABB" w14:textId="77777777" w:rsidR="00DB15DE" w:rsidRPr="00E96575" w:rsidRDefault="00DB15DE" w:rsidP="008F1478">
      <w:pPr>
        <w:spacing w:line="240" w:lineRule="auto"/>
        <w:jc w:val="both"/>
        <w:rPr>
          <w:rFonts w:cs="Times New Roman"/>
          <w:szCs w:val="24"/>
        </w:rPr>
      </w:pPr>
    </w:p>
    <w:p w14:paraId="4F2F7821" w14:textId="26348799" w:rsidR="00175FD4" w:rsidRDefault="003E61FF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Therefore,</w:t>
      </w:r>
      <w:r w:rsidR="00175FD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</w:t>
      </w:r>
      <w:r w:rsidR="00DB15DE" w:rsidRPr="00E96575">
        <w:rPr>
          <w:rFonts w:cs="Times New Roman"/>
          <w:szCs w:val="24"/>
        </w:rPr>
        <w:t>ith</w:t>
      </w:r>
      <w:r>
        <w:rPr>
          <w:rFonts w:cs="Times New Roman"/>
          <w:szCs w:val="24"/>
        </w:rPr>
        <w:t xml:space="preserve"> a</w:t>
      </w:r>
      <w:r w:rsidR="00DB15DE" w:rsidRPr="00E96575">
        <w:rPr>
          <w:rFonts w:cs="Times New Roman"/>
          <w:szCs w:val="24"/>
        </w:rPr>
        <w:t xml:space="preserve"> t</w:t>
      </w:r>
      <w:r>
        <w:rPr>
          <w:rFonts w:cs="Times New Roman"/>
          <w:szCs w:val="24"/>
        </w:rPr>
        <w:t xml:space="preserve"> value of</w:t>
      </w:r>
      <w:r w:rsidR="00DB15DE" w:rsidRPr="00E96575">
        <w:rPr>
          <w:rFonts w:cs="Times New Roman"/>
          <w:szCs w:val="24"/>
        </w:rPr>
        <w:t xml:space="preserve"> = </w:t>
      </w:r>
      <w:r>
        <w:rPr>
          <w:rFonts w:eastAsia="Times New Roman" w:cs="Times New Roman"/>
          <w:szCs w:val="24"/>
        </w:rPr>
        <w:t>0.</w:t>
      </w:r>
      <w:r w:rsidR="00D40D37">
        <w:rPr>
          <w:rFonts w:eastAsia="Times New Roman" w:cs="Times New Roman"/>
          <w:szCs w:val="24"/>
        </w:rPr>
        <w:t>19</w:t>
      </w:r>
      <w:r w:rsidR="0098401E">
        <w:rPr>
          <w:rFonts w:eastAsia="Times New Roman" w:cs="Times New Roman"/>
          <w:szCs w:val="24"/>
        </w:rPr>
        <w:t>82</w:t>
      </w:r>
      <w:r w:rsidR="00E96575" w:rsidRPr="00E96575">
        <w:rPr>
          <w:rFonts w:eastAsia="Times New Roman" w:cs="Times New Roman"/>
          <w:szCs w:val="24"/>
        </w:rPr>
        <w:t xml:space="preserve"> </w:t>
      </w:r>
      <w:r w:rsidR="00DB15DE" w:rsidRPr="00E96575">
        <w:rPr>
          <w:rFonts w:cs="Times New Roman"/>
          <w:szCs w:val="24"/>
        </w:rPr>
        <w:t xml:space="preserve">and p-value </w:t>
      </w:r>
      <w:r w:rsidR="001578F9">
        <w:rPr>
          <w:rFonts w:cs="Times New Roman"/>
          <w:szCs w:val="24"/>
        </w:rPr>
        <w:t xml:space="preserve">&gt; </w:t>
      </w:r>
      <w:r w:rsidR="00DB15DE" w:rsidRPr="00E96575">
        <w:rPr>
          <w:rFonts w:cs="Times New Roman"/>
          <w:szCs w:val="24"/>
        </w:rPr>
        <w:t xml:space="preserve">0.05, </w:t>
      </w:r>
      <w:r w:rsidR="001578F9">
        <w:rPr>
          <w:rFonts w:cs="Times New Roman"/>
          <w:szCs w:val="24"/>
        </w:rPr>
        <w:t>we</w:t>
      </w:r>
      <w:r w:rsidR="00DB15DE" w:rsidRPr="00E96575">
        <w:rPr>
          <w:rFonts w:cs="Times New Roman"/>
          <w:szCs w:val="24"/>
        </w:rPr>
        <w:t xml:space="preserve"> reject </w:t>
      </w:r>
      <w:r w:rsidR="001578F9">
        <w:rPr>
          <w:rFonts w:cs="Times New Roman"/>
          <w:szCs w:val="24"/>
        </w:rPr>
        <w:t>the null hypothesis</w:t>
      </w:r>
      <w:r w:rsidR="00DB15DE" w:rsidRPr="00E96575">
        <w:rPr>
          <w:rFonts w:cs="Times New Roman"/>
          <w:szCs w:val="24"/>
        </w:rPr>
        <w:t xml:space="preserve"> </w:t>
      </w:r>
      <w:r w:rsidR="00E96575" w:rsidRPr="00E96575">
        <w:rPr>
          <w:rFonts w:cs="Times New Roman"/>
          <w:szCs w:val="24"/>
        </w:rPr>
        <w:t xml:space="preserve">at 5% level of significance </w:t>
      </w:r>
      <w:r w:rsidR="00DB15DE" w:rsidRPr="00E96575">
        <w:rPr>
          <w:rFonts w:cs="Times New Roman"/>
          <w:szCs w:val="24"/>
        </w:rPr>
        <w:t xml:space="preserve">and conclude </w:t>
      </w:r>
      <w:r w:rsidR="00E96575" w:rsidRPr="00E96575">
        <w:rPr>
          <w:rFonts w:cs="Times New Roman"/>
          <w:szCs w:val="24"/>
        </w:rPr>
        <w:t xml:space="preserve">that there is </w:t>
      </w:r>
      <w:r w:rsidR="001578F9">
        <w:rPr>
          <w:rFonts w:cs="Times New Roman"/>
          <w:szCs w:val="24"/>
        </w:rPr>
        <w:t xml:space="preserve">no </w:t>
      </w:r>
      <w:r w:rsidR="00E96575" w:rsidRPr="00E96575">
        <w:rPr>
          <w:rFonts w:cs="Times New Roman"/>
          <w:szCs w:val="24"/>
        </w:rPr>
        <w:t>significant linear relationship between age an</w:t>
      </w:r>
      <w:r w:rsidR="00A726C6">
        <w:rPr>
          <w:rFonts w:cs="Times New Roman"/>
          <w:szCs w:val="24"/>
        </w:rPr>
        <w:t>d Fat Intake reduction</w:t>
      </w:r>
      <w:r w:rsidR="00E96575" w:rsidRPr="00E96575">
        <w:rPr>
          <w:rFonts w:cs="Times New Roman"/>
          <w:szCs w:val="24"/>
        </w:rPr>
        <w:t>.</w:t>
      </w:r>
    </w:p>
    <w:p w14:paraId="4842CDC7" w14:textId="5E4F418B" w:rsidR="0074002F" w:rsidRPr="0074002F" w:rsidRDefault="0074002F" w:rsidP="008F1478">
      <w:pPr>
        <w:spacing w:line="240" w:lineRule="auto"/>
        <w:jc w:val="both"/>
        <w:rPr>
          <w:rFonts w:cs="Times New Roman"/>
          <w:szCs w:val="24"/>
          <w:u w:val="single"/>
        </w:rPr>
      </w:pPr>
      <w:r w:rsidRPr="0074002F">
        <w:rPr>
          <w:rFonts w:cs="Times New Roman"/>
          <w:szCs w:val="24"/>
          <w:u w:val="single"/>
        </w:rPr>
        <w:t>Calories from Fat Reduction:</w:t>
      </w:r>
    </w:p>
    <w:p w14:paraId="63C187E5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Null hypothesis</w:t>
      </w:r>
      <w:r>
        <w:rPr>
          <w:rFonts w:cs="Times New Roman"/>
          <w:szCs w:val="24"/>
        </w:rPr>
        <w:t xml:space="preserve">, </w:t>
      </w:r>
      <w:r w:rsidRPr="00E96575">
        <w:rPr>
          <w:rFonts w:cs="Times New Roman"/>
          <w:szCs w:val="24"/>
        </w:rPr>
        <w:t xml:space="preserve">Ho: </w:t>
      </w:r>
      <w:r>
        <w:rPr>
          <w:rFonts w:cs="Times New Roman"/>
          <w:szCs w:val="24"/>
        </w:rPr>
        <w:t xml:space="preserve">No </w:t>
      </w:r>
      <w:r w:rsidRPr="00E96575">
        <w:rPr>
          <w:rFonts w:cs="Times New Roman"/>
          <w:szCs w:val="24"/>
        </w:rPr>
        <w:t>significant linear relationship</w:t>
      </w:r>
      <w:r>
        <w:rPr>
          <w:rFonts w:cs="Times New Roman"/>
          <w:szCs w:val="24"/>
        </w:rPr>
        <w:t xml:space="preserve"> exists</w:t>
      </w:r>
      <w:r w:rsidRPr="00E96575">
        <w:rPr>
          <w:rFonts w:cs="Times New Roman"/>
          <w:szCs w:val="24"/>
        </w:rPr>
        <w:t xml:space="preserve"> between age an</w:t>
      </w:r>
      <w:r>
        <w:rPr>
          <w:rFonts w:cs="Times New Roman"/>
          <w:szCs w:val="24"/>
        </w:rPr>
        <w:t>d fat intake reduction.</w:t>
      </w:r>
    </w:p>
    <w:p w14:paraId="12875006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Alternative hypothesis</w:t>
      </w:r>
      <w:r>
        <w:rPr>
          <w:rFonts w:cs="Times New Roman"/>
          <w:szCs w:val="24"/>
        </w:rPr>
        <w:t xml:space="preserve">, </w:t>
      </w:r>
      <w:r w:rsidRPr="00E96575">
        <w:rPr>
          <w:rFonts w:cs="Times New Roman"/>
          <w:szCs w:val="24"/>
        </w:rPr>
        <w:t>H</w:t>
      </w:r>
      <w:r w:rsidRPr="0029134F">
        <w:rPr>
          <w:rFonts w:cs="Times New Roman"/>
          <w:szCs w:val="24"/>
          <w:vertAlign w:val="subscript"/>
        </w:rPr>
        <w:t>1</w:t>
      </w:r>
      <w:r w:rsidRPr="00E96575">
        <w:rPr>
          <w:rFonts w:cs="Times New Roman"/>
          <w:szCs w:val="24"/>
        </w:rPr>
        <w:t>: there is significant linear relationship between age</w:t>
      </w:r>
      <w:r>
        <w:rPr>
          <w:rFonts w:cs="Times New Roman"/>
          <w:szCs w:val="24"/>
        </w:rPr>
        <w:t xml:space="preserve"> and</w:t>
      </w:r>
      <w:r w:rsidRPr="00E9657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fat intake reduction.</w:t>
      </w:r>
    </w:p>
    <w:tbl>
      <w:tblPr>
        <w:tblW w:w="3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1680"/>
      </w:tblGrid>
      <w:tr w:rsidR="0074002F" w:rsidRPr="00DB15DE" w14:paraId="3C4C4E62" w14:textId="77777777" w:rsidTr="008535BB">
        <w:trPr>
          <w:trHeight w:val="255"/>
          <w:jc w:val="center"/>
        </w:trPr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6C15B9B0" w14:textId="77777777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r (correlation)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18808" w14:textId="209E703B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0.</w:t>
            </w:r>
            <w:r>
              <w:rPr>
                <w:rFonts w:eastAsia="Times New Roman" w:cs="Times New Roman"/>
                <w:szCs w:val="24"/>
              </w:rPr>
              <w:t>0</w:t>
            </w:r>
            <w:r w:rsidR="00CC7328">
              <w:rPr>
                <w:rFonts w:eastAsia="Times New Roman" w:cs="Times New Roman"/>
                <w:szCs w:val="24"/>
              </w:rPr>
              <w:t>885</w:t>
            </w:r>
          </w:p>
        </w:tc>
      </w:tr>
      <w:tr w:rsidR="0074002F" w:rsidRPr="00DB15DE" w14:paraId="53AD5383" w14:textId="77777777" w:rsidTr="008535BB">
        <w:trPr>
          <w:trHeight w:val="255"/>
          <w:jc w:val="center"/>
        </w:trPr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5667D746" w14:textId="77777777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n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BA71D1" w14:textId="77777777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66</w:t>
            </w:r>
          </w:p>
        </w:tc>
      </w:tr>
    </w:tbl>
    <w:p w14:paraId="3B69BAB5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  <w:r w:rsidRPr="00E96575">
        <w:rPr>
          <w:rFonts w:cs="Times New Roman"/>
          <w:szCs w:val="24"/>
        </w:rPr>
        <w:t xml:space="preserve"> </w:t>
      </w:r>
    </w:p>
    <w:p w14:paraId="622C7DBB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Test statistic</w:t>
      </w:r>
      <w:r w:rsidRPr="00E96575">
        <w:rPr>
          <w:rFonts w:cs="Times New Roman"/>
          <w:szCs w:val="24"/>
        </w:rPr>
        <w:t>, T = r*sqrt((n-2)/(1-r^2))</w:t>
      </w:r>
    </w:p>
    <w:tbl>
      <w:tblPr>
        <w:tblW w:w="2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80"/>
      </w:tblGrid>
      <w:tr w:rsidR="0074002F" w:rsidRPr="00DB15DE" w14:paraId="5A3CC00E" w14:textId="77777777" w:rsidTr="008535B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E04FD0" w14:textId="77777777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t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2D972" w14:textId="20934821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0.</w:t>
            </w:r>
            <w:r w:rsidR="00CC7328">
              <w:rPr>
                <w:rFonts w:eastAsia="Times New Roman" w:cs="Times New Roman"/>
                <w:szCs w:val="24"/>
              </w:rPr>
              <w:t>7107</w:t>
            </w:r>
          </w:p>
        </w:tc>
      </w:tr>
    </w:tbl>
    <w:p w14:paraId="67A0CA86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</w:p>
    <w:p w14:paraId="1E867709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The</w:t>
      </w:r>
      <w:r w:rsidRPr="00E96575">
        <w:rPr>
          <w:rFonts w:cs="Times New Roman"/>
          <w:szCs w:val="24"/>
        </w:rPr>
        <w:t xml:space="preserve"> Critical value</w:t>
      </w:r>
      <w:r>
        <w:rPr>
          <w:rFonts w:cs="Times New Roman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876"/>
      </w:tblGrid>
      <w:tr w:rsidR="0074002F" w:rsidRPr="00E96575" w14:paraId="168CBE6C" w14:textId="77777777" w:rsidTr="008535BB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914D84" w14:textId="77777777" w:rsidR="0074002F" w:rsidRPr="00E96575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E96575">
              <w:rPr>
                <w:rFonts w:eastAsia="Times New Roman" w:cs="Times New Roman"/>
                <w:szCs w:val="24"/>
              </w:rPr>
              <w:t>t(a/</w:t>
            </w:r>
            <w:proofErr w:type="gramStart"/>
            <w:r w:rsidRPr="00E96575">
              <w:rPr>
                <w:rFonts w:eastAsia="Times New Roman" w:cs="Times New Roman"/>
                <w:szCs w:val="24"/>
              </w:rPr>
              <w:t>2,n</w:t>
            </w:r>
            <w:proofErr w:type="gramEnd"/>
            <w:r w:rsidRPr="00E96575">
              <w:rPr>
                <w:rFonts w:eastAsia="Times New Roman" w:cs="Times New Roman"/>
                <w:szCs w:val="24"/>
              </w:rPr>
              <w:t>-2) =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57921B" w14:textId="77777777" w:rsidR="0074002F" w:rsidRPr="00E96575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1.9971</w:t>
            </w:r>
          </w:p>
        </w:tc>
      </w:tr>
    </w:tbl>
    <w:p w14:paraId="3071F9F2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876"/>
      </w:tblGrid>
      <w:tr w:rsidR="0074002F" w:rsidRPr="00DB15DE" w14:paraId="12C705CB" w14:textId="77777777" w:rsidTr="008535BB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8E820C" w14:textId="77777777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 xml:space="preserve">p-value =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1FC4A0" w14:textId="091E3544" w:rsidR="0074002F" w:rsidRPr="00DB15DE" w:rsidRDefault="0074002F" w:rsidP="008535BB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DB15DE">
              <w:rPr>
                <w:rFonts w:eastAsia="Times New Roman" w:cs="Times New Roman"/>
                <w:szCs w:val="24"/>
              </w:rPr>
              <w:t>0.</w:t>
            </w:r>
            <w:r w:rsidR="00407539">
              <w:rPr>
                <w:rFonts w:eastAsia="Times New Roman" w:cs="Times New Roman"/>
                <w:szCs w:val="24"/>
              </w:rPr>
              <w:t>4798</w:t>
            </w:r>
          </w:p>
        </w:tc>
      </w:tr>
    </w:tbl>
    <w:p w14:paraId="78360426" w14:textId="77777777" w:rsidR="0074002F" w:rsidRPr="00E96575" w:rsidRDefault="0074002F" w:rsidP="0074002F">
      <w:pPr>
        <w:spacing w:line="240" w:lineRule="auto"/>
        <w:jc w:val="both"/>
        <w:rPr>
          <w:rFonts w:cs="Times New Roman"/>
          <w:szCs w:val="24"/>
        </w:rPr>
      </w:pPr>
    </w:p>
    <w:p w14:paraId="4B4A29FA" w14:textId="457C009C" w:rsidR="0074002F" w:rsidRDefault="0074002F" w:rsidP="0074002F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Therefore,</w:t>
      </w:r>
      <w:r>
        <w:rPr>
          <w:rFonts w:cs="Times New Roman"/>
          <w:szCs w:val="24"/>
        </w:rPr>
        <w:t xml:space="preserve"> w</w:t>
      </w:r>
      <w:r w:rsidRPr="00E96575">
        <w:rPr>
          <w:rFonts w:cs="Times New Roman"/>
          <w:szCs w:val="24"/>
        </w:rPr>
        <w:t>ith</w:t>
      </w:r>
      <w:r>
        <w:rPr>
          <w:rFonts w:cs="Times New Roman"/>
          <w:szCs w:val="24"/>
        </w:rPr>
        <w:t xml:space="preserve"> a</w:t>
      </w:r>
      <w:r w:rsidRPr="00E96575">
        <w:rPr>
          <w:rFonts w:cs="Times New Roman"/>
          <w:szCs w:val="24"/>
        </w:rPr>
        <w:t xml:space="preserve"> t</w:t>
      </w:r>
      <w:r>
        <w:rPr>
          <w:rFonts w:cs="Times New Roman"/>
          <w:szCs w:val="24"/>
        </w:rPr>
        <w:t xml:space="preserve"> value of</w:t>
      </w:r>
      <w:r w:rsidRPr="00E96575">
        <w:rPr>
          <w:rFonts w:cs="Times New Roman"/>
          <w:szCs w:val="24"/>
        </w:rPr>
        <w:t xml:space="preserve"> = </w:t>
      </w:r>
      <w:r>
        <w:rPr>
          <w:rFonts w:eastAsia="Times New Roman" w:cs="Times New Roman"/>
          <w:szCs w:val="24"/>
        </w:rPr>
        <w:t>0.</w:t>
      </w:r>
      <w:r w:rsidR="004201A5">
        <w:rPr>
          <w:rFonts w:eastAsia="Times New Roman" w:cs="Times New Roman"/>
          <w:szCs w:val="24"/>
        </w:rPr>
        <w:t>7107</w:t>
      </w:r>
      <w:r w:rsidRPr="00E96575">
        <w:rPr>
          <w:rFonts w:eastAsia="Times New Roman" w:cs="Times New Roman"/>
          <w:szCs w:val="24"/>
        </w:rPr>
        <w:t xml:space="preserve"> </w:t>
      </w:r>
      <w:r w:rsidRPr="00E96575">
        <w:rPr>
          <w:rFonts w:cs="Times New Roman"/>
          <w:szCs w:val="24"/>
        </w:rPr>
        <w:t xml:space="preserve">and p-value </w:t>
      </w:r>
      <w:r>
        <w:rPr>
          <w:rFonts w:cs="Times New Roman"/>
          <w:szCs w:val="24"/>
        </w:rPr>
        <w:t xml:space="preserve">&gt; </w:t>
      </w:r>
      <w:r w:rsidRPr="00E96575">
        <w:rPr>
          <w:rFonts w:cs="Times New Roman"/>
          <w:szCs w:val="24"/>
        </w:rPr>
        <w:t xml:space="preserve">0.05, </w:t>
      </w:r>
      <w:r>
        <w:rPr>
          <w:rFonts w:cs="Times New Roman"/>
          <w:szCs w:val="24"/>
        </w:rPr>
        <w:t>we</w:t>
      </w:r>
      <w:r w:rsidRPr="00E96575">
        <w:rPr>
          <w:rFonts w:cs="Times New Roman"/>
          <w:szCs w:val="24"/>
        </w:rPr>
        <w:t xml:space="preserve"> reject </w:t>
      </w:r>
      <w:r>
        <w:rPr>
          <w:rFonts w:cs="Times New Roman"/>
          <w:szCs w:val="24"/>
        </w:rPr>
        <w:t>the null hypothesis</w:t>
      </w:r>
      <w:r w:rsidRPr="00E96575">
        <w:rPr>
          <w:rFonts w:cs="Times New Roman"/>
          <w:szCs w:val="24"/>
        </w:rPr>
        <w:t xml:space="preserve"> at 5% level of significance and conclude that there is </w:t>
      </w:r>
      <w:r>
        <w:rPr>
          <w:rFonts w:cs="Times New Roman"/>
          <w:szCs w:val="24"/>
        </w:rPr>
        <w:t xml:space="preserve">no </w:t>
      </w:r>
      <w:r w:rsidRPr="00E96575">
        <w:rPr>
          <w:rFonts w:cs="Times New Roman"/>
          <w:szCs w:val="24"/>
        </w:rPr>
        <w:t>significant linear relationship between age an</w:t>
      </w:r>
      <w:r>
        <w:rPr>
          <w:rFonts w:cs="Times New Roman"/>
          <w:szCs w:val="24"/>
        </w:rPr>
        <w:t xml:space="preserve">d </w:t>
      </w:r>
      <w:r w:rsidR="00AB3075">
        <w:rPr>
          <w:rFonts w:cs="Times New Roman"/>
          <w:szCs w:val="24"/>
        </w:rPr>
        <w:t xml:space="preserve">Calories from </w:t>
      </w:r>
      <w:r>
        <w:rPr>
          <w:rFonts w:cs="Times New Roman"/>
          <w:szCs w:val="24"/>
        </w:rPr>
        <w:t>Fat reduction</w:t>
      </w:r>
      <w:r w:rsidRPr="00E96575">
        <w:rPr>
          <w:rFonts w:cs="Times New Roman"/>
          <w:szCs w:val="24"/>
        </w:rPr>
        <w:t>.</w:t>
      </w:r>
    </w:p>
    <w:p w14:paraId="21924B1D" w14:textId="77777777" w:rsidR="0074002F" w:rsidRDefault="0074002F" w:rsidP="008F1478">
      <w:pPr>
        <w:spacing w:line="240" w:lineRule="auto"/>
        <w:jc w:val="both"/>
        <w:rPr>
          <w:rFonts w:cs="Times New Roman"/>
          <w:szCs w:val="24"/>
        </w:rPr>
      </w:pPr>
    </w:p>
    <w:p w14:paraId="6B20598F" w14:textId="18ECB480" w:rsidR="00E96575" w:rsidRDefault="00E96575" w:rsidP="008F1478">
      <w:pPr>
        <w:spacing w:line="240" w:lineRule="auto"/>
        <w:jc w:val="both"/>
        <w:rPr>
          <w:rFonts w:cs="Times New Roman"/>
          <w:szCs w:val="24"/>
        </w:rPr>
      </w:pPr>
      <w:r w:rsidRPr="00E96575">
        <w:rPr>
          <w:rFonts w:cs="Times New Roman"/>
          <w:szCs w:val="24"/>
        </w:rPr>
        <w:t xml:space="preserve">The </w:t>
      </w:r>
      <w:r w:rsidRPr="00175FD4">
        <w:rPr>
          <w:rFonts w:cs="Times New Roman"/>
          <w:b/>
          <w:szCs w:val="24"/>
        </w:rPr>
        <w:t>scatter plot</w:t>
      </w:r>
      <w:r w:rsidRPr="00E96575">
        <w:rPr>
          <w:rFonts w:cs="Times New Roman"/>
          <w:szCs w:val="24"/>
        </w:rPr>
        <w:t xml:space="preserve"> for age an</w:t>
      </w:r>
      <w:r w:rsidR="006B1832">
        <w:rPr>
          <w:rFonts w:cs="Times New Roman"/>
          <w:szCs w:val="24"/>
        </w:rPr>
        <w:t xml:space="preserve">d </w:t>
      </w:r>
      <w:r w:rsidR="00804188">
        <w:rPr>
          <w:rFonts w:cs="Times New Roman"/>
          <w:szCs w:val="24"/>
        </w:rPr>
        <w:t xml:space="preserve">reduction in </w:t>
      </w:r>
      <w:r w:rsidR="006B1832">
        <w:rPr>
          <w:rFonts w:cs="Times New Roman"/>
          <w:szCs w:val="24"/>
        </w:rPr>
        <w:t>Fat Intake</w:t>
      </w:r>
      <w:r w:rsidR="00804188">
        <w:rPr>
          <w:rFonts w:cs="Times New Roman"/>
          <w:szCs w:val="24"/>
        </w:rPr>
        <w:t xml:space="preserve"> and Calories from Fat are </w:t>
      </w:r>
      <w:r w:rsidR="00C51150">
        <w:rPr>
          <w:rFonts w:cs="Times New Roman"/>
          <w:szCs w:val="24"/>
        </w:rPr>
        <w:t>as shown</w:t>
      </w:r>
      <w:r w:rsidRPr="00E96575">
        <w:rPr>
          <w:rFonts w:cs="Times New Roman"/>
          <w:szCs w:val="24"/>
        </w:rPr>
        <w:t xml:space="preserve"> </w:t>
      </w:r>
      <w:r w:rsidR="00C51150">
        <w:rPr>
          <w:rFonts w:cs="Times New Roman"/>
          <w:szCs w:val="24"/>
        </w:rPr>
        <w:t xml:space="preserve">in the chart </w:t>
      </w:r>
      <w:r w:rsidRPr="00E96575">
        <w:rPr>
          <w:rFonts w:cs="Times New Roman"/>
          <w:szCs w:val="24"/>
        </w:rPr>
        <w:t>below.</w:t>
      </w:r>
    </w:p>
    <w:p w14:paraId="0798947F" w14:textId="464068B0" w:rsidR="00A726C6" w:rsidRDefault="006836FD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noProof/>
        </w:rPr>
        <w:lastRenderedPageBreak/>
        <w:drawing>
          <wp:inline distT="0" distB="0" distL="0" distR="0" wp14:anchorId="408E5354" wp14:editId="0422A99E">
            <wp:extent cx="4572000" cy="27432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27E55A08-71EA-4106-BC3B-C2CD978D62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FFCFEDB" w14:textId="512F43D5" w:rsidR="00DA5FD9" w:rsidRDefault="00412F71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1D4A15C7" wp14:editId="40D1BB89">
            <wp:extent cx="4572000" cy="27432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89F6CF08-B016-4914-864E-E743378FB5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25DCC2F" w14:textId="4EB1FB98" w:rsidR="00C51150" w:rsidRPr="00E96575" w:rsidRDefault="00C51150" w:rsidP="008F1478">
      <w:pPr>
        <w:spacing w:line="240" w:lineRule="auto"/>
        <w:jc w:val="both"/>
        <w:rPr>
          <w:rFonts w:cs="Times New Roman"/>
          <w:szCs w:val="24"/>
        </w:rPr>
      </w:pPr>
    </w:p>
    <w:p w14:paraId="2FB4C2D5" w14:textId="0B7FE1A8" w:rsidR="000B0F0F" w:rsidRDefault="00E96575" w:rsidP="001329C9">
      <w:pPr>
        <w:spacing w:line="240" w:lineRule="auto"/>
        <w:jc w:val="both"/>
        <w:rPr>
          <w:rFonts w:cs="Times New Roman"/>
          <w:szCs w:val="24"/>
        </w:rPr>
      </w:pPr>
      <w:r w:rsidRPr="00E96575">
        <w:rPr>
          <w:rFonts w:cs="Times New Roman"/>
          <w:szCs w:val="24"/>
        </w:rPr>
        <w:t>The</w:t>
      </w:r>
      <w:r w:rsidR="001C7E42">
        <w:rPr>
          <w:rFonts w:cs="Times New Roman"/>
          <w:szCs w:val="24"/>
        </w:rPr>
        <w:t xml:space="preserve"> scatter-plot </w:t>
      </w:r>
      <w:r w:rsidR="001C7E42" w:rsidRPr="001C7E42">
        <w:rPr>
          <w:rFonts w:cs="Times New Roman"/>
          <w:szCs w:val="24"/>
        </w:rPr>
        <w:t>shows a</w:t>
      </w:r>
      <w:r w:rsidRPr="001C7E42">
        <w:rPr>
          <w:rFonts w:cs="Times New Roman"/>
          <w:szCs w:val="24"/>
        </w:rPr>
        <w:t xml:space="preserve"> weak positive linear relationship </w:t>
      </w:r>
      <w:r w:rsidRPr="00E96575">
        <w:rPr>
          <w:rFonts w:cs="Times New Roman"/>
          <w:szCs w:val="24"/>
        </w:rPr>
        <w:t xml:space="preserve">between age and </w:t>
      </w:r>
      <w:r w:rsidR="0017462A">
        <w:rPr>
          <w:rFonts w:cs="Times New Roman"/>
          <w:szCs w:val="24"/>
        </w:rPr>
        <w:t>reduction in Fat Intake and Calories from Fat</w:t>
      </w:r>
      <w:r>
        <w:rPr>
          <w:rFonts w:cs="Times New Roman"/>
          <w:szCs w:val="24"/>
        </w:rPr>
        <w:t xml:space="preserve">. </w:t>
      </w:r>
      <w:r w:rsidR="00A96B10">
        <w:rPr>
          <w:rFonts w:cs="Times New Roman"/>
          <w:szCs w:val="24"/>
        </w:rPr>
        <w:t>In this case, as</w:t>
      </w:r>
      <w:r>
        <w:rPr>
          <w:rFonts w:cs="Times New Roman"/>
          <w:szCs w:val="24"/>
        </w:rPr>
        <w:t xml:space="preserve"> age increases</w:t>
      </w:r>
      <w:r w:rsidR="00A96B10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the value</w:t>
      </w:r>
      <w:r w:rsidR="0017462A">
        <w:rPr>
          <w:rFonts w:cs="Times New Roman"/>
          <w:szCs w:val="24"/>
        </w:rPr>
        <w:t>s</w:t>
      </w:r>
      <w:r>
        <w:rPr>
          <w:rFonts w:cs="Times New Roman"/>
          <w:szCs w:val="24"/>
        </w:rPr>
        <w:t xml:space="preserve"> </w:t>
      </w:r>
      <w:r w:rsidR="0017462A">
        <w:rPr>
          <w:rFonts w:cs="Times New Roman"/>
          <w:szCs w:val="24"/>
        </w:rPr>
        <w:t xml:space="preserve">for Fat Intake reduction and Calories from Fat </w:t>
      </w:r>
      <w:r w:rsidR="000B0F0F" w:rsidRPr="00E96575">
        <w:rPr>
          <w:rFonts w:cs="Times New Roman"/>
          <w:szCs w:val="24"/>
        </w:rPr>
        <w:t>reduction</w:t>
      </w:r>
      <w:r w:rsidR="000B0F0F">
        <w:rPr>
          <w:rFonts w:cs="Times New Roman"/>
          <w:szCs w:val="24"/>
        </w:rPr>
        <w:t xml:space="preserve"> </w:t>
      </w:r>
      <w:r w:rsidR="00684471">
        <w:rPr>
          <w:rFonts w:cs="Times New Roman"/>
          <w:szCs w:val="24"/>
        </w:rPr>
        <w:t>go</w:t>
      </w:r>
      <w:r w:rsidR="0017462A">
        <w:rPr>
          <w:rFonts w:cs="Times New Roman"/>
          <w:szCs w:val="24"/>
        </w:rPr>
        <w:t xml:space="preserve"> </w:t>
      </w:r>
      <w:r w:rsidR="00684471">
        <w:rPr>
          <w:rFonts w:cs="Times New Roman"/>
          <w:szCs w:val="24"/>
        </w:rPr>
        <w:t>up</w:t>
      </w:r>
      <w:r w:rsidR="000B0F0F">
        <w:rPr>
          <w:rFonts w:cs="Times New Roman"/>
          <w:szCs w:val="24"/>
        </w:rPr>
        <w:t xml:space="preserve"> </w:t>
      </w:r>
      <w:r w:rsidR="00A96B10">
        <w:rPr>
          <w:rFonts w:cs="Times New Roman"/>
          <w:szCs w:val="24"/>
        </w:rPr>
        <w:t>only</w:t>
      </w:r>
      <w:r w:rsidR="000B0F0F">
        <w:rPr>
          <w:rFonts w:cs="Times New Roman"/>
          <w:szCs w:val="24"/>
        </w:rPr>
        <w:t xml:space="preserve"> slightly. </w:t>
      </w:r>
    </w:p>
    <w:p w14:paraId="44A3431D" w14:textId="77777777" w:rsidR="00DB15DE" w:rsidRPr="00175FD4" w:rsidRDefault="00F16D1C" w:rsidP="008F1478">
      <w:pPr>
        <w:spacing w:line="240" w:lineRule="auto"/>
        <w:jc w:val="both"/>
        <w:rPr>
          <w:rFonts w:cs="Times New Roman"/>
          <w:b/>
          <w:szCs w:val="24"/>
          <w:u w:val="single"/>
        </w:rPr>
      </w:pPr>
      <w:r w:rsidRPr="00175FD4">
        <w:rPr>
          <w:rFonts w:cs="Times New Roman"/>
          <w:b/>
          <w:szCs w:val="24"/>
          <w:u w:val="single"/>
        </w:rPr>
        <w:t>c)</w:t>
      </w:r>
    </w:p>
    <w:p w14:paraId="4652924A" w14:textId="06FCB8E3" w:rsidR="0078352F" w:rsidRPr="00175FD4" w:rsidRDefault="0084253C" w:rsidP="008F1478">
      <w:pPr>
        <w:spacing w:line="240" w:lineRule="auto"/>
        <w:jc w:val="both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Fat reduction in males and females</w:t>
      </w:r>
    </w:p>
    <w:p w14:paraId="68C30A28" w14:textId="16CB434B" w:rsidR="0078352F" w:rsidRDefault="00F16D1C" w:rsidP="008F1478">
      <w:pPr>
        <w:spacing w:line="240" w:lineRule="auto"/>
        <w:rPr>
          <w:noProof/>
        </w:rPr>
      </w:pPr>
      <w:r w:rsidRPr="0078352F">
        <w:rPr>
          <w:rFonts w:cs="Times New Roman"/>
          <w:szCs w:val="24"/>
        </w:rPr>
        <w:t>For testing of normality</w:t>
      </w:r>
      <w:r w:rsidR="000F27B6">
        <w:rPr>
          <w:rFonts w:cs="Times New Roman"/>
          <w:szCs w:val="24"/>
        </w:rPr>
        <w:t xml:space="preserve">, we </w:t>
      </w:r>
      <w:r w:rsidRPr="0078352F">
        <w:rPr>
          <w:rFonts w:cs="Times New Roman"/>
          <w:szCs w:val="24"/>
        </w:rPr>
        <w:t xml:space="preserve">consider the histograms of </w:t>
      </w:r>
      <w:r w:rsidR="000F27B6">
        <w:rPr>
          <w:rFonts w:cs="Times New Roman"/>
          <w:szCs w:val="24"/>
        </w:rPr>
        <w:t xml:space="preserve">total </w:t>
      </w:r>
      <w:r w:rsidRPr="0078352F">
        <w:rPr>
          <w:rFonts w:cs="Times New Roman"/>
          <w:szCs w:val="24"/>
        </w:rPr>
        <w:t xml:space="preserve">fat </w:t>
      </w:r>
      <w:r w:rsidR="000F27B6">
        <w:rPr>
          <w:rFonts w:cs="Times New Roman"/>
          <w:szCs w:val="24"/>
        </w:rPr>
        <w:t>intake by males before the program and total fat intake for females after the program</w:t>
      </w:r>
      <w:r w:rsidR="00052EB4">
        <w:rPr>
          <w:rFonts w:cs="Times New Roman"/>
          <w:szCs w:val="24"/>
        </w:rPr>
        <w:t xml:space="preserve">. </w:t>
      </w:r>
    </w:p>
    <w:p w14:paraId="3EDC6299" w14:textId="31133C92" w:rsidR="00FB6A66" w:rsidRDefault="00FB6A66" w:rsidP="008F1478">
      <w:pPr>
        <w:spacing w:line="240" w:lineRule="auto"/>
        <w:rPr>
          <w:noProof/>
        </w:rPr>
      </w:pPr>
      <w:r>
        <w:rPr>
          <w:noProof/>
        </w:rPr>
        <w:lastRenderedPageBreak/>
        <w:drawing>
          <wp:inline distT="0" distB="0" distL="0" distR="0" wp14:anchorId="4A078D2C" wp14:editId="7ED96CD0">
            <wp:extent cx="3933825" cy="2209800"/>
            <wp:effectExtent l="0" t="0" r="9525" b="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04650A1F-6DD5-4FDB-977D-625CE023AF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D69823D" w14:textId="2D284103" w:rsidR="00F16D1C" w:rsidRDefault="00F16D1C" w:rsidP="008F1478">
      <w:pPr>
        <w:spacing w:line="240" w:lineRule="auto"/>
        <w:jc w:val="center"/>
        <w:rPr>
          <w:rFonts w:cs="Times New Roman"/>
          <w:szCs w:val="24"/>
          <w:u w:val="single"/>
        </w:rPr>
      </w:pPr>
    </w:p>
    <w:p w14:paraId="029080AA" w14:textId="07C66C30" w:rsidR="00FB6A66" w:rsidRPr="0078352F" w:rsidRDefault="00516989" w:rsidP="008F1478">
      <w:pPr>
        <w:spacing w:line="240" w:lineRule="auto"/>
        <w:jc w:val="center"/>
        <w:rPr>
          <w:rFonts w:cs="Times New Roman"/>
          <w:szCs w:val="24"/>
          <w:u w:val="single"/>
        </w:rPr>
      </w:pPr>
      <w:r>
        <w:rPr>
          <w:noProof/>
        </w:rPr>
        <w:drawing>
          <wp:inline distT="0" distB="0" distL="0" distR="0" wp14:anchorId="62312362" wp14:editId="4160E020">
            <wp:extent cx="3971925" cy="2295525"/>
            <wp:effectExtent l="0" t="0" r="9525" b="9525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9954F52C-9E2F-48E7-9E7F-FE12BF6CEA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3B6329A" w14:textId="1C9C2446" w:rsidR="00F16D1C" w:rsidRDefault="00F16D1C" w:rsidP="008F1478">
      <w:pPr>
        <w:spacing w:line="240" w:lineRule="auto"/>
        <w:jc w:val="center"/>
      </w:pPr>
    </w:p>
    <w:p w14:paraId="29821896" w14:textId="12E3013D" w:rsidR="00B732EC" w:rsidRPr="008932EF" w:rsidRDefault="009262BD" w:rsidP="008932EF">
      <w:r w:rsidRPr="008932EF">
        <w:t>The</w:t>
      </w:r>
      <w:r w:rsidR="00F16D1C" w:rsidRPr="008932EF">
        <w:t xml:space="preserve"> samples are </w:t>
      </w:r>
      <w:r w:rsidR="00416577" w:rsidRPr="008932EF">
        <w:t xml:space="preserve">skewed to the right, and are </w:t>
      </w:r>
      <w:r w:rsidR="00886A3B" w:rsidRPr="008932EF">
        <w:t xml:space="preserve">not </w:t>
      </w:r>
      <w:r w:rsidR="00F16D1C" w:rsidRPr="008932EF">
        <w:t>normally</w:t>
      </w:r>
      <w:r w:rsidR="001B7743" w:rsidRPr="008932EF">
        <w:t xml:space="preserve"> distributed;</w:t>
      </w:r>
      <w:r w:rsidRPr="008932EF">
        <w:t xml:space="preserve"> therefore</w:t>
      </w:r>
      <w:r w:rsidR="00886A3B" w:rsidRPr="008932EF">
        <w:t>, a</w:t>
      </w:r>
      <w:r w:rsidR="00F16D1C" w:rsidRPr="008932EF">
        <w:t xml:space="preserve"> </w:t>
      </w:r>
      <w:r w:rsidR="00886A3B" w:rsidRPr="008932EF">
        <w:t>non-</w:t>
      </w:r>
      <w:r w:rsidR="00F16D1C" w:rsidRPr="008932EF">
        <w:t>parametric test</w:t>
      </w:r>
      <w:r w:rsidR="005D5A23" w:rsidRPr="008932EF">
        <w:t xml:space="preserve"> will be appropriate.</w:t>
      </w:r>
      <w:r w:rsidR="00F16D1C" w:rsidRPr="008932EF">
        <w:t xml:space="preserve"> </w:t>
      </w:r>
      <w:r w:rsidR="00B732EC" w:rsidRPr="008932EF">
        <w:t xml:space="preserve">The appropriate test will be the </w:t>
      </w:r>
      <w:r w:rsidR="008932EF" w:rsidRPr="008932EF">
        <w:t>Wilcoxon Rank Sum</w:t>
      </w:r>
      <w:r w:rsidR="008932EF">
        <w:t xml:space="preserve"> </w:t>
      </w:r>
      <w:r w:rsidR="00A61953" w:rsidRPr="008932EF">
        <w:t>test</w:t>
      </w:r>
      <w:r w:rsidR="00B732EC" w:rsidRPr="008932EF">
        <w:t>.</w:t>
      </w:r>
      <w:r w:rsidR="00A61953" w:rsidRPr="008932EF">
        <w:t xml:space="preserve"> This test in appropriate in comparing whether there is a difference in the variance for fat reduction between females and males.</w:t>
      </w:r>
    </w:p>
    <w:p w14:paraId="67F0480F" w14:textId="02CE52F5" w:rsidR="0078352F" w:rsidRPr="0078352F" w:rsidRDefault="00B732EC" w:rsidP="008F1478">
      <w:pPr>
        <w:spacing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</w:t>
      </w:r>
      <w:r w:rsidR="0078352F" w:rsidRPr="00175FD4">
        <w:rPr>
          <w:rFonts w:cs="Times New Roman"/>
          <w:b/>
          <w:szCs w:val="24"/>
        </w:rPr>
        <w:t>Null hypothesis</w:t>
      </w:r>
      <w:r w:rsidR="0078352F" w:rsidRPr="0078352F">
        <w:rPr>
          <w:rFonts w:cs="Times New Roman"/>
          <w:szCs w:val="24"/>
        </w:rPr>
        <w:t xml:space="preserve">, </w:t>
      </w:r>
      <w:r w:rsidR="00F16D1C" w:rsidRPr="0078352F">
        <w:rPr>
          <w:rFonts w:cs="Times New Roman"/>
          <w:szCs w:val="24"/>
        </w:rPr>
        <w:t xml:space="preserve">ho: </w:t>
      </w:r>
      <w:r>
        <w:rPr>
          <w:rFonts w:cs="Times New Roman"/>
          <w:szCs w:val="24"/>
        </w:rPr>
        <w:t>T</w:t>
      </w:r>
      <w:r w:rsidR="00F16D1C" w:rsidRPr="0078352F">
        <w:rPr>
          <w:rFonts w:cs="Times New Roman"/>
          <w:szCs w:val="24"/>
        </w:rPr>
        <w:t xml:space="preserve">here is no significant difference in the variances of fat reduction between </w:t>
      </w:r>
      <w:r w:rsidR="000067A5">
        <w:rPr>
          <w:rFonts w:cs="Times New Roman"/>
          <w:szCs w:val="24"/>
        </w:rPr>
        <w:t xml:space="preserve">females and </w:t>
      </w:r>
      <w:r w:rsidR="00F16D1C" w:rsidRPr="0078352F">
        <w:rPr>
          <w:rFonts w:cs="Times New Roman"/>
          <w:szCs w:val="24"/>
        </w:rPr>
        <w:t>males</w:t>
      </w:r>
      <w:r w:rsidR="000067A5">
        <w:rPr>
          <w:rFonts w:cs="Times New Roman"/>
          <w:szCs w:val="24"/>
        </w:rPr>
        <w:t>.</w:t>
      </w:r>
    </w:p>
    <w:p w14:paraId="08095BE4" w14:textId="7BDA4385" w:rsidR="00F16D1C" w:rsidRDefault="0078352F" w:rsidP="008F1478">
      <w:pPr>
        <w:spacing w:line="240" w:lineRule="auto"/>
        <w:jc w:val="both"/>
        <w:rPr>
          <w:rFonts w:cs="Times New Roman"/>
          <w:szCs w:val="24"/>
        </w:rPr>
      </w:pPr>
      <w:r w:rsidRPr="00175FD4">
        <w:rPr>
          <w:rFonts w:cs="Times New Roman"/>
          <w:b/>
          <w:szCs w:val="24"/>
        </w:rPr>
        <w:t>Alternative hypothesis</w:t>
      </w:r>
      <w:r w:rsidRPr="0078352F">
        <w:rPr>
          <w:rFonts w:cs="Times New Roman"/>
          <w:szCs w:val="24"/>
        </w:rPr>
        <w:t xml:space="preserve">, </w:t>
      </w:r>
      <w:r w:rsidR="00F16D1C" w:rsidRPr="0078352F">
        <w:rPr>
          <w:rFonts w:cs="Times New Roman"/>
          <w:szCs w:val="24"/>
        </w:rPr>
        <w:t xml:space="preserve">H1:  </w:t>
      </w:r>
      <w:r w:rsidR="0052295E">
        <w:rPr>
          <w:rFonts w:cs="Times New Roman"/>
          <w:szCs w:val="24"/>
        </w:rPr>
        <w:t>T</w:t>
      </w:r>
      <w:r w:rsidR="00F16D1C" w:rsidRPr="0078352F">
        <w:rPr>
          <w:rFonts w:cs="Times New Roman"/>
          <w:szCs w:val="24"/>
        </w:rPr>
        <w:t xml:space="preserve">here is significant difference in the variances of fat reduction between </w:t>
      </w:r>
      <w:r w:rsidR="0052295E">
        <w:rPr>
          <w:rFonts w:cs="Times New Roman"/>
          <w:szCs w:val="24"/>
        </w:rPr>
        <w:t>females</w:t>
      </w:r>
      <w:r w:rsidR="00F16D1C" w:rsidRPr="0078352F">
        <w:rPr>
          <w:rFonts w:cs="Times New Roman"/>
          <w:szCs w:val="24"/>
        </w:rPr>
        <w:t xml:space="preserve"> and males.</w:t>
      </w:r>
    </w:p>
    <w:tbl>
      <w:tblPr>
        <w:tblW w:w="6707" w:type="dxa"/>
        <w:tblLook w:val="04A0" w:firstRow="1" w:lastRow="0" w:firstColumn="1" w:lastColumn="0" w:noHBand="0" w:noVBand="1"/>
      </w:tblPr>
      <w:tblGrid>
        <w:gridCol w:w="3669"/>
        <w:gridCol w:w="3038"/>
      </w:tblGrid>
      <w:tr w:rsidR="00EB2F5E" w:rsidRPr="00EB2F5E" w14:paraId="0FE65026" w14:textId="77777777" w:rsidTr="00EB2F5E">
        <w:trPr>
          <w:trHeight w:val="289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4122B41E" w14:textId="77777777" w:rsidR="00EB2F5E" w:rsidRPr="00EB2F5E" w:rsidRDefault="00EB2F5E" w:rsidP="00EB2F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Data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6B64AA4E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</w:tr>
      <w:tr w:rsidR="00EB2F5E" w:rsidRPr="00EB2F5E" w14:paraId="25137B3A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119D852B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Level of Significance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630A8169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0.05</w:t>
            </w:r>
          </w:p>
        </w:tc>
      </w:tr>
      <w:tr w:rsidR="00EB2F5E" w:rsidRPr="00EB2F5E" w14:paraId="41E1D0E7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30FD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60B4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EB2F5E" w:rsidRPr="00EB2F5E" w14:paraId="0B48E40D" w14:textId="77777777" w:rsidTr="00EB2F5E">
        <w:trPr>
          <w:trHeight w:val="289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FCE5" w14:textId="77777777" w:rsidR="00EB2F5E" w:rsidRPr="00EB2F5E" w:rsidRDefault="00EB2F5E" w:rsidP="00EB2F5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Male fat reduction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A1E7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B2F5E" w:rsidRPr="00EB2F5E" w14:paraId="023DB62D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84FE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Sample Size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B593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34</w:t>
            </w:r>
          </w:p>
        </w:tc>
      </w:tr>
      <w:tr w:rsidR="00EB2F5E" w:rsidRPr="00EB2F5E" w14:paraId="168743C1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93CC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Sum of Ranks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BC78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1099</w:t>
            </w:r>
          </w:p>
        </w:tc>
      </w:tr>
      <w:tr w:rsidR="00EB2F5E" w:rsidRPr="00EB2F5E" w14:paraId="703A8186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F5D7" w14:textId="77777777" w:rsidR="00EB2F5E" w:rsidRPr="00EB2F5E" w:rsidRDefault="00EB2F5E" w:rsidP="00EB2F5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lastRenderedPageBreak/>
              <w:t>Female fat reduction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11D2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 </w:t>
            </w:r>
          </w:p>
        </w:tc>
      </w:tr>
      <w:tr w:rsidR="00EB2F5E" w:rsidRPr="00EB2F5E" w14:paraId="78664579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E286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Sample Size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F76F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32</w:t>
            </w:r>
          </w:p>
        </w:tc>
      </w:tr>
      <w:tr w:rsidR="00EB2F5E" w:rsidRPr="00EB2F5E" w14:paraId="4D62A9CD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1F62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Sum of Ranks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9FC9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1112</w:t>
            </w:r>
          </w:p>
        </w:tc>
      </w:tr>
      <w:tr w:rsidR="00EB2F5E" w:rsidRPr="00EB2F5E" w14:paraId="075B4609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F7C3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C8F6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EB2F5E" w:rsidRPr="00EB2F5E" w14:paraId="66FC7339" w14:textId="77777777" w:rsidTr="00EB2F5E">
        <w:trPr>
          <w:trHeight w:val="289"/>
        </w:trPr>
        <w:tc>
          <w:tcPr>
            <w:tcW w:w="6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7161" w14:textId="77777777" w:rsidR="00EB2F5E" w:rsidRPr="00EB2F5E" w:rsidRDefault="00EB2F5E" w:rsidP="00EB2F5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Intermediate Calculations</w:t>
            </w:r>
          </w:p>
        </w:tc>
      </w:tr>
      <w:tr w:rsidR="00EB2F5E" w:rsidRPr="00EB2F5E" w14:paraId="6BAC3494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3B81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Total Sample Size n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AFFD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66</w:t>
            </w:r>
          </w:p>
        </w:tc>
      </w:tr>
      <w:tr w:rsidR="00EB2F5E" w:rsidRPr="00EB2F5E" w14:paraId="34A7D0A2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1065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i/>
                <w:iCs/>
                <w:szCs w:val="24"/>
              </w:rPr>
            </w:pPr>
            <w:r w:rsidRPr="00EB2F5E">
              <w:rPr>
                <w:rFonts w:eastAsia="Times New Roman" w:cs="Times New Roman"/>
                <w:i/>
                <w:iCs/>
                <w:szCs w:val="24"/>
              </w:rPr>
              <w:t>U Stat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CBA2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584</w:t>
            </w:r>
          </w:p>
        </w:tc>
      </w:tr>
      <w:tr w:rsidR="00EB2F5E" w:rsidRPr="00EB2F5E" w14:paraId="182EE94E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94F8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U1 Mean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B7D2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1072</w:t>
            </w:r>
          </w:p>
        </w:tc>
      </w:tr>
      <w:tr w:rsidR="00EB2F5E" w:rsidRPr="00EB2F5E" w14:paraId="55A1D17C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0C08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Standard dev U1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7FAD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</w:rPr>
            </w:pPr>
            <w:r w:rsidRPr="00EB2F5E">
              <w:rPr>
                <w:rFonts w:eastAsia="Times New Roman" w:cs="Times New Roman"/>
                <w:szCs w:val="24"/>
              </w:rPr>
              <w:t>22.4994</w:t>
            </w:r>
          </w:p>
        </w:tc>
      </w:tr>
      <w:tr w:rsidR="00EB2F5E" w:rsidRPr="00EB2F5E" w14:paraId="33AF1A8C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BEE6062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Z</w:t>
            </w:r>
            <w:r w:rsidRPr="00EB2F5E">
              <w:rPr>
                <w:rFonts w:eastAsia="Times New Roman" w:cs="Times New Roman"/>
                <w:b/>
                <w:bCs/>
                <w:szCs w:val="24"/>
              </w:rPr>
              <w:t xml:space="preserve"> value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2F45D61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-21.68948394</w:t>
            </w:r>
          </w:p>
        </w:tc>
      </w:tr>
      <w:tr w:rsidR="00EB2F5E" w:rsidRPr="00EB2F5E" w14:paraId="73C3688A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2B33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222A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EB2F5E" w:rsidRPr="00EB2F5E" w14:paraId="612DD1ED" w14:textId="77777777" w:rsidTr="00EB2F5E">
        <w:trPr>
          <w:trHeight w:val="289"/>
        </w:trPr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A8E7AAF" w14:textId="77777777" w:rsidR="00EB2F5E" w:rsidRPr="00EB2F5E" w:rsidRDefault="00EB2F5E" w:rsidP="00EB2F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Upper-Tail Test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7054B7D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</w:tr>
      <w:tr w:rsidR="00EB2F5E" w:rsidRPr="00EB2F5E" w14:paraId="1466AA91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DB50EF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Upper Critical Value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9BCA084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1.6449</w:t>
            </w:r>
          </w:p>
        </w:tc>
      </w:tr>
      <w:tr w:rsidR="00EB2F5E" w:rsidRPr="00EB2F5E" w14:paraId="437D7DB5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1AA4282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p</w:t>
            </w:r>
            <w:r w:rsidRPr="00EB2F5E">
              <w:rPr>
                <w:rFonts w:eastAsia="Times New Roman" w:cs="Times New Roman"/>
                <w:b/>
                <w:bCs/>
                <w:szCs w:val="24"/>
              </w:rPr>
              <w:t>-Value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BC65A28" w14:textId="77777777" w:rsidR="00EB2F5E" w:rsidRPr="00EB2F5E" w:rsidRDefault="00EB2F5E" w:rsidP="00EB2F5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0.000000000000</w:t>
            </w:r>
          </w:p>
        </w:tc>
      </w:tr>
      <w:tr w:rsidR="00EB2F5E" w:rsidRPr="00EB2F5E" w14:paraId="0EA73531" w14:textId="77777777" w:rsidTr="00EB2F5E">
        <w:trPr>
          <w:trHeight w:val="289"/>
        </w:trPr>
        <w:tc>
          <w:tcPr>
            <w:tcW w:w="3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04C660A" w14:textId="77777777" w:rsidR="00EB2F5E" w:rsidRPr="00EB2F5E" w:rsidRDefault="00EB2F5E" w:rsidP="00EB2F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Reject the null hypothesis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DF36CF1" w14:textId="77777777" w:rsidR="00EB2F5E" w:rsidRPr="00EB2F5E" w:rsidRDefault="00EB2F5E" w:rsidP="00EB2F5E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EB2F5E">
              <w:rPr>
                <w:rFonts w:eastAsia="Times New Roman" w:cs="Times New Roman"/>
                <w:b/>
                <w:bCs/>
                <w:szCs w:val="24"/>
              </w:rPr>
              <w:t> </w:t>
            </w:r>
          </w:p>
        </w:tc>
      </w:tr>
    </w:tbl>
    <w:p w14:paraId="064471B2" w14:textId="2E89DBA4" w:rsidR="004F4265" w:rsidRDefault="004F4265" w:rsidP="008F1478">
      <w:pPr>
        <w:spacing w:line="240" w:lineRule="auto"/>
        <w:jc w:val="both"/>
        <w:rPr>
          <w:rFonts w:cs="Times New Roman"/>
        </w:rPr>
      </w:pPr>
    </w:p>
    <w:p w14:paraId="79BBF66B" w14:textId="323620BE" w:rsidR="00671361" w:rsidRDefault="008A1234" w:rsidP="008F1478">
      <w:pPr>
        <w:spacing w:line="240" w:lineRule="auto"/>
        <w:jc w:val="both"/>
        <w:rPr>
          <w:rFonts w:cs="Times New Roman"/>
        </w:rPr>
      </w:pPr>
      <w:r w:rsidRPr="008A1234">
        <w:rPr>
          <w:rFonts w:cs="Times New Roman"/>
          <w:b/>
          <w:bCs/>
        </w:rPr>
        <w:t>Conclusion:</w:t>
      </w:r>
      <w:r>
        <w:rPr>
          <w:rFonts w:cs="Times New Roman"/>
        </w:rPr>
        <w:t xml:space="preserve"> </w:t>
      </w:r>
      <w:r w:rsidR="00671361">
        <w:rPr>
          <w:rFonts w:cs="Times New Roman"/>
        </w:rPr>
        <w:t xml:space="preserve">Given that the p-value &lt; alpha (0.05), </w:t>
      </w:r>
      <w:r>
        <w:rPr>
          <w:rFonts w:cs="Times New Roman"/>
        </w:rPr>
        <w:t xml:space="preserve">we reject the null hypothesis and conclude that </w:t>
      </w:r>
      <w:r>
        <w:rPr>
          <w:rFonts w:cs="Times New Roman"/>
          <w:szCs w:val="24"/>
        </w:rPr>
        <w:t>t</w:t>
      </w:r>
      <w:r w:rsidRPr="0078352F">
        <w:rPr>
          <w:rFonts w:cs="Times New Roman"/>
          <w:szCs w:val="24"/>
        </w:rPr>
        <w:t xml:space="preserve">here is significant difference in the variances of fat reduction between </w:t>
      </w:r>
      <w:r>
        <w:rPr>
          <w:rFonts w:cs="Times New Roman"/>
          <w:szCs w:val="24"/>
        </w:rPr>
        <w:t>females</w:t>
      </w:r>
      <w:r w:rsidRPr="0078352F">
        <w:rPr>
          <w:rFonts w:cs="Times New Roman"/>
          <w:szCs w:val="24"/>
        </w:rPr>
        <w:t xml:space="preserve"> and males.</w:t>
      </w:r>
    </w:p>
    <w:sectPr w:rsidR="00671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E9053" w14:textId="77777777" w:rsidR="00623BC5" w:rsidRDefault="00623BC5" w:rsidP="00DB29F1">
      <w:pPr>
        <w:spacing w:after="0" w:line="240" w:lineRule="auto"/>
      </w:pPr>
      <w:r>
        <w:separator/>
      </w:r>
    </w:p>
  </w:endnote>
  <w:endnote w:type="continuationSeparator" w:id="0">
    <w:p w14:paraId="61F11FDE" w14:textId="77777777" w:rsidR="00623BC5" w:rsidRDefault="00623BC5" w:rsidP="00DB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F005" w14:textId="77777777" w:rsidR="00623BC5" w:rsidRDefault="00623BC5" w:rsidP="00DB29F1">
      <w:pPr>
        <w:spacing w:after="0" w:line="240" w:lineRule="auto"/>
      </w:pPr>
      <w:r>
        <w:separator/>
      </w:r>
    </w:p>
  </w:footnote>
  <w:footnote w:type="continuationSeparator" w:id="0">
    <w:p w14:paraId="17792B14" w14:textId="77777777" w:rsidR="00623BC5" w:rsidRDefault="00623BC5" w:rsidP="00DB29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yMjGztLA0sLA0NLBQ0lEKTi0uzszPAykwqgUARDTdvCwAAAA="/>
  </w:docVars>
  <w:rsids>
    <w:rsidRoot w:val="00ED64D7"/>
    <w:rsid w:val="000067A5"/>
    <w:rsid w:val="00052EB4"/>
    <w:rsid w:val="0006477E"/>
    <w:rsid w:val="000B0F0F"/>
    <w:rsid w:val="000B39C2"/>
    <w:rsid w:val="000F27B6"/>
    <w:rsid w:val="001329C9"/>
    <w:rsid w:val="00156054"/>
    <w:rsid w:val="001578F9"/>
    <w:rsid w:val="0017462A"/>
    <w:rsid w:val="00175FD4"/>
    <w:rsid w:val="001A2AFD"/>
    <w:rsid w:val="001B7743"/>
    <w:rsid w:val="001C70DF"/>
    <w:rsid w:val="001C7E42"/>
    <w:rsid w:val="001D6392"/>
    <w:rsid w:val="001D6D44"/>
    <w:rsid w:val="001E787D"/>
    <w:rsid w:val="002424FB"/>
    <w:rsid w:val="00257AA3"/>
    <w:rsid w:val="0029134F"/>
    <w:rsid w:val="002D703C"/>
    <w:rsid w:val="00301F13"/>
    <w:rsid w:val="003322D6"/>
    <w:rsid w:val="00337D2D"/>
    <w:rsid w:val="003973C7"/>
    <w:rsid w:val="003A7BD2"/>
    <w:rsid w:val="003E61FF"/>
    <w:rsid w:val="00407539"/>
    <w:rsid w:val="00412F71"/>
    <w:rsid w:val="00416577"/>
    <w:rsid w:val="004201A5"/>
    <w:rsid w:val="00477C04"/>
    <w:rsid w:val="004B5617"/>
    <w:rsid w:val="004F4265"/>
    <w:rsid w:val="00510874"/>
    <w:rsid w:val="00516989"/>
    <w:rsid w:val="0052295E"/>
    <w:rsid w:val="0056718A"/>
    <w:rsid w:val="0058301D"/>
    <w:rsid w:val="005B5EEB"/>
    <w:rsid w:val="005C1FC1"/>
    <w:rsid w:val="005D5A23"/>
    <w:rsid w:val="00623BC5"/>
    <w:rsid w:val="00642BFC"/>
    <w:rsid w:val="00671361"/>
    <w:rsid w:val="006836FD"/>
    <w:rsid w:val="00684471"/>
    <w:rsid w:val="006A56A3"/>
    <w:rsid w:val="006B1832"/>
    <w:rsid w:val="006C1043"/>
    <w:rsid w:val="006F50C9"/>
    <w:rsid w:val="007353C4"/>
    <w:rsid w:val="0074002F"/>
    <w:rsid w:val="0078352F"/>
    <w:rsid w:val="00804188"/>
    <w:rsid w:val="00812D1D"/>
    <w:rsid w:val="00837952"/>
    <w:rsid w:val="0084253C"/>
    <w:rsid w:val="00872456"/>
    <w:rsid w:val="0087388D"/>
    <w:rsid w:val="00875AA0"/>
    <w:rsid w:val="00886A3B"/>
    <w:rsid w:val="008932EF"/>
    <w:rsid w:val="00893301"/>
    <w:rsid w:val="008A1234"/>
    <w:rsid w:val="008D406B"/>
    <w:rsid w:val="008E40AD"/>
    <w:rsid w:val="008F1478"/>
    <w:rsid w:val="008F4C9E"/>
    <w:rsid w:val="008F6618"/>
    <w:rsid w:val="008F75D7"/>
    <w:rsid w:val="00910883"/>
    <w:rsid w:val="0092395B"/>
    <w:rsid w:val="009262BD"/>
    <w:rsid w:val="00927E21"/>
    <w:rsid w:val="0098401E"/>
    <w:rsid w:val="009E2576"/>
    <w:rsid w:val="00A065F5"/>
    <w:rsid w:val="00A07A91"/>
    <w:rsid w:val="00A61953"/>
    <w:rsid w:val="00A726C6"/>
    <w:rsid w:val="00A77D9D"/>
    <w:rsid w:val="00A96B10"/>
    <w:rsid w:val="00AA7488"/>
    <w:rsid w:val="00AA7A6F"/>
    <w:rsid w:val="00AB3075"/>
    <w:rsid w:val="00AF0D27"/>
    <w:rsid w:val="00B1658F"/>
    <w:rsid w:val="00B36482"/>
    <w:rsid w:val="00B47F67"/>
    <w:rsid w:val="00B732EC"/>
    <w:rsid w:val="00B86D2E"/>
    <w:rsid w:val="00B94544"/>
    <w:rsid w:val="00B97820"/>
    <w:rsid w:val="00C05868"/>
    <w:rsid w:val="00C51150"/>
    <w:rsid w:val="00CA1816"/>
    <w:rsid w:val="00CC716C"/>
    <w:rsid w:val="00CC7328"/>
    <w:rsid w:val="00CD1625"/>
    <w:rsid w:val="00CE0AF6"/>
    <w:rsid w:val="00D046C4"/>
    <w:rsid w:val="00D36C76"/>
    <w:rsid w:val="00D40D37"/>
    <w:rsid w:val="00DA0845"/>
    <w:rsid w:val="00DA5FD9"/>
    <w:rsid w:val="00DB15DE"/>
    <w:rsid w:val="00DB29F1"/>
    <w:rsid w:val="00DE2443"/>
    <w:rsid w:val="00E1740A"/>
    <w:rsid w:val="00E24F6B"/>
    <w:rsid w:val="00E96575"/>
    <w:rsid w:val="00EB0EE2"/>
    <w:rsid w:val="00EB2F5E"/>
    <w:rsid w:val="00ED64D7"/>
    <w:rsid w:val="00EE0BE5"/>
    <w:rsid w:val="00F10DFF"/>
    <w:rsid w:val="00F16D1C"/>
    <w:rsid w:val="00F20A50"/>
    <w:rsid w:val="00F25DCD"/>
    <w:rsid w:val="00F35977"/>
    <w:rsid w:val="00F4359D"/>
    <w:rsid w:val="00F615A5"/>
    <w:rsid w:val="00F6401E"/>
    <w:rsid w:val="00F879B3"/>
    <w:rsid w:val="00FB6A66"/>
    <w:rsid w:val="00FD568D"/>
    <w:rsid w:val="00FE4F63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FFA2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4D7"/>
  </w:style>
  <w:style w:type="paragraph" w:styleId="Heading1">
    <w:name w:val="heading 1"/>
    <w:basedOn w:val="Normal"/>
    <w:next w:val="Normal"/>
    <w:link w:val="Heading1Char"/>
    <w:uiPriority w:val="9"/>
    <w:qFormat/>
    <w:rsid w:val="00ED64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64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D64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3973C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9F1"/>
  </w:style>
  <w:style w:type="paragraph" w:styleId="Footer">
    <w:name w:val="footer"/>
    <w:basedOn w:val="Normal"/>
    <w:link w:val="FooterChar"/>
    <w:uiPriority w:val="99"/>
    <w:unhideWhenUsed/>
    <w:rsid w:val="00DB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en%20Malele\Documents\attachment_2%20(1)%20(1)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n%20Malele\Documents\attachment_2%20(1)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en%20Malele\Documents\attachment_2%20(1)%20(1)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n%20Malele\Documents\attachment_2%20(1)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n%20Malele\Downloads\10578587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n%20Malele\Downloads\10578587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[attachment_2 (1) (1).xlsx]a!PivotTable1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Total Fat Intake</a:t>
            </a:r>
            <a:r>
              <a:rPr lang="en-US" baseline="0"/>
              <a:t> 1</a:t>
            </a:r>
            <a:endParaRPr lang="en-US"/>
          </a:p>
        </c:rich>
      </c:tx>
      <c:overlay val="0"/>
      <c:spPr>
        <a:noFill/>
        <a:ln w="25400">
          <a:noFill/>
        </a:ln>
      </c:spPr>
    </c:title>
    <c:autoTitleDeleted val="0"/>
    <c:pivotFmts>
      <c:pivotFmt>
        <c:idx val="0"/>
        <c:spPr>
          <a:solidFill>
            <a:srgbClr val="4F81BD"/>
          </a:solidFill>
          <a:ln w="25400">
            <a:noFill/>
          </a:ln>
        </c:spPr>
        <c:marker>
          <c:symbol val="none"/>
        </c:marker>
        <c:dLbl>
          <c:idx val="0"/>
          <c:delete val="1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rgbClr val="4F81BD"/>
          </a:solidFill>
          <a:ln w="25400">
            <a:noFill/>
          </a:ln>
        </c:spPr>
        <c:marker>
          <c:symbol val="none"/>
        </c:marker>
        <c:dLbl>
          <c:idx val="0"/>
          <c:delete val="1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rgbClr val="4F81BD"/>
          </a:solidFill>
          <a:ln w="25400">
            <a:noFill/>
          </a:ln>
        </c:spPr>
        <c:marker>
          <c:symbol val="none"/>
        </c:marker>
        <c:dLbl>
          <c:idx val="0"/>
          <c:delete val="1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rgbClr val="4F81BD"/>
          </a:solidFill>
          <a:ln w="25400">
            <a:noFill/>
          </a:ln>
        </c:spPr>
        <c:marker>
          <c:symbol val="none"/>
        </c:marker>
        <c:dLbl>
          <c:idx val="0"/>
          <c:delete val="1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a!$E$10:$E$11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4F81BD"/>
            </a:solidFill>
            <a:ln w="25400">
              <a:noFill/>
            </a:ln>
          </c:spPr>
          <c:invertIfNegative val="0"/>
          <c:cat>
            <c:strRef>
              <c:f>a!$D$12:$D$20</c:f>
              <c:strCache>
                <c:ptCount val="8"/>
                <c:pt idx="0">
                  <c:v>&lt;10</c:v>
                </c:pt>
                <c:pt idx="1">
                  <c:v>10-30</c:v>
                </c:pt>
                <c:pt idx="2">
                  <c:v>30-50</c:v>
                </c:pt>
                <c:pt idx="3">
                  <c:v>50-70</c:v>
                </c:pt>
                <c:pt idx="4">
                  <c:v>70-90</c:v>
                </c:pt>
                <c:pt idx="5">
                  <c:v>90-110</c:v>
                </c:pt>
                <c:pt idx="6">
                  <c:v>110-130</c:v>
                </c:pt>
                <c:pt idx="7">
                  <c:v>&gt;150</c:v>
                </c:pt>
              </c:strCache>
            </c:strRef>
          </c:cat>
          <c:val>
            <c:numRef>
              <c:f>a!$E$12:$E$20</c:f>
              <c:numCache>
                <c:formatCode>General</c:formatCode>
                <c:ptCount val="8"/>
                <c:pt idx="0">
                  <c:v>1</c:v>
                </c:pt>
                <c:pt idx="1">
                  <c:v>6</c:v>
                </c:pt>
                <c:pt idx="2">
                  <c:v>20</c:v>
                </c:pt>
                <c:pt idx="3">
                  <c:v>8</c:v>
                </c:pt>
                <c:pt idx="4">
                  <c:v>15</c:v>
                </c:pt>
                <c:pt idx="5">
                  <c:v>11</c:v>
                </c:pt>
                <c:pt idx="6">
                  <c:v>4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33-4DE9-85B3-3D8530FF82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7223215"/>
        <c:axId val="1"/>
      </c:barChart>
      <c:catAx>
        <c:axId val="217223215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Fat Intake 1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Frequency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17223215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[attachment_2 (1) (1).xlsx]a!PivotTable4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Total Fat Intake 2</a:t>
            </a:r>
          </a:p>
        </c:rich>
      </c:tx>
      <c:overlay val="0"/>
      <c:spPr>
        <a:noFill/>
        <a:ln w="254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 w="25400"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 w="25400"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 w="25400"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 w="25400"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a!$E$25:$E$26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a!$D$27:$D$32</c:f>
              <c:strCache>
                <c:ptCount val="5"/>
                <c:pt idx="0">
                  <c:v>&lt;10</c:v>
                </c:pt>
                <c:pt idx="1">
                  <c:v>10-30</c:v>
                </c:pt>
                <c:pt idx="2">
                  <c:v>30-50</c:v>
                </c:pt>
                <c:pt idx="3">
                  <c:v>50-70</c:v>
                </c:pt>
                <c:pt idx="4">
                  <c:v>70-90</c:v>
                </c:pt>
              </c:strCache>
            </c:strRef>
          </c:cat>
          <c:val>
            <c:numRef>
              <c:f>a!$E$27:$E$32</c:f>
              <c:numCache>
                <c:formatCode>General</c:formatCode>
                <c:ptCount val="5"/>
                <c:pt idx="0">
                  <c:v>5</c:v>
                </c:pt>
                <c:pt idx="1">
                  <c:v>10</c:v>
                </c:pt>
                <c:pt idx="2">
                  <c:v>32</c:v>
                </c:pt>
                <c:pt idx="3">
                  <c:v>13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09-455F-8830-F502D40F87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7234447"/>
        <c:axId val="1"/>
      </c:barChart>
      <c:catAx>
        <c:axId val="21723444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Total Fat Intake 2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Frequency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7234447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scatter-plot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b!$B$1</c:f>
              <c:strCache>
                <c:ptCount val="1"/>
                <c:pt idx="0">
                  <c:v>diff in Fat level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0.12583398950131233"/>
                  <c:y val="-0.52907006415864688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b!$A$2:$A$67</c:f>
              <c:numCache>
                <c:formatCode>0</c:formatCode>
                <c:ptCount val="66"/>
                <c:pt idx="0">
                  <c:v>45.533834883620202</c:v>
                </c:pt>
                <c:pt idx="1">
                  <c:v>56.479839814706615</c:v>
                </c:pt>
                <c:pt idx="2">
                  <c:v>53.824969652782713</c:v>
                </c:pt>
                <c:pt idx="3">
                  <c:v>50.368433053322349</c:v>
                </c:pt>
                <c:pt idx="4">
                  <c:v>60.874100519037704</c:v>
                </c:pt>
                <c:pt idx="5">
                  <c:v>39.900314130339346</c:v>
                </c:pt>
                <c:pt idx="6">
                  <c:v>42.245474688312669</c:v>
                </c:pt>
                <c:pt idx="7">
                  <c:v>67.776514510986857</c:v>
                </c:pt>
                <c:pt idx="8">
                  <c:v>64.317697476802351</c:v>
                </c:pt>
                <c:pt idx="9">
                  <c:v>39.87827184061954</c:v>
                </c:pt>
                <c:pt idx="10">
                  <c:v>42.284216464591402</c:v>
                </c:pt>
                <c:pt idx="11">
                  <c:v>68.09545896912779</c:v>
                </c:pt>
                <c:pt idx="12">
                  <c:v>68.800413055380375</c:v>
                </c:pt>
                <c:pt idx="13">
                  <c:v>43.608641717625687</c:v>
                </c:pt>
                <c:pt idx="14">
                  <c:v>49.335414576075316</c:v>
                </c:pt>
                <c:pt idx="15">
                  <c:v>37.46301635751086</c:v>
                </c:pt>
                <c:pt idx="16">
                  <c:v>64.233878010436939</c:v>
                </c:pt>
                <c:pt idx="17">
                  <c:v>54.392560167779529</c:v>
                </c:pt>
                <c:pt idx="18">
                  <c:v>34.89416772783639</c:v>
                </c:pt>
                <c:pt idx="19">
                  <c:v>49.641086761956927</c:v>
                </c:pt>
                <c:pt idx="20">
                  <c:v>55.218871259089049</c:v>
                </c:pt>
                <c:pt idx="21">
                  <c:v>35.33021546869854</c:v>
                </c:pt>
                <c:pt idx="22">
                  <c:v>36.78715218060016</c:v>
                </c:pt>
                <c:pt idx="23">
                  <c:v>51.951585066739192</c:v>
                </c:pt>
                <c:pt idx="24">
                  <c:v>41.969906118386987</c:v>
                </c:pt>
                <c:pt idx="25">
                  <c:v>58.136808702364561</c:v>
                </c:pt>
                <c:pt idx="26">
                  <c:v>59.74025329805179</c:v>
                </c:pt>
                <c:pt idx="27">
                  <c:v>47.501326704758718</c:v>
                </c:pt>
                <c:pt idx="28">
                  <c:v>46.739773898350137</c:v>
                </c:pt>
                <c:pt idx="29">
                  <c:v>47.012624426987692</c:v>
                </c:pt>
                <c:pt idx="30">
                  <c:v>37.357691931345443</c:v>
                </c:pt>
                <c:pt idx="31">
                  <c:v>46.59873557651855</c:v>
                </c:pt>
                <c:pt idx="32">
                  <c:v>56.731126915954214</c:v>
                </c:pt>
                <c:pt idx="33">
                  <c:v>49.547394069756109</c:v>
                </c:pt>
                <c:pt idx="34">
                  <c:v>35.135036837866387</c:v>
                </c:pt>
                <c:pt idx="35">
                  <c:v>52.903348782502633</c:v>
                </c:pt>
                <c:pt idx="36">
                  <c:v>52.571258695068231</c:v>
                </c:pt>
                <c:pt idx="37">
                  <c:v>54.409466518958077</c:v>
                </c:pt>
                <c:pt idx="38">
                  <c:v>65.500353053423908</c:v>
                </c:pt>
                <c:pt idx="39">
                  <c:v>41.647728395964016</c:v>
                </c:pt>
                <c:pt idx="40">
                  <c:v>49.409215603901217</c:v>
                </c:pt>
                <c:pt idx="41">
                  <c:v>47.999291350029587</c:v>
                </c:pt>
                <c:pt idx="42">
                  <c:v>49.39033699298448</c:v>
                </c:pt>
                <c:pt idx="43">
                  <c:v>27.214957226563673</c:v>
                </c:pt>
                <c:pt idx="44">
                  <c:v>57.50043531717985</c:v>
                </c:pt>
                <c:pt idx="45">
                  <c:v>53.483227208714851</c:v>
                </c:pt>
                <c:pt idx="46">
                  <c:v>62.546538568977752</c:v>
                </c:pt>
                <c:pt idx="47">
                  <c:v>45.90793805183386</c:v>
                </c:pt>
                <c:pt idx="48">
                  <c:v>58.831603939082328</c:v>
                </c:pt>
                <c:pt idx="49">
                  <c:v>60.548596610981825</c:v>
                </c:pt>
                <c:pt idx="50">
                  <c:v>55.368748811316969</c:v>
                </c:pt>
                <c:pt idx="51">
                  <c:v>39.601534070169855</c:v>
                </c:pt>
                <c:pt idx="52">
                  <c:v>56.377538031021246</c:v>
                </c:pt>
                <c:pt idx="53">
                  <c:v>49.589757449718981</c:v>
                </c:pt>
                <c:pt idx="54">
                  <c:v>44.583085502691013</c:v>
                </c:pt>
                <c:pt idx="55">
                  <c:v>54.81760864317301</c:v>
                </c:pt>
                <c:pt idx="56">
                  <c:v>50.68862394519833</c:v>
                </c:pt>
                <c:pt idx="57">
                  <c:v>48.58682907536911</c:v>
                </c:pt>
                <c:pt idx="58">
                  <c:v>57.630920157095943</c:v>
                </c:pt>
                <c:pt idx="59">
                  <c:v>52.558244797054876</c:v>
                </c:pt>
                <c:pt idx="60">
                  <c:v>42.453887827635093</c:v>
                </c:pt>
                <c:pt idx="61">
                  <c:v>52.67888727383874</c:v>
                </c:pt>
                <c:pt idx="62">
                  <c:v>72.311562840626408</c:v>
                </c:pt>
                <c:pt idx="63">
                  <c:v>47.067760629041878</c:v>
                </c:pt>
                <c:pt idx="64">
                  <c:v>52.053036600296551</c:v>
                </c:pt>
                <c:pt idx="65">
                  <c:v>55.84830348096876</c:v>
                </c:pt>
              </c:numCache>
            </c:numRef>
          </c:xVal>
          <c:yVal>
            <c:numRef>
              <c:f>b!$B$2:$B$67</c:f>
              <c:numCache>
                <c:formatCode>0.00</c:formatCode>
                <c:ptCount val="66"/>
                <c:pt idx="0">
                  <c:v>-34.298711375476259</c:v>
                </c:pt>
                <c:pt idx="1">
                  <c:v>43.543099438026601</c:v>
                </c:pt>
                <c:pt idx="2">
                  <c:v>61.752301419031582</c:v>
                </c:pt>
                <c:pt idx="3">
                  <c:v>0.9048805557001387</c:v>
                </c:pt>
                <c:pt idx="4">
                  <c:v>15.80591773677537</c:v>
                </c:pt>
                <c:pt idx="5">
                  <c:v>59.515512527902438</c:v>
                </c:pt>
                <c:pt idx="6">
                  <c:v>-38.287299375575166</c:v>
                </c:pt>
                <c:pt idx="7">
                  <c:v>-7.5182505882570965</c:v>
                </c:pt>
                <c:pt idx="8">
                  <c:v>42.39176962445363</c:v>
                </c:pt>
                <c:pt idx="9">
                  <c:v>24.153390062633548</c:v>
                </c:pt>
                <c:pt idx="10">
                  <c:v>-54.343621590320346</c:v>
                </c:pt>
                <c:pt idx="11">
                  <c:v>90.171470859409396</c:v>
                </c:pt>
                <c:pt idx="12">
                  <c:v>65.079916792329556</c:v>
                </c:pt>
                <c:pt idx="13">
                  <c:v>43.374582260745825</c:v>
                </c:pt>
                <c:pt idx="14">
                  <c:v>8.0275616163268708</c:v>
                </c:pt>
                <c:pt idx="15">
                  <c:v>11.859610590001097</c:v>
                </c:pt>
                <c:pt idx="16">
                  <c:v>-9.9315143923522839</c:v>
                </c:pt>
                <c:pt idx="17">
                  <c:v>-28.105452181089674</c:v>
                </c:pt>
                <c:pt idx="18">
                  <c:v>9.7262521656772947</c:v>
                </c:pt>
                <c:pt idx="19">
                  <c:v>-14.318129207533467</c:v>
                </c:pt>
                <c:pt idx="20">
                  <c:v>6.3127855788041032</c:v>
                </c:pt>
                <c:pt idx="21">
                  <c:v>47.875894608187352</c:v>
                </c:pt>
                <c:pt idx="22">
                  <c:v>53.763580387301943</c:v>
                </c:pt>
                <c:pt idx="23">
                  <c:v>65.998770200677143</c:v>
                </c:pt>
                <c:pt idx="24">
                  <c:v>98.862868649274418</c:v>
                </c:pt>
                <c:pt idx="25">
                  <c:v>46.028629385334078</c:v>
                </c:pt>
                <c:pt idx="26">
                  <c:v>-7.0087448248345368</c:v>
                </c:pt>
                <c:pt idx="27">
                  <c:v>5.4439779881335078</c:v>
                </c:pt>
                <c:pt idx="28">
                  <c:v>73.774073051590619</c:v>
                </c:pt>
                <c:pt idx="29">
                  <c:v>46.155285700869236</c:v>
                </c:pt>
                <c:pt idx="30">
                  <c:v>72.86174968379494</c:v>
                </c:pt>
                <c:pt idx="31">
                  <c:v>-3.8423841335802393</c:v>
                </c:pt>
                <c:pt idx="32">
                  <c:v>-35.481783313444232</c:v>
                </c:pt>
                <c:pt idx="33">
                  <c:v>58.658035277402881</c:v>
                </c:pt>
                <c:pt idx="34">
                  <c:v>-0.53586372956382888</c:v>
                </c:pt>
                <c:pt idx="35">
                  <c:v>-5.1009498239025106</c:v>
                </c:pt>
                <c:pt idx="36">
                  <c:v>36.496018702047081</c:v>
                </c:pt>
                <c:pt idx="37">
                  <c:v>44.746508943964784</c:v>
                </c:pt>
                <c:pt idx="38">
                  <c:v>4.6097673114355686</c:v>
                </c:pt>
                <c:pt idx="39">
                  <c:v>33.748327605950145</c:v>
                </c:pt>
                <c:pt idx="40">
                  <c:v>54.138504353287665</c:v>
                </c:pt>
                <c:pt idx="41">
                  <c:v>41.152757087204911</c:v>
                </c:pt>
                <c:pt idx="42">
                  <c:v>40.864120706026441</c:v>
                </c:pt>
                <c:pt idx="43">
                  <c:v>42.203433149426957</c:v>
                </c:pt>
                <c:pt idx="44">
                  <c:v>-27.361303365483323</c:v>
                </c:pt>
                <c:pt idx="45">
                  <c:v>63.839115859169823</c:v>
                </c:pt>
                <c:pt idx="46">
                  <c:v>70.246735085935285</c:v>
                </c:pt>
                <c:pt idx="47">
                  <c:v>10.617272757061954</c:v>
                </c:pt>
                <c:pt idx="48">
                  <c:v>60.456035818634639</c:v>
                </c:pt>
                <c:pt idx="49">
                  <c:v>17.916982802305185</c:v>
                </c:pt>
                <c:pt idx="50">
                  <c:v>44.39802264951782</c:v>
                </c:pt>
                <c:pt idx="51">
                  <c:v>5.903929598613999</c:v>
                </c:pt>
                <c:pt idx="52">
                  <c:v>27.220688472873658</c:v>
                </c:pt>
                <c:pt idx="53">
                  <c:v>22.673982814516762</c:v>
                </c:pt>
                <c:pt idx="54">
                  <c:v>21.744113789619114</c:v>
                </c:pt>
                <c:pt idx="55">
                  <c:v>33.429823382891826</c:v>
                </c:pt>
                <c:pt idx="56">
                  <c:v>-11.870220820337195</c:v>
                </c:pt>
                <c:pt idx="57">
                  <c:v>-13.208763608862064</c:v>
                </c:pt>
                <c:pt idx="58">
                  <c:v>21.470709506261294</c:v>
                </c:pt>
                <c:pt idx="59">
                  <c:v>45.04928410243501</c:v>
                </c:pt>
                <c:pt idx="60">
                  <c:v>-0.95102461605416977</c:v>
                </c:pt>
                <c:pt idx="61">
                  <c:v>105.19596499125012</c:v>
                </c:pt>
                <c:pt idx="62">
                  <c:v>-5.0435632194977842</c:v>
                </c:pt>
                <c:pt idx="63">
                  <c:v>-12.881944217404126</c:v>
                </c:pt>
                <c:pt idx="64">
                  <c:v>-16.682994815576826</c:v>
                </c:pt>
                <c:pt idx="65">
                  <c:v>92.688359716554658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B1F-4BAC-A726-8E8E988163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8533311"/>
        <c:axId val="1"/>
      </c:scatterChart>
      <c:valAx>
        <c:axId val="12853331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424242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"/>
        <c:crosses val="autoZero"/>
        <c:crossBetween val="midCat"/>
      </c:val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diff_Fat_level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8533311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b!$C$1</c:f>
              <c:strCache>
                <c:ptCount val="1"/>
                <c:pt idx="0">
                  <c:v>diff in Calories from Fat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6.7157480314960633E-2"/>
                  <c:y val="-0.37688721201516479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b!$A$2:$A$67</c:f>
              <c:numCache>
                <c:formatCode>0</c:formatCode>
                <c:ptCount val="66"/>
                <c:pt idx="0">
                  <c:v>45.533834883620202</c:v>
                </c:pt>
                <c:pt idx="1">
                  <c:v>56.479839814706615</c:v>
                </c:pt>
                <c:pt idx="2">
                  <c:v>53.824969652782713</c:v>
                </c:pt>
                <c:pt idx="3">
                  <c:v>50.368433053322349</c:v>
                </c:pt>
                <c:pt idx="4">
                  <c:v>60.874100519037704</c:v>
                </c:pt>
                <c:pt idx="5">
                  <c:v>39.900314130339346</c:v>
                </c:pt>
                <c:pt idx="6">
                  <c:v>42.245474688312669</c:v>
                </c:pt>
                <c:pt idx="7">
                  <c:v>67.776514510986857</c:v>
                </c:pt>
                <c:pt idx="8">
                  <c:v>64.317697476802351</c:v>
                </c:pt>
                <c:pt idx="9">
                  <c:v>39.87827184061954</c:v>
                </c:pt>
                <c:pt idx="10">
                  <c:v>42.284216464591402</c:v>
                </c:pt>
                <c:pt idx="11">
                  <c:v>68.09545896912779</c:v>
                </c:pt>
                <c:pt idx="12">
                  <c:v>68.800413055380375</c:v>
                </c:pt>
                <c:pt idx="13">
                  <c:v>43.608641717625687</c:v>
                </c:pt>
                <c:pt idx="14">
                  <c:v>49.335414576075316</c:v>
                </c:pt>
                <c:pt idx="15">
                  <c:v>37.46301635751086</c:v>
                </c:pt>
                <c:pt idx="16">
                  <c:v>64.233878010436939</c:v>
                </c:pt>
                <c:pt idx="17">
                  <c:v>54.392560167779529</c:v>
                </c:pt>
                <c:pt idx="18">
                  <c:v>34.89416772783639</c:v>
                </c:pt>
                <c:pt idx="19">
                  <c:v>49.641086761956927</c:v>
                </c:pt>
                <c:pt idx="20">
                  <c:v>55.218871259089049</c:v>
                </c:pt>
                <c:pt idx="21">
                  <c:v>35.33021546869854</c:v>
                </c:pt>
                <c:pt idx="22">
                  <c:v>36.78715218060016</c:v>
                </c:pt>
                <c:pt idx="23">
                  <c:v>51.951585066739192</c:v>
                </c:pt>
                <c:pt idx="24">
                  <c:v>41.969906118386987</c:v>
                </c:pt>
                <c:pt idx="25">
                  <c:v>58.136808702364561</c:v>
                </c:pt>
                <c:pt idx="26">
                  <c:v>59.74025329805179</c:v>
                </c:pt>
                <c:pt idx="27">
                  <c:v>47.501326704758718</c:v>
                </c:pt>
                <c:pt idx="28">
                  <c:v>46.739773898350137</c:v>
                </c:pt>
                <c:pt idx="29">
                  <c:v>47.012624426987692</c:v>
                </c:pt>
                <c:pt idx="30">
                  <c:v>37.357691931345443</c:v>
                </c:pt>
                <c:pt idx="31">
                  <c:v>46.59873557651855</c:v>
                </c:pt>
                <c:pt idx="32">
                  <c:v>56.731126915954214</c:v>
                </c:pt>
                <c:pt idx="33">
                  <c:v>49.547394069756109</c:v>
                </c:pt>
                <c:pt idx="34">
                  <c:v>35.135036837866387</c:v>
                </c:pt>
                <c:pt idx="35">
                  <c:v>52.903348782502633</c:v>
                </c:pt>
                <c:pt idx="36">
                  <c:v>52.571258695068231</c:v>
                </c:pt>
                <c:pt idx="37">
                  <c:v>54.409466518958077</c:v>
                </c:pt>
                <c:pt idx="38">
                  <c:v>65.500353053423908</c:v>
                </c:pt>
                <c:pt idx="39">
                  <c:v>41.647728395964016</c:v>
                </c:pt>
                <c:pt idx="40">
                  <c:v>49.409215603901217</c:v>
                </c:pt>
                <c:pt idx="41">
                  <c:v>47.999291350029587</c:v>
                </c:pt>
                <c:pt idx="42">
                  <c:v>49.39033699298448</c:v>
                </c:pt>
                <c:pt idx="43">
                  <c:v>27.214957226563673</c:v>
                </c:pt>
                <c:pt idx="44">
                  <c:v>57.50043531717985</c:v>
                </c:pt>
                <c:pt idx="45">
                  <c:v>53.483227208714851</c:v>
                </c:pt>
                <c:pt idx="46">
                  <c:v>62.546538568977752</c:v>
                </c:pt>
                <c:pt idx="47">
                  <c:v>45.90793805183386</c:v>
                </c:pt>
                <c:pt idx="48">
                  <c:v>58.831603939082328</c:v>
                </c:pt>
                <c:pt idx="49">
                  <c:v>60.548596610981825</c:v>
                </c:pt>
                <c:pt idx="50">
                  <c:v>55.368748811316969</c:v>
                </c:pt>
                <c:pt idx="51">
                  <c:v>39.601534070169855</c:v>
                </c:pt>
                <c:pt idx="52">
                  <c:v>56.377538031021246</c:v>
                </c:pt>
                <c:pt idx="53">
                  <c:v>49.589757449718981</c:v>
                </c:pt>
                <c:pt idx="54">
                  <c:v>44.583085502691013</c:v>
                </c:pt>
                <c:pt idx="55">
                  <c:v>54.81760864317301</c:v>
                </c:pt>
                <c:pt idx="56">
                  <c:v>50.68862394519833</c:v>
                </c:pt>
                <c:pt idx="57">
                  <c:v>48.58682907536911</c:v>
                </c:pt>
                <c:pt idx="58">
                  <c:v>57.630920157095943</c:v>
                </c:pt>
                <c:pt idx="59">
                  <c:v>52.558244797054876</c:v>
                </c:pt>
                <c:pt idx="60">
                  <c:v>42.453887827635093</c:v>
                </c:pt>
                <c:pt idx="61">
                  <c:v>52.67888727383874</c:v>
                </c:pt>
                <c:pt idx="62">
                  <c:v>72.311562840626408</c:v>
                </c:pt>
                <c:pt idx="63">
                  <c:v>47.067760629041878</c:v>
                </c:pt>
                <c:pt idx="64">
                  <c:v>52.053036600296551</c:v>
                </c:pt>
                <c:pt idx="65">
                  <c:v>55.84830348096876</c:v>
                </c:pt>
              </c:numCache>
            </c:numRef>
          </c:xVal>
          <c:yVal>
            <c:numRef>
              <c:f>b!$C$2:$C$67</c:f>
              <c:numCache>
                <c:formatCode>0.00</c:formatCode>
                <c:ptCount val="66"/>
                <c:pt idx="0">
                  <c:v>-9.7248333826067217</c:v>
                </c:pt>
                <c:pt idx="1">
                  <c:v>14.051346259570472</c:v>
                </c:pt>
                <c:pt idx="2">
                  <c:v>12.799308117172806</c:v>
                </c:pt>
                <c:pt idx="3">
                  <c:v>22.188888746002277</c:v>
                </c:pt>
                <c:pt idx="4">
                  <c:v>3.5583024019957818</c:v>
                </c:pt>
                <c:pt idx="5">
                  <c:v>11.252700692477067</c:v>
                </c:pt>
                <c:pt idx="6">
                  <c:v>4.2874210563840975</c:v>
                </c:pt>
                <c:pt idx="7">
                  <c:v>2.4001139640434701</c:v>
                </c:pt>
                <c:pt idx="8">
                  <c:v>-8.4454809744481807</c:v>
                </c:pt>
                <c:pt idx="9">
                  <c:v>2.472149518527182</c:v>
                </c:pt>
                <c:pt idx="10">
                  <c:v>9.047706618207922</c:v>
                </c:pt>
                <c:pt idx="11">
                  <c:v>11.815613068234779</c:v>
                </c:pt>
                <c:pt idx="12">
                  <c:v>-9.9541604757929463</c:v>
                </c:pt>
                <c:pt idx="13">
                  <c:v>14.648936665929725</c:v>
                </c:pt>
                <c:pt idx="14">
                  <c:v>13.163337863278141</c:v>
                </c:pt>
                <c:pt idx="15">
                  <c:v>6.7714022396404623</c:v>
                </c:pt>
                <c:pt idx="16">
                  <c:v>3.3564328227916604</c:v>
                </c:pt>
                <c:pt idx="17">
                  <c:v>5.7152147249349312</c:v>
                </c:pt>
                <c:pt idx="18">
                  <c:v>-0.13786596379291893</c:v>
                </c:pt>
                <c:pt idx="19">
                  <c:v>14.609532604043391</c:v>
                </c:pt>
                <c:pt idx="20">
                  <c:v>30.663084765176102</c:v>
                </c:pt>
                <c:pt idx="21">
                  <c:v>1.9829579164846223</c:v>
                </c:pt>
                <c:pt idx="22">
                  <c:v>-2.4771677163351171</c:v>
                </c:pt>
                <c:pt idx="23">
                  <c:v>-13.47757945311514</c:v>
                </c:pt>
                <c:pt idx="24">
                  <c:v>-17.019884916495016</c:v>
                </c:pt>
                <c:pt idx="25">
                  <c:v>7.3887003251708663</c:v>
                </c:pt>
                <c:pt idx="26">
                  <c:v>12.1178284066314</c:v>
                </c:pt>
                <c:pt idx="27">
                  <c:v>14.467559517790136</c:v>
                </c:pt>
                <c:pt idx="28">
                  <c:v>-7.2343604346013564</c:v>
                </c:pt>
                <c:pt idx="29">
                  <c:v>4.6970324797462339</c:v>
                </c:pt>
                <c:pt idx="30">
                  <c:v>6.9864804850256128</c:v>
                </c:pt>
                <c:pt idx="31">
                  <c:v>9.2689019893980529</c:v>
                </c:pt>
                <c:pt idx="32">
                  <c:v>11.609657735976459</c:v>
                </c:pt>
                <c:pt idx="33">
                  <c:v>6.0603046676354424</c:v>
                </c:pt>
                <c:pt idx="34">
                  <c:v>-4.9230254794546369</c:v>
                </c:pt>
                <c:pt idx="35">
                  <c:v>14.440124167557506</c:v>
                </c:pt>
                <c:pt idx="36">
                  <c:v>-2.9380632974808876</c:v>
                </c:pt>
                <c:pt idx="37">
                  <c:v>-5.3495881788833586</c:v>
                </c:pt>
                <c:pt idx="38">
                  <c:v>14.350046518515093</c:v>
                </c:pt>
                <c:pt idx="39">
                  <c:v>18.984716376700526</c:v>
                </c:pt>
                <c:pt idx="40">
                  <c:v>16.483951964680408</c:v>
                </c:pt>
                <c:pt idx="41">
                  <c:v>7.8244134026293182</c:v>
                </c:pt>
                <c:pt idx="42">
                  <c:v>14.553716011106893</c:v>
                </c:pt>
                <c:pt idx="43">
                  <c:v>-9.467638647800058</c:v>
                </c:pt>
                <c:pt idx="44">
                  <c:v>15.421546838425229</c:v>
                </c:pt>
                <c:pt idx="45">
                  <c:v>5.0979110498569042</c:v>
                </c:pt>
                <c:pt idx="46">
                  <c:v>16.724526880769151</c:v>
                </c:pt>
                <c:pt idx="47">
                  <c:v>-3.0272851922809991</c:v>
                </c:pt>
                <c:pt idx="48">
                  <c:v>-6.1219997969525579</c:v>
                </c:pt>
                <c:pt idx="49">
                  <c:v>-3.3767658000440761</c:v>
                </c:pt>
                <c:pt idx="50">
                  <c:v>-18.854326374663515</c:v>
                </c:pt>
                <c:pt idx="51">
                  <c:v>23.865345667578062</c:v>
                </c:pt>
                <c:pt idx="52">
                  <c:v>19.124764966077969</c:v>
                </c:pt>
                <c:pt idx="53">
                  <c:v>4.6333218355369326</c:v>
                </c:pt>
                <c:pt idx="54">
                  <c:v>9.4363354453326629</c:v>
                </c:pt>
                <c:pt idx="55">
                  <c:v>-0.81062231238555427</c:v>
                </c:pt>
                <c:pt idx="56">
                  <c:v>-3.1186606540424329</c:v>
                </c:pt>
                <c:pt idx="57">
                  <c:v>-1.1812781039042015</c:v>
                </c:pt>
                <c:pt idx="58">
                  <c:v>8.4952182276813772</c:v>
                </c:pt>
                <c:pt idx="59">
                  <c:v>3.4551769120852498</c:v>
                </c:pt>
                <c:pt idx="60">
                  <c:v>0.52539254542718083</c:v>
                </c:pt>
                <c:pt idx="61">
                  <c:v>25.288971940972811</c:v>
                </c:pt>
                <c:pt idx="62">
                  <c:v>6.6878845291076381</c:v>
                </c:pt>
                <c:pt idx="63">
                  <c:v>-14.633134760925486</c:v>
                </c:pt>
                <c:pt idx="64">
                  <c:v>3.8567354479933869</c:v>
                </c:pt>
                <c:pt idx="65">
                  <c:v>-3.2252289833426104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C656-4526-9CDC-1D176B7F95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97620751"/>
        <c:axId val="1497607855"/>
      </c:scatterChart>
      <c:valAx>
        <c:axId val="149762075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7607855"/>
        <c:crosses val="autoZero"/>
        <c:crossBetween val="midCat"/>
      </c:valAx>
      <c:valAx>
        <c:axId val="14976078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Diff</a:t>
                </a:r>
                <a:r>
                  <a:rPr lang="en-US" baseline="0"/>
                  <a:t> in CalfrFat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76207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[10578587.xlsx]c_i!PivotTable1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male_fat_reduction</a:t>
            </a:r>
          </a:p>
        </c:rich>
      </c:tx>
      <c:overlay val="0"/>
      <c:spPr>
        <a:noFill/>
        <a:ln w="254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c_i!$E$1:$E$2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c_i!$D$3:$D$14</c:f>
              <c:strCache>
                <c:ptCount val="11"/>
                <c:pt idx="0">
                  <c:v>&lt;-5</c:v>
                </c:pt>
                <c:pt idx="1">
                  <c:v>-5-5</c:v>
                </c:pt>
                <c:pt idx="2">
                  <c:v>5-15</c:v>
                </c:pt>
                <c:pt idx="3">
                  <c:v>15-25</c:v>
                </c:pt>
                <c:pt idx="4">
                  <c:v>25-35</c:v>
                </c:pt>
                <c:pt idx="5">
                  <c:v>35-45</c:v>
                </c:pt>
                <c:pt idx="6">
                  <c:v>45-55</c:v>
                </c:pt>
                <c:pt idx="7">
                  <c:v>55-65</c:v>
                </c:pt>
                <c:pt idx="8">
                  <c:v>65-75</c:v>
                </c:pt>
                <c:pt idx="9">
                  <c:v>85-95</c:v>
                </c:pt>
                <c:pt idx="10">
                  <c:v>95-105</c:v>
                </c:pt>
              </c:strCache>
            </c:strRef>
          </c:cat>
          <c:val>
            <c:numRef>
              <c:f>c_i!$E$3:$E$14</c:f>
              <c:numCache>
                <c:formatCode>General</c:formatCode>
                <c:ptCount val="11"/>
                <c:pt idx="0">
                  <c:v>9</c:v>
                </c:pt>
                <c:pt idx="1">
                  <c:v>4</c:v>
                </c:pt>
                <c:pt idx="2">
                  <c:v>1</c:v>
                </c:pt>
                <c:pt idx="3">
                  <c:v>4</c:v>
                </c:pt>
                <c:pt idx="4">
                  <c:v>2</c:v>
                </c:pt>
                <c:pt idx="5">
                  <c:v>4</c:v>
                </c:pt>
                <c:pt idx="6">
                  <c:v>3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83-463D-A983-85B0A1B659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7227375"/>
        <c:axId val="1"/>
      </c:barChart>
      <c:catAx>
        <c:axId val="21722737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Male</a:t>
                </a:r>
                <a:r>
                  <a:rPr lang="en-US" baseline="0"/>
                  <a:t> Fat reduction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Frequency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7227375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[10578587.xlsx]c_i!PivotTable2</c:name>
    <c:fmtId val="-1"/>
  </c:pivotSource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female_fat_reduction</a:t>
            </a:r>
          </a:p>
        </c:rich>
      </c:tx>
      <c:overlay val="0"/>
      <c:spPr>
        <a:noFill/>
        <a:ln w="25400"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ivotFmts>
      <c:pivotFmt>
        <c:idx val="0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c_i!$E$17:$E$18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c_i!$D$19:$D$31</c:f>
              <c:strCache>
                <c:ptCount val="12"/>
                <c:pt idx="0">
                  <c:v>&lt;-20</c:v>
                </c:pt>
                <c:pt idx="1">
                  <c:v>-20--10</c:v>
                </c:pt>
                <c:pt idx="2">
                  <c:v>-10-0</c:v>
                </c:pt>
                <c:pt idx="3">
                  <c:v>0-10</c:v>
                </c:pt>
                <c:pt idx="4">
                  <c:v>10-20</c:v>
                </c:pt>
                <c:pt idx="5">
                  <c:v>20-30</c:v>
                </c:pt>
                <c:pt idx="6">
                  <c:v>40-50</c:v>
                </c:pt>
                <c:pt idx="7">
                  <c:v>50-60</c:v>
                </c:pt>
                <c:pt idx="8">
                  <c:v>60-70</c:v>
                </c:pt>
                <c:pt idx="9">
                  <c:v>70-80</c:v>
                </c:pt>
                <c:pt idx="10">
                  <c:v>90-100</c:v>
                </c:pt>
                <c:pt idx="11">
                  <c:v>&gt;100</c:v>
                </c:pt>
              </c:strCache>
            </c:strRef>
          </c:cat>
          <c:val>
            <c:numRef>
              <c:f>c_i!$E$19:$E$31</c:f>
              <c:numCache>
                <c:formatCode>General</c:formatCode>
                <c:ptCount val="12"/>
                <c:pt idx="0">
                  <c:v>3</c:v>
                </c:pt>
                <c:pt idx="1">
                  <c:v>2</c:v>
                </c:pt>
                <c:pt idx="2">
                  <c:v>2</c:v>
                </c:pt>
                <c:pt idx="3">
                  <c:v>6</c:v>
                </c:pt>
                <c:pt idx="4">
                  <c:v>1</c:v>
                </c:pt>
                <c:pt idx="5">
                  <c:v>3</c:v>
                </c:pt>
                <c:pt idx="6">
                  <c:v>6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97-48E1-93CD-7BB7F9EA13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7228207"/>
        <c:axId val="1"/>
      </c:barChart>
      <c:catAx>
        <c:axId val="21722820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Female Fat reduction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"/>
        <c:crosses val="autoZero"/>
        <c:auto val="0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Frequency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7228207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2021-05-12T12:42:00Z</dcterms:created>
  <dcterms:modified xsi:type="dcterms:W3CDTF">2021-05-12T12:42:00Z</dcterms:modified>
</cp:coreProperties>
</file>