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1"/>
        </w:numPr>
        <w:ind w:left="720" w:hanging="360"/>
        <w:jc w:val="both"/>
        <w:rPr>
          <w:b w:val="1"/>
        </w:rPr>
      </w:pPr>
      <w:r w:rsidDel="00000000" w:rsidR="00000000" w:rsidRPr="00000000">
        <w:rPr>
          <w:b w:val="1"/>
          <w:rtl w:val="0"/>
        </w:rPr>
        <w:t xml:space="preserve">P&amp;G is the world’s leading manufacturer of consumer products, but most customers do not know the P&amp;G brand. Does that matter, or should P&amp;G brand more of their products under the P&amp;G brand (instead of Bounty, Crest, Tide and so on)? </w:t>
      </w:r>
    </w:p>
    <w:p w:rsidR="00000000" w:rsidDel="00000000" w:rsidP="00000000" w:rsidRDefault="00000000" w:rsidRPr="00000000" w14:paraId="00000002">
      <w:pPr>
        <w:jc w:val="both"/>
        <w:rPr/>
      </w:pPr>
      <w:r w:rsidDel="00000000" w:rsidR="00000000" w:rsidRPr="00000000">
        <w:rPr>
          <w:rtl w:val="0"/>
        </w:rPr>
        <w:t xml:space="preserve">Answer: </w:t>
      </w:r>
    </w:p>
    <w:p w:rsidR="00000000" w:rsidDel="00000000" w:rsidP="00000000" w:rsidRDefault="00000000" w:rsidRPr="00000000" w14:paraId="00000003">
      <w:pPr>
        <w:jc w:val="both"/>
        <w:rPr/>
      </w:pPr>
      <w:r w:rsidDel="00000000" w:rsidR="00000000" w:rsidRPr="00000000">
        <w:rPr>
          <w:rtl w:val="0"/>
        </w:rPr>
        <w:tab/>
        <w:t xml:space="preserve">As a leading market leader, Procter and Gamble already has cemented their mark in the global markets for the past years and the years to come. It is true that branding your own product is one of the most important aspects of the business as it gives your product the strong edge it needs to survive and even to top the market. P&amp;G's use of their sub-branding products like ( Bounty, Crest, Tide) helps the parent company which is Procter and Gamble boost its exposure and help advertise the parent brand. It gives its customers the impression that these sub-branding products offer the same quality Procter &amp; Gamble offers. In this way, Procter &amp; Gamble also creates streams of loyalty and trust from their customers using their sub-brands.</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numPr>
          <w:ilvl w:val="0"/>
          <w:numId w:val="1"/>
        </w:numPr>
        <w:ind w:left="720" w:hanging="360"/>
        <w:jc w:val="both"/>
        <w:rPr>
          <w:b w:val="1"/>
        </w:rPr>
      </w:pPr>
      <w:r w:rsidDel="00000000" w:rsidR="00000000" w:rsidRPr="00000000">
        <w:rPr>
          <w:b w:val="1"/>
          <w:rtl w:val="0"/>
        </w:rPr>
        <w:t xml:space="preserve">Considering P&amp;G’s massive product portfolio and the company’s enormous size, what global supply chain efficiencies do you think P&amp;G has that other companies cannot match given the size and scope of P&amp;G?</w:t>
      </w:r>
    </w:p>
    <w:p w:rsidR="00000000" w:rsidDel="00000000" w:rsidP="00000000" w:rsidRDefault="00000000" w:rsidRPr="00000000" w14:paraId="00000006">
      <w:pPr>
        <w:jc w:val="both"/>
        <w:rPr/>
      </w:pPr>
      <w:r w:rsidDel="00000000" w:rsidR="00000000" w:rsidRPr="00000000">
        <w:rPr>
          <w:rtl w:val="0"/>
        </w:rPr>
        <w:t xml:space="preserve">Answer: </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ab/>
        <w:t xml:space="preserve">P&amp;G has mounted its aggressive facet to guide the worldwide delivery chain with such a lot of commercial enterprise concepts. P&amp;Gs delivery chain approaches have modified dramatically over the past 30 years. Without a doubt, rising media is one of the maximum crucial forces of this transition. According to Supply Chain 4.zero in Consumer Goods, the emphasis of the deliver chain control function has shifted to “superior making plans approaches” which are greater targeted on cutting-edge calls for from give up clients, pushed through current predictive forecasting and incorporating operations making plans. Such a call-for-pushed version, below which producers have to experience and adapt to call for as swiftly as possible, necessitates a rethinking in their production to cargo community architecture. To meet such a call for, P&amp;G carried out a data-pushed output float of activities, which significantly expanded responsiveness and accountability.</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ind w:firstLine="720"/>
        <w:jc w:val="both"/>
        <w:rPr/>
      </w:pPr>
      <w:r w:rsidDel="00000000" w:rsidR="00000000" w:rsidRPr="00000000">
        <w:rPr>
          <w:rtl w:val="0"/>
        </w:rPr>
        <w:t xml:space="preserve">One of the principle elements is a “give up-to-give up version” that connects the formerly siloed levels from producers to clients to be able to supply the first-rate gain to give up users “with faster-than-ever turnaround times.” Understanding that virtual integration of workflows that permits excessive visibility of any motion in every segment is vital to allowing an give-up-to-give up version is critical for absolutely integrating diverse sections of the chain. End-to-give up making plans is enabled through virtual integration of workflows enabled through the usage of algorithm-pushed software programs to do away with exceptions, linking headquarters, manufacturing plants, distributors, and shops. </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  Meanwhile, it additionally absolutely integrates the “GDSN,” Global Data Synchronization Network, with the retail service. GDSN lets in absolutely virtual exchange without human interference. Formalized paraphrase This functionality significantly reduces human mistakes among shops and businesses, saving cash for each stakeholder.</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numPr>
          <w:ilvl w:val="0"/>
          <w:numId w:val="1"/>
        </w:numPr>
        <w:ind w:left="720" w:hanging="360"/>
        <w:jc w:val="both"/>
        <w:rPr>
          <w:b w:val="1"/>
          <w:u w:val="none"/>
        </w:rPr>
      </w:pPr>
      <w:r w:rsidDel="00000000" w:rsidR="00000000" w:rsidRPr="00000000">
        <w:rPr>
          <w:b w:val="1"/>
          <w:rtl w:val="0"/>
        </w:rPr>
        <w:t xml:space="preserve">Given P&amp;G focus on synergy and supplier partnerships, how many of P&amp;G’s suppliers do you think should be labeled strategic, and how many should be considered just transactional relationships, and why? </w:t>
      </w:r>
    </w:p>
    <w:p w:rsidR="00000000" w:rsidDel="00000000" w:rsidP="00000000" w:rsidRDefault="00000000" w:rsidRPr="00000000" w14:paraId="00000011">
      <w:pPr>
        <w:ind w:left="0" w:firstLine="0"/>
        <w:jc w:val="both"/>
        <w:rPr/>
      </w:pPr>
      <w:r w:rsidDel="00000000" w:rsidR="00000000" w:rsidRPr="00000000">
        <w:rPr>
          <w:rtl w:val="0"/>
        </w:rPr>
        <w:t xml:space="preserve">Answer:</w:t>
      </w:r>
    </w:p>
    <w:p w:rsidR="00000000" w:rsidDel="00000000" w:rsidP="00000000" w:rsidRDefault="00000000" w:rsidRPr="00000000" w14:paraId="00000012">
      <w:pPr>
        <w:ind w:left="0" w:firstLine="0"/>
        <w:jc w:val="both"/>
        <w:rPr/>
      </w:pPr>
      <w:r w:rsidDel="00000000" w:rsidR="00000000" w:rsidRPr="00000000">
        <w:rPr>
          <w:rtl w:val="0"/>
        </w:rPr>
        <w:tab/>
        <w:t xml:space="preserve">Based on the data I’ve gathered regarding the supplier partnerships that P&amp;G’s focused on, I believe that the suppliers that should be labeled strategic are about 75%, whereas the transactional relationships should be considered for around 25% only. As per the supply chains that P&amp;G’s continually utilize and maximize, its operation should be incorporated with companies wherein they would be able to create a long-term relationship for it’s great sustainability within its industry. </w:t>
      </w:r>
    </w:p>
    <w:p w:rsidR="00000000" w:rsidDel="00000000" w:rsidP="00000000" w:rsidRDefault="00000000" w:rsidRPr="00000000" w14:paraId="00000013">
      <w:pPr>
        <w:ind w:left="0" w:firstLine="0"/>
        <w:jc w:val="both"/>
        <w:rPr/>
      </w:pPr>
      <w:r w:rsidDel="00000000" w:rsidR="00000000" w:rsidRPr="00000000">
        <w:rPr>
          <w:rtl w:val="0"/>
        </w:rPr>
      </w:r>
    </w:p>
    <w:p w:rsidR="00000000" w:rsidDel="00000000" w:rsidP="00000000" w:rsidRDefault="00000000" w:rsidRPr="00000000" w14:paraId="00000014">
      <w:pPr>
        <w:ind w:left="0" w:firstLine="0"/>
        <w:jc w:val="both"/>
        <w:rPr>
          <w:rFonts w:ascii="Roboto" w:cs="Roboto" w:eastAsia="Roboto" w:hAnsi="Roboto"/>
          <w:color w:val="333333"/>
          <w:sz w:val="23"/>
          <w:szCs w:val="23"/>
          <w:highlight w:val="white"/>
        </w:rPr>
      </w:pPr>
      <w:r w:rsidDel="00000000" w:rsidR="00000000" w:rsidRPr="00000000">
        <w:rPr>
          <w:rtl w:val="0"/>
        </w:rPr>
        <w:tab/>
        <w:t xml:space="preserve">“</w:t>
      </w:r>
      <w:r w:rsidDel="00000000" w:rsidR="00000000" w:rsidRPr="00000000">
        <w:rPr>
          <w:rFonts w:ascii="Roboto" w:cs="Roboto" w:eastAsia="Roboto" w:hAnsi="Roboto"/>
          <w:color w:val="333333"/>
          <w:sz w:val="23"/>
          <w:szCs w:val="23"/>
          <w:highlight w:val="white"/>
          <w:rtl w:val="0"/>
        </w:rPr>
        <w:t xml:space="preserve">We need partnerships with retail customers, investors, business partners, agencies and suppliers that are built upon the fundamental idea of improving lives," said Bob McDonald, P&amp;G's chairman of the board, president and chief executive officer. </w:t>
      </w:r>
    </w:p>
    <w:p w:rsidR="00000000" w:rsidDel="00000000" w:rsidP="00000000" w:rsidRDefault="00000000" w:rsidRPr="00000000" w14:paraId="00000015">
      <w:pPr>
        <w:ind w:left="0" w:firstLine="0"/>
        <w:jc w:val="both"/>
        <w:rPr>
          <w:rFonts w:ascii="Roboto" w:cs="Roboto" w:eastAsia="Roboto" w:hAnsi="Roboto"/>
          <w:color w:val="333333"/>
          <w:sz w:val="23"/>
          <w:szCs w:val="23"/>
          <w:highlight w:val="white"/>
        </w:rPr>
      </w:pPr>
      <w:r w:rsidDel="00000000" w:rsidR="00000000" w:rsidRPr="00000000">
        <w:rPr>
          <w:rtl w:val="0"/>
        </w:rPr>
      </w:r>
    </w:p>
    <w:p w:rsidR="00000000" w:rsidDel="00000000" w:rsidP="00000000" w:rsidRDefault="00000000" w:rsidRPr="00000000" w14:paraId="00000016">
      <w:pPr>
        <w:ind w:left="0" w:firstLine="0"/>
        <w:jc w:val="both"/>
        <w:rPr>
          <w:rFonts w:ascii="Roboto" w:cs="Roboto" w:eastAsia="Roboto" w:hAnsi="Roboto"/>
          <w:color w:val="333333"/>
          <w:sz w:val="23"/>
          <w:szCs w:val="23"/>
          <w:highlight w:val="white"/>
        </w:rPr>
      </w:pPr>
      <w:r w:rsidDel="00000000" w:rsidR="00000000" w:rsidRPr="00000000">
        <w:rPr>
          <w:rFonts w:ascii="Roboto" w:cs="Roboto" w:eastAsia="Roboto" w:hAnsi="Roboto"/>
          <w:color w:val="333333"/>
          <w:sz w:val="23"/>
          <w:szCs w:val="23"/>
          <w:highlight w:val="white"/>
          <w:rtl w:val="0"/>
        </w:rPr>
        <w:tab/>
        <w:t xml:space="preserve">Thus, building stronger relationships and connections making the company stronger and more established.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