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F7AE9" w14:textId="77777777" w:rsidR="00D2517D" w:rsidRDefault="00D2517D" w:rsidP="00D2517D">
      <w:pPr>
        <w:jc w:val="center"/>
        <w:rPr>
          <w:rFonts w:ascii="Arial" w:hAnsi="Arial" w:cs="Arial"/>
          <w:sz w:val="24"/>
          <w:szCs w:val="24"/>
        </w:rPr>
      </w:pPr>
    </w:p>
    <w:p w14:paraId="702E47D2" w14:textId="77777777" w:rsidR="00D2517D" w:rsidRDefault="00D2517D" w:rsidP="00D2517D">
      <w:pPr>
        <w:jc w:val="center"/>
        <w:rPr>
          <w:rFonts w:ascii="Arial" w:hAnsi="Arial" w:cs="Arial"/>
          <w:sz w:val="24"/>
          <w:szCs w:val="24"/>
        </w:rPr>
      </w:pPr>
    </w:p>
    <w:p w14:paraId="4C76237B" w14:textId="77777777" w:rsidR="00D2517D" w:rsidRDefault="00D2517D" w:rsidP="00D2517D">
      <w:pPr>
        <w:jc w:val="center"/>
        <w:rPr>
          <w:rFonts w:ascii="Arial" w:hAnsi="Arial" w:cs="Arial"/>
          <w:sz w:val="24"/>
          <w:szCs w:val="24"/>
        </w:rPr>
      </w:pPr>
    </w:p>
    <w:p w14:paraId="7A530BFE" w14:textId="77777777" w:rsidR="00D2517D" w:rsidRDefault="00D2517D" w:rsidP="00D2517D">
      <w:pPr>
        <w:jc w:val="center"/>
        <w:rPr>
          <w:rFonts w:ascii="Arial" w:hAnsi="Arial" w:cs="Arial"/>
          <w:sz w:val="24"/>
          <w:szCs w:val="24"/>
        </w:rPr>
      </w:pPr>
    </w:p>
    <w:p w14:paraId="1E19E731" w14:textId="77777777" w:rsidR="00D2517D" w:rsidRDefault="00D2517D" w:rsidP="00D2517D">
      <w:pPr>
        <w:jc w:val="center"/>
        <w:rPr>
          <w:rFonts w:ascii="Arial" w:hAnsi="Arial" w:cs="Arial"/>
          <w:sz w:val="24"/>
          <w:szCs w:val="24"/>
        </w:rPr>
      </w:pPr>
    </w:p>
    <w:p w14:paraId="0AE1F9EB" w14:textId="77777777" w:rsidR="00D2517D" w:rsidRDefault="00D2517D" w:rsidP="00D2517D">
      <w:pPr>
        <w:jc w:val="center"/>
        <w:rPr>
          <w:rFonts w:ascii="Arial" w:hAnsi="Arial" w:cs="Arial"/>
          <w:sz w:val="24"/>
          <w:szCs w:val="24"/>
        </w:rPr>
      </w:pPr>
    </w:p>
    <w:p w14:paraId="40A3ED38" w14:textId="77777777" w:rsidR="00D2517D" w:rsidRDefault="00D2517D" w:rsidP="00D2517D">
      <w:pPr>
        <w:jc w:val="center"/>
        <w:rPr>
          <w:rFonts w:ascii="Arial" w:hAnsi="Arial" w:cs="Arial"/>
          <w:sz w:val="24"/>
          <w:szCs w:val="24"/>
        </w:rPr>
      </w:pPr>
    </w:p>
    <w:p w14:paraId="316E661A" w14:textId="77777777" w:rsidR="00D2517D" w:rsidRDefault="00D2517D" w:rsidP="00D2517D">
      <w:pPr>
        <w:jc w:val="center"/>
        <w:rPr>
          <w:rFonts w:ascii="Arial" w:hAnsi="Arial" w:cs="Arial"/>
          <w:sz w:val="24"/>
          <w:szCs w:val="24"/>
        </w:rPr>
      </w:pPr>
    </w:p>
    <w:p w14:paraId="5704C0E1" w14:textId="77777777" w:rsidR="00D2517D" w:rsidRDefault="00D2517D" w:rsidP="00D2517D">
      <w:pPr>
        <w:jc w:val="center"/>
        <w:rPr>
          <w:rFonts w:ascii="Arial" w:hAnsi="Arial" w:cs="Arial"/>
          <w:sz w:val="24"/>
          <w:szCs w:val="24"/>
        </w:rPr>
      </w:pPr>
    </w:p>
    <w:p w14:paraId="7D303CD8" w14:textId="77777777" w:rsidR="00D2517D" w:rsidRDefault="00D2517D" w:rsidP="00D2517D">
      <w:pPr>
        <w:jc w:val="center"/>
        <w:rPr>
          <w:rFonts w:ascii="Arial" w:hAnsi="Arial" w:cs="Arial"/>
          <w:sz w:val="24"/>
          <w:szCs w:val="24"/>
        </w:rPr>
      </w:pPr>
    </w:p>
    <w:p w14:paraId="5EA77DEC" w14:textId="77777777" w:rsidR="00D2517D" w:rsidRDefault="00D2517D" w:rsidP="00D2517D">
      <w:pPr>
        <w:jc w:val="center"/>
        <w:rPr>
          <w:rFonts w:ascii="Arial" w:hAnsi="Arial" w:cs="Arial"/>
          <w:sz w:val="24"/>
          <w:szCs w:val="24"/>
        </w:rPr>
      </w:pPr>
    </w:p>
    <w:p w14:paraId="644F62E2" w14:textId="77777777" w:rsidR="00D2517D" w:rsidRDefault="00D2517D" w:rsidP="00D2517D">
      <w:pPr>
        <w:jc w:val="center"/>
        <w:rPr>
          <w:rFonts w:ascii="Arial" w:hAnsi="Arial" w:cs="Arial"/>
          <w:sz w:val="24"/>
          <w:szCs w:val="24"/>
        </w:rPr>
      </w:pPr>
    </w:p>
    <w:p w14:paraId="0E2A104B" w14:textId="5A96BFF8" w:rsidR="00D2517D" w:rsidRDefault="00D2517D" w:rsidP="00D2517D">
      <w:pPr>
        <w:jc w:val="center"/>
        <w:rPr>
          <w:rFonts w:ascii="Arial" w:hAnsi="Arial" w:cs="Arial"/>
          <w:sz w:val="24"/>
          <w:szCs w:val="24"/>
        </w:rPr>
      </w:pPr>
      <w:r>
        <w:rPr>
          <w:rFonts w:ascii="Arial" w:hAnsi="Arial" w:cs="Arial"/>
          <w:sz w:val="24"/>
          <w:szCs w:val="24"/>
        </w:rPr>
        <w:t>Candidate Number</w:t>
      </w:r>
    </w:p>
    <w:p w14:paraId="44F97007" w14:textId="77777777" w:rsidR="00D2517D" w:rsidRDefault="00D2517D" w:rsidP="00D2517D">
      <w:pPr>
        <w:jc w:val="center"/>
        <w:rPr>
          <w:rFonts w:ascii="Arial" w:hAnsi="Arial" w:cs="Arial"/>
          <w:sz w:val="24"/>
          <w:szCs w:val="24"/>
        </w:rPr>
      </w:pPr>
      <w:r>
        <w:rPr>
          <w:rFonts w:ascii="Arial" w:hAnsi="Arial" w:cs="Arial"/>
          <w:sz w:val="24"/>
          <w:szCs w:val="24"/>
        </w:rPr>
        <w:t>Module Code</w:t>
      </w:r>
    </w:p>
    <w:p w14:paraId="0F1B4432" w14:textId="09449763" w:rsidR="00D2517D" w:rsidRDefault="00D2517D" w:rsidP="00D2517D">
      <w:pPr>
        <w:jc w:val="center"/>
        <w:rPr>
          <w:rFonts w:ascii="Arial" w:hAnsi="Arial" w:cs="Arial"/>
          <w:sz w:val="24"/>
          <w:szCs w:val="24"/>
        </w:rPr>
      </w:pPr>
      <w:r>
        <w:rPr>
          <w:rFonts w:ascii="Arial" w:hAnsi="Arial" w:cs="Arial"/>
          <w:sz w:val="24"/>
          <w:szCs w:val="24"/>
        </w:rPr>
        <w:t>Module Name</w:t>
      </w:r>
      <w:r>
        <w:rPr>
          <w:rFonts w:ascii="Arial" w:hAnsi="Arial" w:cs="Arial"/>
          <w:sz w:val="24"/>
          <w:szCs w:val="24"/>
        </w:rPr>
        <w:br w:type="page"/>
      </w:r>
    </w:p>
    <w:p w14:paraId="2F18238C" w14:textId="57B9D488" w:rsidR="00D45B52" w:rsidRPr="00325E9E" w:rsidRDefault="00325E9E" w:rsidP="00644A2F">
      <w:pPr>
        <w:spacing w:line="360" w:lineRule="auto"/>
        <w:jc w:val="center"/>
        <w:rPr>
          <w:rFonts w:ascii="Arial" w:hAnsi="Arial" w:cs="Arial"/>
          <w:sz w:val="24"/>
          <w:szCs w:val="24"/>
        </w:rPr>
      </w:pPr>
      <w:r w:rsidRPr="00325E9E">
        <w:rPr>
          <w:rFonts w:ascii="Arial" w:hAnsi="Arial" w:cs="Arial"/>
          <w:sz w:val="24"/>
          <w:szCs w:val="24"/>
        </w:rPr>
        <w:lastRenderedPageBreak/>
        <w:t>Corporate Financial Management: Takeaway Exam</w:t>
      </w:r>
    </w:p>
    <w:p w14:paraId="679ED755" w14:textId="4C948405" w:rsidR="00325E9E" w:rsidRPr="00644A2F" w:rsidRDefault="00325E9E" w:rsidP="00325E9E">
      <w:pPr>
        <w:spacing w:line="360" w:lineRule="auto"/>
        <w:rPr>
          <w:rFonts w:ascii="Arial" w:hAnsi="Arial" w:cs="Arial"/>
          <w:b/>
          <w:bCs/>
          <w:sz w:val="24"/>
          <w:szCs w:val="24"/>
        </w:rPr>
      </w:pPr>
      <w:r w:rsidRPr="00644A2F">
        <w:rPr>
          <w:rFonts w:ascii="Arial" w:hAnsi="Arial" w:cs="Arial"/>
          <w:b/>
          <w:bCs/>
          <w:sz w:val="24"/>
          <w:szCs w:val="24"/>
        </w:rPr>
        <w:t>Question 1</w:t>
      </w:r>
    </w:p>
    <w:p w14:paraId="78999140" w14:textId="17634A7F" w:rsidR="00325E9E" w:rsidRDefault="00FD5DC8" w:rsidP="00325E9E">
      <w:pPr>
        <w:spacing w:line="360" w:lineRule="auto"/>
        <w:rPr>
          <w:rFonts w:ascii="Arial" w:hAnsi="Arial" w:cs="Arial"/>
          <w:sz w:val="24"/>
          <w:szCs w:val="24"/>
        </w:rPr>
      </w:pPr>
      <w:r>
        <w:rPr>
          <w:rFonts w:ascii="Arial" w:hAnsi="Arial" w:cs="Arial"/>
          <w:sz w:val="24"/>
          <w:szCs w:val="24"/>
        </w:rPr>
        <w:t xml:space="preserve">a. I agree. Conservative working capital and financing policies require the highest level of liquidity with companies holding a higher proportion of </w:t>
      </w:r>
      <w:r w:rsidR="00C14315">
        <w:rPr>
          <w:rFonts w:ascii="Arial" w:hAnsi="Arial" w:cs="Arial"/>
          <w:sz w:val="24"/>
          <w:szCs w:val="24"/>
        </w:rPr>
        <w:t xml:space="preserve">assets in cash form. Most short-term investments are also made in the least risk securities, usually short-term government bills. Cash and risk-free investments earn the lowest rate of return; thus, the profits that can be made from short-term investments are lower for companies with conservative working capital policies. Additionally, holding a larger proportion of assets in liquid form precludes investment in inventory and other operating assets, which reduces the earnings realizable from operations. Furthermore, companies with conservative working policies will usually extend credit to a lower proportion of buyers, which reduces the overall sales turnover and overall profitability. However, these companies have lower risk of insolvency in the short-term and large losses from unexpected changes in the market, which would have an adverse impact on the performance of companies that invest in riskier short-term assets such as commercial paper. </w:t>
      </w:r>
      <w:r w:rsidR="004A4001">
        <w:rPr>
          <w:rFonts w:ascii="Arial" w:hAnsi="Arial" w:cs="Arial"/>
          <w:sz w:val="24"/>
          <w:szCs w:val="24"/>
        </w:rPr>
        <w:t>For companies that elect conservative working capital practices, the lower risk benefits are worth the decrease in profitability</w:t>
      </w:r>
    </w:p>
    <w:p w14:paraId="0FFAF357" w14:textId="60E09656" w:rsidR="00957DBD" w:rsidRPr="00957DBD" w:rsidRDefault="004A4001" w:rsidP="00325E9E">
      <w:pPr>
        <w:spacing w:line="360" w:lineRule="auto"/>
        <w:rPr>
          <w:rFonts w:ascii="Arial" w:hAnsi="Arial" w:cs="Arial"/>
          <w:b/>
          <w:bCs/>
          <w:sz w:val="24"/>
          <w:szCs w:val="24"/>
        </w:rPr>
      </w:pPr>
      <w:r>
        <w:rPr>
          <w:rFonts w:ascii="Arial" w:hAnsi="Arial" w:cs="Arial"/>
          <w:sz w:val="24"/>
          <w:szCs w:val="24"/>
        </w:rPr>
        <w:t xml:space="preserve">b. </w:t>
      </w:r>
      <w:r w:rsidR="00957DBD" w:rsidRPr="00957DBD">
        <w:rPr>
          <w:rFonts w:ascii="Arial" w:hAnsi="Arial" w:cs="Arial"/>
          <w:b/>
          <w:bCs/>
          <w:sz w:val="24"/>
          <w:szCs w:val="24"/>
        </w:rPr>
        <w:t>Current CC cycle</w:t>
      </w:r>
    </w:p>
    <w:p w14:paraId="572D9E10" w14:textId="3244AF04" w:rsidR="004A4001" w:rsidRDefault="00644A2F" w:rsidP="00325E9E">
      <w:pPr>
        <w:spacing w:line="360" w:lineRule="auto"/>
        <w:rPr>
          <w:rFonts w:ascii="Arial" w:hAnsi="Arial" w:cs="Arial"/>
          <w:sz w:val="24"/>
          <w:szCs w:val="24"/>
        </w:rPr>
      </w:pPr>
      <w:r>
        <w:rPr>
          <w:rFonts w:ascii="Arial" w:hAnsi="Arial" w:cs="Arial"/>
          <w:sz w:val="24"/>
          <w:szCs w:val="24"/>
        </w:rPr>
        <w:t>Cost of goods sold = 75% * $12 million = $9,000,000</w:t>
      </w:r>
    </w:p>
    <w:p w14:paraId="5F4E4DF5" w14:textId="3F311911" w:rsidR="00644A2F" w:rsidRDefault="00644A2F" w:rsidP="00325E9E">
      <w:pPr>
        <w:spacing w:line="360" w:lineRule="auto"/>
        <w:rPr>
          <w:rFonts w:ascii="Arial" w:hAnsi="Arial" w:cs="Arial"/>
          <w:sz w:val="24"/>
          <w:szCs w:val="24"/>
        </w:rPr>
      </w:pPr>
      <w:r>
        <w:rPr>
          <w:rFonts w:ascii="Arial" w:hAnsi="Arial" w:cs="Arial"/>
          <w:sz w:val="24"/>
          <w:szCs w:val="24"/>
        </w:rPr>
        <w:t>Average inventory = $800,000</w:t>
      </w:r>
    </w:p>
    <w:p w14:paraId="599B74A5" w14:textId="6B96B44B" w:rsidR="00644A2F" w:rsidRDefault="00644A2F" w:rsidP="00325E9E">
      <w:pPr>
        <w:spacing w:line="360" w:lineRule="auto"/>
        <w:rPr>
          <w:rFonts w:ascii="Arial" w:hAnsi="Arial" w:cs="Arial"/>
          <w:sz w:val="24"/>
          <w:szCs w:val="24"/>
        </w:rPr>
      </w:pPr>
      <w:r>
        <w:rPr>
          <w:rFonts w:ascii="Arial" w:hAnsi="Arial" w:cs="Arial"/>
          <w:sz w:val="24"/>
          <w:szCs w:val="24"/>
        </w:rPr>
        <w:t>Inventory turnover = 9,000,000/800,000 = 11 times</w:t>
      </w:r>
    </w:p>
    <w:p w14:paraId="0F8F8282" w14:textId="48EFAF2B" w:rsidR="00644A2F" w:rsidRDefault="00644A2F" w:rsidP="00325E9E">
      <w:pPr>
        <w:spacing w:line="360" w:lineRule="auto"/>
        <w:rPr>
          <w:rFonts w:ascii="Arial" w:hAnsi="Arial" w:cs="Arial"/>
          <w:sz w:val="24"/>
          <w:szCs w:val="24"/>
        </w:rPr>
      </w:pPr>
      <w:r>
        <w:rPr>
          <w:rFonts w:ascii="Arial" w:hAnsi="Arial" w:cs="Arial"/>
          <w:sz w:val="24"/>
          <w:szCs w:val="24"/>
        </w:rPr>
        <w:t>Inventory conversion period = 365/11 = 32.44 days</w:t>
      </w:r>
    </w:p>
    <w:p w14:paraId="2E1FF16B" w14:textId="026A20BA" w:rsidR="00644A2F" w:rsidRDefault="00644A2F" w:rsidP="00325E9E">
      <w:pPr>
        <w:spacing w:line="360" w:lineRule="auto"/>
        <w:rPr>
          <w:rFonts w:ascii="Arial" w:hAnsi="Arial" w:cs="Arial"/>
          <w:sz w:val="24"/>
          <w:szCs w:val="24"/>
        </w:rPr>
      </w:pPr>
      <w:r>
        <w:rPr>
          <w:rFonts w:ascii="Arial" w:hAnsi="Arial" w:cs="Arial"/>
          <w:sz w:val="24"/>
          <w:szCs w:val="24"/>
        </w:rPr>
        <w:t>Collection period = 32.44 days</w:t>
      </w:r>
    </w:p>
    <w:p w14:paraId="3C763A77" w14:textId="4DC6723B" w:rsidR="00644A2F" w:rsidRDefault="00366181" w:rsidP="00325E9E">
      <w:pPr>
        <w:spacing w:line="360" w:lineRule="auto"/>
        <w:rPr>
          <w:rFonts w:ascii="Arial" w:hAnsi="Arial" w:cs="Arial"/>
          <w:sz w:val="24"/>
          <w:szCs w:val="24"/>
        </w:rPr>
      </w:pPr>
      <w:r>
        <w:rPr>
          <w:rFonts w:ascii="Arial" w:hAnsi="Arial" w:cs="Arial"/>
          <w:sz w:val="24"/>
          <w:szCs w:val="24"/>
        </w:rPr>
        <w:t>Payables period = 45 days</w:t>
      </w:r>
    </w:p>
    <w:p w14:paraId="5119240A" w14:textId="43A1D836" w:rsidR="00366181" w:rsidRDefault="00366181" w:rsidP="00325E9E">
      <w:pPr>
        <w:spacing w:line="360" w:lineRule="auto"/>
        <w:rPr>
          <w:rFonts w:ascii="Arial" w:hAnsi="Arial" w:cs="Arial"/>
          <w:sz w:val="24"/>
          <w:szCs w:val="24"/>
        </w:rPr>
      </w:pPr>
      <w:r>
        <w:rPr>
          <w:rFonts w:ascii="Arial" w:hAnsi="Arial" w:cs="Arial"/>
          <w:sz w:val="24"/>
          <w:szCs w:val="24"/>
        </w:rPr>
        <w:t xml:space="preserve">Cash conversion cycle (CCC) = </w:t>
      </w:r>
      <w:r w:rsidR="0055682B">
        <w:rPr>
          <w:rFonts w:ascii="Arial" w:hAnsi="Arial" w:cs="Arial"/>
          <w:sz w:val="24"/>
          <w:szCs w:val="24"/>
        </w:rPr>
        <w:t>32.44 + 32.44 – 45</w:t>
      </w:r>
    </w:p>
    <w:p w14:paraId="180C6DF8" w14:textId="0D89C01C" w:rsidR="0055682B" w:rsidRDefault="0055682B" w:rsidP="00325E9E">
      <w:pPr>
        <w:spacing w:line="360" w:lineRule="auto"/>
        <w:rPr>
          <w:rFonts w:ascii="Arial" w:hAnsi="Arial" w:cs="Arial"/>
          <w:sz w:val="24"/>
          <w:szCs w:val="24"/>
        </w:rPr>
      </w:pPr>
      <w:r>
        <w:rPr>
          <w:rFonts w:ascii="Arial" w:hAnsi="Arial" w:cs="Arial"/>
          <w:sz w:val="24"/>
          <w:szCs w:val="24"/>
        </w:rPr>
        <w:t xml:space="preserve">CCC = </w:t>
      </w:r>
      <w:r w:rsidR="00980150">
        <w:rPr>
          <w:rFonts w:ascii="Arial" w:hAnsi="Arial" w:cs="Arial"/>
          <w:sz w:val="24"/>
          <w:szCs w:val="24"/>
        </w:rPr>
        <w:t>19.89 days</w:t>
      </w:r>
    </w:p>
    <w:p w14:paraId="789B995B" w14:textId="176C56A5" w:rsidR="00957DBD" w:rsidRPr="00957DBD" w:rsidRDefault="00957DBD" w:rsidP="00325E9E">
      <w:pPr>
        <w:spacing w:line="360" w:lineRule="auto"/>
        <w:rPr>
          <w:rFonts w:ascii="Arial" w:hAnsi="Arial" w:cs="Arial"/>
          <w:b/>
          <w:bCs/>
          <w:sz w:val="24"/>
          <w:szCs w:val="24"/>
        </w:rPr>
      </w:pPr>
      <w:r w:rsidRPr="00957DBD">
        <w:rPr>
          <w:rFonts w:ascii="Arial" w:hAnsi="Arial" w:cs="Arial"/>
          <w:b/>
          <w:bCs/>
          <w:sz w:val="24"/>
          <w:szCs w:val="24"/>
        </w:rPr>
        <w:t>Proposed plan</w:t>
      </w:r>
    </w:p>
    <w:p w14:paraId="6841ED26" w14:textId="60CC9A3A" w:rsidR="00980150" w:rsidRDefault="00980150" w:rsidP="00325E9E">
      <w:pPr>
        <w:spacing w:line="360" w:lineRule="auto"/>
        <w:rPr>
          <w:rFonts w:ascii="Arial" w:hAnsi="Arial" w:cs="Arial"/>
          <w:sz w:val="24"/>
          <w:szCs w:val="24"/>
        </w:rPr>
      </w:pPr>
      <w:r>
        <w:rPr>
          <w:rFonts w:ascii="Arial" w:hAnsi="Arial" w:cs="Arial"/>
          <w:sz w:val="24"/>
          <w:szCs w:val="24"/>
        </w:rPr>
        <w:lastRenderedPageBreak/>
        <w:t xml:space="preserve">Target, CCC = </w:t>
      </w:r>
      <w:r w:rsidR="004E3FF8">
        <w:rPr>
          <w:rFonts w:ascii="Arial" w:hAnsi="Arial" w:cs="Arial"/>
          <w:sz w:val="24"/>
          <w:szCs w:val="24"/>
        </w:rPr>
        <w:t>19.89 – 5 = 14.89 days</w:t>
      </w:r>
    </w:p>
    <w:p w14:paraId="244583CE" w14:textId="39302BAD" w:rsidR="004E3FF8" w:rsidRDefault="00D96403" w:rsidP="00325E9E">
      <w:pPr>
        <w:spacing w:line="360" w:lineRule="auto"/>
        <w:rPr>
          <w:rFonts w:ascii="Arial" w:hAnsi="Arial" w:cs="Arial"/>
          <w:sz w:val="24"/>
          <w:szCs w:val="24"/>
        </w:rPr>
      </w:pPr>
      <w:r>
        <w:rPr>
          <w:rFonts w:ascii="Arial" w:hAnsi="Arial" w:cs="Arial"/>
          <w:sz w:val="24"/>
          <w:szCs w:val="24"/>
        </w:rPr>
        <w:t>ACP = 30 days</w:t>
      </w:r>
    </w:p>
    <w:p w14:paraId="080870B4" w14:textId="7B9F6AD7" w:rsidR="00D96403" w:rsidRDefault="00D96403" w:rsidP="00325E9E">
      <w:pPr>
        <w:spacing w:line="360" w:lineRule="auto"/>
        <w:rPr>
          <w:rFonts w:ascii="Arial" w:hAnsi="Arial" w:cs="Arial"/>
          <w:sz w:val="24"/>
          <w:szCs w:val="24"/>
        </w:rPr>
      </w:pPr>
      <w:r>
        <w:rPr>
          <w:rFonts w:ascii="Arial" w:hAnsi="Arial" w:cs="Arial"/>
          <w:sz w:val="24"/>
          <w:szCs w:val="24"/>
        </w:rPr>
        <w:t>Payables period = 45 days</w:t>
      </w:r>
    </w:p>
    <w:p w14:paraId="2DD2A674" w14:textId="3E0918E3" w:rsidR="00D96403" w:rsidRDefault="00D96403" w:rsidP="00325E9E">
      <w:pPr>
        <w:spacing w:line="360" w:lineRule="auto"/>
        <w:rPr>
          <w:rFonts w:ascii="Arial" w:hAnsi="Arial" w:cs="Arial"/>
          <w:sz w:val="24"/>
          <w:szCs w:val="24"/>
        </w:rPr>
      </w:pPr>
      <w:r>
        <w:rPr>
          <w:rFonts w:ascii="Arial" w:hAnsi="Arial" w:cs="Arial"/>
          <w:sz w:val="24"/>
          <w:szCs w:val="24"/>
        </w:rPr>
        <w:t>Required inventory days: 30 + inventory days – 45 = 14.89 days</w:t>
      </w:r>
    </w:p>
    <w:p w14:paraId="00DBB594" w14:textId="0E2C527B" w:rsidR="00D96403" w:rsidRDefault="00D96403" w:rsidP="00325E9E">
      <w:pPr>
        <w:spacing w:line="360" w:lineRule="auto"/>
        <w:rPr>
          <w:rFonts w:ascii="Arial" w:hAnsi="Arial" w:cs="Arial"/>
          <w:sz w:val="24"/>
          <w:szCs w:val="24"/>
        </w:rPr>
      </w:pPr>
      <w:r>
        <w:rPr>
          <w:rFonts w:ascii="Arial" w:hAnsi="Arial" w:cs="Arial"/>
          <w:sz w:val="24"/>
          <w:szCs w:val="24"/>
        </w:rPr>
        <w:t>Inventory days = 29.89 days</w:t>
      </w:r>
    </w:p>
    <w:p w14:paraId="5564FF0A" w14:textId="671EB882" w:rsidR="00D96403" w:rsidRDefault="00541D49" w:rsidP="00325E9E">
      <w:pPr>
        <w:spacing w:line="360" w:lineRule="auto"/>
        <w:rPr>
          <w:rFonts w:ascii="Arial" w:hAnsi="Arial" w:cs="Arial"/>
          <w:sz w:val="24"/>
          <w:szCs w:val="24"/>
        </w:rPr>
      </w:pPr>
      <w:r>
        <w:rPr>
          <w:rFonts w:ascii="Arial" w:hAnsi="Arial" w:cs="Arial"/>
          <w:sz w:val="24"/>
          <w:szCs w:val="24"/>
        </w:rPr>
        <w:t>Desired average inventory days = 365 * Average inventory/9,000,000</w:t>
      </w:r>
    </w:p>
    <w:p w14:paraId="29D2A868" w14:textId="0A36F63B" w:rsidR="00541D49" w:rsidRDefault="00541D49" w:rsidP="00325E9E">
      <w:pPr>
        <w:spacing w:line="360" w:lineRule="auto"/>
        <w:rPr>
          <w:rFonts w:ascii="Arial" w:hAnsi="Arial" w:cs="Arial"/>
          <w:sz w:val="24"/>
          <w:szCs w:val="24"/>
        </w:rPr>
      </w:pPr>
      <w:r>
        <w:rPr>
          <w:rFonts w:ascii="Arial" w:hAnsi="Arial" w:cs="Arial"/>
          <w:sz w:val="24"/>
          <w:szCs w:val="24"/>
        </w:rPr>
        <w:t>29.89 = 36*inv/9,000,000</w:t>
      </w:r>
    </w:p>
    <w:p w14:paraId="7990E323" w14:textId="07CD6650" w:rsidR="00541D49" w:rsidRDefault="00541D49" w:rsidP="00325E9E">
      <w:pPr>
        <w:spacing w:line="360" w:lineRule="auto"/>
        <w:rPr>
          <w:rFonts w:ascii="Arial" w:hAnsi="Arial" w:cs="Arial"/>
          <w:sz w:val="24"/>
          <w:szCs w:val="24"/>
        </w:rPr>
      </w:pPr>
      <w:r>
        <w:rPr>
          <w:rFonts w:ascii="Arial" w:hAnsi="Arial" w:cs="Arial"/>
          <w:sz w:val="24"/>
          <w:szCs w:val="24"/>
        </w:rPr>
        <w:t>Average inventory = $737,018</w:t>
      </w:r>
    </w:p>
    <w:p w14:paraId="61514667" w14:textId="2F056474" w:rsidR="00D96403" w:rsidRDefault="004954D1" w:rsidP="00325E9E">
      <w:pPr>
        <w:spacing w:line="360" w:lineRule="auto"/>
        <w:rPr>
          <w:rFonts w:ascii="Arial" w:hAnsi="Arial" w:cs="Arial"/>
          <w:sz w:val="24"/>
          <w:szCs w:val="24"/>
        </w:rPr>
      </w:pPr>
      <w:r>
        <w:rPr>
          <w:rFonts w:ascii="Arial" w:hAnsi="Arial" w:cs="Arial"/>
          <w:sz w:val="24"/>
          <w:szCs w:val="24"/>
        </w:rPr>
        <w:t>Required inventory reduction = 800,000 – 737,018 = $62,986</w:t>
      </w:r>
    </w:p>
    <w:p w14:paraId="7CEB7201" w14:textId="5AE34433" w:rsidR="004954D1" w:rsidRDefault="00EC69B1" w:rsidP="00325E9E">
      <w:pPr>
        <w:spacing w:line="360" w:lineRule="auto"/>
        <w:rPr>
          <w:rFonts w:ascii="Arial" w:hAnsi="Arial" w:cs="Arial"/>
          <w:sz w:val="24"/>
          <w:szCs w:val="24"/>
        </w:rPr>
      </w:pPr>
      <w:r>
        <w:rPr>
          <w:rFonts w:ascii="Arial" w:hAnsi="Arial" w:cs="Arial"/>
          <w:sz w:val="24"/>
          <w:szCs w:val="24"/>
        </w:rPr>
        <w:t>c. Quantity = 5,000</w:t>
      </w:r>
    </w:p>
    <w:p w14:paraId="5BBC4F10" w14:textId="019B3C40" w:rsidR="00EC69B1" w:rsidRDefault="00EC69B1" w:rsidP="00325E9E">
      <w:pPr>
        <w:spacing w:line="360" w:lineRule="auto"/>
        <w:rPr>
          <w:rFonts w:ascii="Arial" w:hAnsi="Arial" w:cs="Arial"/>
          <w:sz w:val="24"/>
          <w:szCs w:val="24"/>
        </w:rPr>
      </w:pPr>
      <w:r>
        <w:rPr>
          <w:rFonts w:ascii="Arial" w:hAnsi="Arial" w:cs="Arial"/>
          <w:sz w:val="24"/>
          <w:szCs w:val="24"/>
        </w:rPr>
        <w:t>Ordering costs = £25,000</w:t>
      </w:r>
    </w:p>
    <w:p w14:paraId="3B632197" w14:textId="7E341036" w:rsidR="00EC69B1" w:rsidRDefault="00EC69B1" w:rsidP="00325E9E">
      <w:pPr>
        <w:spacing w:line="360" w:lineRule="auto"/>
        <w:rPr>
          <w:rFonts w:ascii="Arial" w:hAnsi="Arial" w:cs="Arial"/>
          <w:sz w:val="24"/>
          <w:szCs w:val="24"/>
        </w:rPr>
      </w:pPr>
      <w:r>
        <w:rPr>
          <w:rFonts w:ascii="Arial" w:hAnsi="Arial" w:cs="Arial"/>
          <w:sz w:val="24"/>
          <w:szCs w:val="24"/>
        </w:rPr>
        <w:t>Price = £250</w:t>
      </w:r>
    </w:p>
    <w:p w14:paraId="2E5EDFBB" w14:textId="15FA54B7" w:rsidR="00EC69B1" w:rsidRDefault="00EC69B1" w:rsidP="00325E9E">
      <w:pPr>
        <w:spacing w:line="360" w:lineRule="auto"/>
        <w:rPr>
          <w:rFonts w:ascii="Arial" w:hAnsi="Arial" w:cs="Arial"/>
          <w:sz w:val="24"/>
          <w:szCs w:val="24"/>
        </w:rPr>
      </w:pPr>
      <w:r>
        <w:rPr>
          <w:rFonts w:ascii="Arial" w:hAnsi="Arial" w:cs="Arial"/>
          <w:sz w:val="24"/>
          <w:szCs w:val="24"/>
        </w:rPr>
        <w:t>Holding cost = 20% * £250 = £50</w:t>
      </w:r>
    </w:p>
    <w:p w14:paraId="3F90A202" w14:textId="449A2615" w:rsidR="00EC69B1" w:rsidRDefault="00EC69B1" w:rsidP="00325E9E">
      <w:pPr>
        <w:spacing w:line="360" w:lineRule="auto"/>
        <w:rPr>
          <w:rFonts w:ascii="Arial" w:hAnsi="Arial" w:cs="Arial"/>
          <w:sz w:val="24"/>
          <w:szCs w:val="24"/>
        </w:rPr>
      </w:pPr>
      <w:r>
        <w:rPr>
          <w:rFonts w:ascii="Arial" w:hAnsi="Arial" w:cs="Arial"/>
          <w:sz w:val="24"/>
          <w:szCs w:val="24"/>
        </w:rPr>
        <w:t>EOQ =</w:t>
      </w:r>
      <w:r w:rsidR="00C0032E">
        <w:rPr>
          <w:rFonts w:ascii="Arial" w:hAnsi="Arial" w:cs="Arial"/>
          <w:sz w:val="24"/>
          <w:szCs w:val="24"/>
        </w:rPr>
        <w:t xml:space="preserve"> sqrt ((2 * 5,000 *</w:t>
      </w:r>
      <w:r w:rsidR="00BB2C3F">
        <w:rPr>
          <w:rFonts w:ascii="Arial" w:hAnsi="Arial" w:cs="Arial"/>
          <w:sz w:val="24"/>
          <w:szCs w:val="24"/>
        </w:rPr>
        <w:t xml:space="preserve"> 12*</w:t>
      </w:r>
      <w:r w:rsidR="00C0032E">
        <w:rPr>
          <w:rFonts w:ascii="Arial" w:hAnsi="Arial" w:cs="Arial"/>
          <w:sz w:val="24"/>
          <w:szCs w:val="24"/>
        </w:rPr>
        <w:t xml:space="preserve"> 25,000)/50)</w:t>
      </w:r>
    </w:p>
    <w:p w14:paraId="07E25DE4" w14:textId="6B0B6D59" w:rsidR="00644A2F" w:rsidRPr="00325E9E" w:rsidRDefault="00C0032E" w:rsidP="00325E9E">
      <w:pPr>
        <w:spacing w:line="360" w:lineRule="auto"/>
        <w:rPr>
          <w:rFonts w:ascii="Arial" w:hAnsi="Arial" w:cs="Arial"/>
          <w:sz w:val="24"/>
          <w:szCs w:val="24"/>
        </w:rPr>
      </w:pPr>
      <w:r>
        <w:rPr>
          <w:rFonts w:ascii="Arial" w:hAnsi="Arial" w:cs="Arial"/>
          <w:sz w:val="24"/>
          <w:szCs w:val="24"/>
        </w:rPr>
        <w:t xml:space="preserve">EOQ = </w:t>
      </w:r>
      <w:r w:rsidR="00BB2C3F">
        <w:rPr>
          <w:rFonts w:ascii="Arial" w:hAnsi="Arial" w:cs="Arial"/>
          <w:sz w:val="24"/>
          <w:szCs w:val="24"/>
        </w:rPr>
        <w:t>7,74</w:t>
      </w:r>
      <w:r>
        <w:rPr>
          <w:rFonts w:ascii="Arial" w:hAnsi="Arial" w:cs="Arial"/>
          <w:sz w:val="24"/>
          <w:szCs w:val="24"/>
        </w:rPr>
        <w:t>6 units</w:t>
      </w:r>
    </w:p>
    <w:p w14:paraId="0985A8AF" w14:textId="39E29C0F" w:rsidR="00325E9E" w:rsidRPr="00D2517D" w:rsidRDefault="00325E9E" w:rsidP="00325E9E">
      <w:pPr>
        <w:spacing w:line="360" w:lineRule="auto"/>
        <w:rPr>
          <w:rFonts w:ascii="Arial" w:hAnsi="Arial" w:cs="Arial"/>
          <w:b/>
          <w:bCs/>
          <w:sz w:val="24"/>
          <w:szCs w:val="24"/>
        </w:rPr>
      </w:pPr>
      <w:r w:rsidRPr="00D2517D">
        <w:rPr>
          <w:rFonts w:ascii="Arial" w:hAnsi="Arial" w:cs="Arial"/>
          <w:b/>
          <w:bCs/>
          <w:sz w:val="24"/>
          <w:szCs w:val="24"/>
        </w:rPr>
        <w:t>Question 2</w:t>
      </w:r>
    </w:p>
    <w:p w14:paraId="2FE968BA" w14:textId="59D0D670" w:rsidR="00AE4B03" w:rsidRDefault="00BA285A" w:rsidP="00325E9E">
      <w:pPr>
        <w:spacing w:line="360" w:lineRule="auto"/>
        <w:rPr>
          <w:rFonts w:ascii="Arial" w:hAnsi="Arial" w:cs="Arial"/>
          <w:sz w:val="24"/>
          <w:szCs w:val="24"/>
        </w:rPr>
      </w:pPr>
      <w:r>
        <w:rPr>
          <w:rFonts w:ascii="Arial" w:hAnsi="Arial" w:cs="Arial"/>
          <w:sz w:val="24"/>
          <w:szCs w:val="24"/>
        </w:rPr>
        <w:t xml:space="preserve">a. A poison pill is a financing strategy that companies facing the risk of takeover undertake to reduce the company’s attractiveness to the acquiree. </w:t>
      </w:r>
      <w:r w:rsidR="00765BC7">
        <w:rPr>
          <w:rFonts w:ascii="Arial" w:hAnsi="Arial" w:cs="Arial"/>
          <w:sz w:val="24"/>
          <w:szCs w:val="24"/>
        </w:rPr>
        <w:t>For example, a company could give existing shareholders the right to purchase additional shares at a lower price than the market price if a</w:t>
      </w:r>
      <w:r w:rsidR="00AE4B03">
        <w:rPr>
          <w:rFonts w:ascii="Arial" w:hAnsi="Arial" w:cs="Arial"/>
          <w:sz w:val="24"/>
          <w:szCs w:val="24"/>
        </w:rPr>
        <w:t>n activist or passive investor</w:t>
      </w:r>
      <w:r w:rsidR="00765BC7">
        <w:rPr>
          <w:rFonts w:ascii="Arial" w:hAnsi="Arial" w:cs="Arial"/>
          <w:sz w:val="24"/>
          <w:szCs w:val="24"/>
        </w:rPr>
        <w:t xml:space="preserve"> acquires more than a given percentage of the </w:t>
      </w:r>
      <w:r w:rsidR="00AE4B03">
        <w:rPr>
          <w:rFonts w:ascii="Arial" w:hAnsi="Arial" w:cs="Arial"/>
          <w:sz w:val="24"/>
          <w:szCs w:val="24"/>
        </w:rPr>
        <w:t>stock outstanding</w:t>
      </w:r>
      <w:r w:rsidR="00765BC7">
        <w:rPr>
          <w:rFonts w:ascii="Arial" w:hAnsi="Arial" w:cs="Arial"/>
          <w:sz w:val="24"/>
          <w:szCs w:val="24"/>
        </w:rPr>
        <w:t xml:space="preserve">. </w:t>
      </w:r>
      <w:r w:rsidR="00AE4B03">
        <w:rPr>
          <w:rFonts w:ascii="Arial" w:hAnsi="Arial" w:cs="Arial"/>
          <w:sz w:val="24"/>
          <w:szCs w:val="24"/>
        </w:rPr>
        <w:t xml:space="preserve">Such poison pills could be implicit within a company’s shareholders rights plan. The investor pays market price for the stock but the company’s value is diluted significantly after the investor’s purchase. The higher mark-up and additional costs of gaining control will deter the takeover. </w:t>
      </w:r>
      <w:r w:rsidR="00FD2144">
        <w:rPr>
          <w:rFonts w:ascii="Arial" w:hAnsi="Arial" w:cs="Arial"/>
          <w:sz w:val="24"/>
          <w:szCs w:val="24"/>
        </w:rPr>
        <w:t xml:space="preserve">Poison pills are outlawed because they increase executives’ wealth at the expense of shareholders. A </w:t>
      </w:r>
      <w:r w:rsidR="00FD2144">
        <w:rPr>
          <w:rFonts w:ascii="Arial" w:hAnsi="Arial" w:cs="Arial"/>
          <w:sz w:val="24"/>
          <w:szCs w:val="24"/>
        </w:rPr>
        <w:lastRenderedPageBreak/>
        <w:t xml:space="preserve">takeover by an activist investor could benefit shareholders especially if current management engages in wasteful activities that go against the shareholder wealth maximization objective. </w:t>
      </w:r>
      <w:r w:rsidR="00C047AB">
        <w:rPr>
          <w:rFonts w:ascii="Arial" w:hAnsi="Arial" w:cs="Arial"/>
          <w:sz w:val="24"/>
          <w:szCs w:val="24"/>
        </w:rPr>
        <w:t>Activating the poison pill benefits management at the expense of shareholders who suffer capital losses resulting from poor managerial decision making.</w:t>
      </w:r>
    </w:p>
    <w:p w14:paraId="40BCB00F" w14:textId="11D2D150" w:rsidR="00C047AB" w:rsidRDefault="00C047AB" w:rsidP="00325E9E">
      <w:pPr>
        <w:spacing w:line="360" w:lineRule="auto"/>
        <w:rPr>
          <w:rFonts w:ascii="Arial" w:hAnsi="Arial" w:cs="Arial"/>
          <w:sz w:val="24"/>
          <w:szCs w:val="24"/>
        </w:rPr>
      </w:pPr>
      <w:r>
        <w:rPr>
          <w:rFonts w:ascii="Arial" w:hAnsi="Arial" w:cs="Arial"/>
          <w:sz w:val="24"/>
          <w:szCs w:val="24"/>
        </w:rPr>
        <w:t xml:space="preserve">b. This is a </w:t>
      </w:r>
      <w:r w:rsidR="007B4BEB">
        <w:rPr>
          <w:rFonts w:ascii="Arial" w:hAnsi="Arial" w:cs="Arial"/>
          <w:sz w:val="24"/>
          <w:szCs w:val="24"/>
        </w:rPr>
        <w:t>stock</w:t>
      </w:r>
      <w:r w:rsidR="006A61FD">
        <w:rPr>
          <w:rFonts w:ascii="Arial" w:hAnsi="Arial" w:cs="Arial"/>
          <w:sz w:val="24"/>
          <w:szCs w:val="24"/>
        </w:rPr>
        <w:t>-on-stock</w:t>
      </w:r>
      <w:r w:rsidR="007B4BEB">
        <w:rPr>
          <w:rFonts w:ascii="Arial" w:hAnsi="Arial" w:cs="Arial"/>
          <w:sz w:val="24"/>
          <w:szCs w:val="24"/>
        </w:rPr>
        <w:t xml:space="preserve"> </w:t>
      </w:r>
      <w:r>
        <w:rPr>
          <w:rFonts w:ascii="Arial" w:hAnsi="Arial" w:cs="Arial"/>
          <w:sz w:val="24"/>
          <w:szCs w:val="24"/>
        </w:rPr>
        <w:t xml:space="preserve">takeover </w:t>
      </w:r>
      <w:r w:rsidR="007B4BEB">
        <w:rPr>
          <w:rFonts w:ascii="Arial" w:hAnsi="Arial" w:cs="Arial"/>
          <w:sz w:val="24"/>
          <w:szCs w:val="24"/>
        </w:rPr>
        <w:t xml:space="preserve">where the acquiree exchanges target shareholders’ stock for stock in the post-merger company. </w:t>
      </w:r>
    </w:p>
    <w:p w14:paraId="4A3C879C" w14:textId="6C8431DE" w:rsidR="007B4BEB" w:rsidRDefault="007B4BEB" w:rsidP="00325E9E">
      <w:pPr>
        <w:spacing w:line="360" w:lineRule="auto"/>
        <w:rPr>
          <w:rFonts w:ascii="Arial" w:hAnsi="Arial" w:cs="Arial"/>
          <w:sz w:val="24"/>
          <w:szCs w:val="24"/>
        </w:rPr>
      </w:pPr>
      <w:r>
        <w:rPr>
          <w:rFonts w:ascii="Arial" w:hAnsi="Arial" w:cs="Arial"/>
          <w:sz w:val="24"/>
          <w:szCs w:val="24"/>
        </w:rPr>
        <w:t>Target company stock = 30 million</w:t>
      </w:r>
    </w:p>
    <w:p w14:paraId="2679F0F6" w14:textId="341CCFC1" w:rsidR="007B4BEB" w:rsidRDefault="007B4BEB" w:rsidP="00325E9E">
      <w:pPr>
        <w:spacing w:line="360" w:lineRule="auto"/>
        <w:rPr>
          <w:rFonts w:ascii="Arial" w:hAnsi="Arial" w:cs="Arial"/>
          <w:sz w:val="24"/>
          <w:szCs w:val="24"/>
        </w:rPr>
      </w:pPr>
      <w:r>
        <w:rPr>
          <w:rFonts w:ascii="Arial" w:hAnsi="Arial" w:cs="Arial"/>
          <w:sz w:val="24"/>
          <w:szCs w:val="24"/>
        </w:rPr>
        <w:t>Stock issued to target shareholders = 30,000,000/4 = 7.5 million shares</w:t>
      </w:r>
    </w:p>
    <w:p w14:paraId="505AF176" w14:textId="7E50379F" w:rsidR="007B4BEB" w:rsidRDefault="00C873DE" w:rsidP="00325E9E">
      <w:pPr>
        <w:spacing w:line="360" w:lineRule="auto"/>
        <w:rPr>
          <w:rFonts w:ascii="Arial" w:hAnsi="Arial" w:cs="Arial"/>
          <w:sz w:val="24"/>
          <w:szCs w:val="24"/>
        </w:rPr>
      </w:pPr>
      <w:r>
        <w:rPr>
          <w:rFonts w:ascii="Arial" w:hAnsi="Arial" w:cs="Arial"/>
          <w:sz w:val="24"/>
          <w:szCs w:val="24"/>
        </w:rPr>
        <w:t>Value of shares issued = 80 * 7,500,000</w:t>
      </w:r>
      <w:r w:rsidR="00930A80">
        <w:rPr>
          <w:rFonts w:ascii="Arial" w:hAnsi="Arial" w:cs="Arial"/>
          <w:sz w:val="24"/>
          <w:szCs w:val="24"/>
        </w:rPr>
        <w:t xml:space="preserve"> = 600,000,000</w:t>
      </w:r>
    </w:p>
    <w:p w14:paraId="6672BC3B" w14:textId="6343237F" w:rsidR="006A61FD" w:rsidRDefault="006A61FD" w:rsidP="00325E9E">
      <w:pPr>
        <w:spacing w:line="360" w:lineRule="auto"/>
        <w:rPr>
          <w:rFonts w:ascii="Arial" w:hAnsi="Arial" w:cs="Arial"/>
          <w:sz w:val="24"/>
          <w:szCs w:val="24"/>
        </w:rPr>
      </w:pPr>
      <w:r>
        <w:rPr>
          <w:rFonts w:ascii="Arial" w:hAnsi="Arial" w:cs="Arial"/>
          <w:sz w:val="24"/>
          <w:szCs w:val="24"/>
        </w:rPr>
        <w:t>Equity value of the target = $600,000,000</w:t>
      </w:r>
    </w:p>
    <w:p w14:paraId="2811CDAD" w14:textId="642903EF" w:rsidR="00930A80" w:rsidRDefault="00930A80" w:rsidP="00325E9E">
      <w:pPr>
        <w:spacing w:line="360" w:lineRule="auto"/>
        <w:rPr>
          <w:rFonts w:ascii="Arial" w:hAnsi="Arial" w:cs="Arial"/>
          <w:sz w:val="24"/>
          <w:szCs w:val="24"/>
        </w:rPr>
      </w:pPr>
      <w:r>
        <w:rPr>
          <w:rFonts w:ascii="Arial" w:hAnsi="Arial" w:cs="Arial"/>
          <w:sz w:val="24"/>
          <w:szCs w:val="24"/>
        </w:rPr>
        <w:t>Value to the target per share = 600,000,000/30,000,000 = $20</w:t>
      </w:r>
    </w:p>
    <w:p w14:paraId="1488C9E9" w14:textId="4671E9EF" w:rsidR="00930A80" w:rsidRDefault="006A61FD" w:rsidP="00325E9E">
      <w:pPr>
        <w:spacing w:line="360" w:lineRule="auto"/>
        <w:rPr>
          <w:rFonts w:ascii="Arial" w:hAnsi="Arial" w:cs="Arial"/>
          <w:sz w:val="24"/>
          <w:szCs w:val="24"/>
        </w:rPr>
      </w:pPr>
      <w:r>
        <w:rPr>
          <w:rFonts w:ascii="Arial" w:hAnsi="Arial" w:cs="Arial"/>
          <w:sz w:val="24"/>
          <w:szCs w:val="24"/>
        </w:rPr>
        <w:t xml:space="preserve">c. An increase in the price per share of the acquiring company increases the </w:t>
      </w:r>
      <w:r w:rsidRPr="006A61FD">
        <w:rPr>
          <w:rFonts w:ascii="Arial" w:hAnsi="Arial" w:cs="Arial"/>
          <w:sz w:val="24"/>
          <w:szCs w:val="24"/>
        </w:rPr>
        <w:t>value to the target</w:t>
      </w:r>
      <w:r>
        <w:rPr>
          <w:rFonts w:ascii="Arial" w:hAnsi="Arial" w:cs="Arial"/>
          <w:sz w:val="24"/>
          <w:szCs w:val="24"/>
        </w:rPr>
        <w:t xml:space="preserve"> as each share exchanged for the acquiring company’s shares is valued at a higher price.</w:t>
      </w:r>
    </w:p>
    <w:p w14:paraId="539EC482" w14:textId="4419E047" w:rsidR="00325E9E" w:rsidRPr="00D2517D" w:rsidRDefault="00325E9E" w:rsidP="00325E9E">
      <w:pPr>
        <w:spacing w:line="360" w:lineRule="auto"/>
        <w:rPr>
          <w:rFonts w:ascii="Arial" w:hAnsi="Arial" w:cs="Arial"/>
          <w:b/>
          <w:bCs/>
          <w:sz w:val="24"/>
          <w:szCs w:val="24"/>
        </w:rPr>
      </w:pPr>
      <w:r w:rsidRPr="00D2517D">
        <w:rPr>
          <w:rFonts w:ascii="Arial" w:hAnsi="Arial" w:cs="Arial"/>
          <w:b/>
          <w:bCs/>
          <w:sz w:val="24"/>
          <w:szCs w:val="24"/>
        </w:rPr>
        <w:t>Question 3</w:t>
      </w:r>
    </w:p>
    <w:p w14:paraId="2FBDCF52" w14:textId="23637F77" w:rsidR="00325E9E" w:rsidRDefault="00325E9E" w:rsidP="00325E9E">
      <w:pPr>
        <w:spacing w:line="360" w:lineRule="auto"/>
        <w:rPr>
          <w:rFonts w:ascii="Arial" w:hAnsi="Arial" w:cs="Arial"/>
          <w:sz w:val="24"/>
          <w:szCs w:val="24"/>
        </w:rPr>
      </w:pPr>
      <w:r>
        <w:rPr>
          <w:rFonts w:ascii="Arial" w:hAnsi="Arial" w:cs="Arial"/>
          <w:sz w:val="24"/>
          <w:szCs w:val="24"/>
        </w:rPr>
        <w:t>a) The systematic risk of an asset’s returns refers to its exposure to market-wide risk factors such as decreases in national income, increases in interest rate, inflation and other macroeconomic factors that affect all firms in the market.</w:t>
      </w:r>
      <w:r w:rsidR="00872C75">
        <w:rPr>
          <w:rFonts w:ascii="Arial" w:hAnsi="Arial" w:cs="Arial"/>
          <w:sz w:val="24"/>
          <w:szCs w:val="24"/>
        </w:rPr>
        <w:t xml:space="preserve"> Systematic risk is measured using beta, which evaluates the extent to which an asset’s returns move with the market returns. Assets with beta values greater than 1 have higher </w:t>
      </w:r>
      <w:r w:rsidR="00BB395B">
        <w:rPr>
          <w:rFonts w:ascii="Arial" w:hAnsi="Arial" w:cs="Arial"/>
          <w:sz w:val="24"/>
          <w:szCs w:val="24"/>
        </w:rPr>
        <w:t xml:space="preserve">exposure to systematic risk factors when compared to the market portfolio while assets with beta values of less than 1 have lower exposure. </w:t>
      </w:r>
      <w:r>
        <w:rPr>
          <w:rFonts w:ascii="Arial" w:hAnsi="Arial" w:cs="Arial"/>
          <w:sz w:val="24"/>
          <w:szCs w:val="24"/>
        </w:rPr>
        <w:t>Conversely, unsystematic risk refers to the asset’s exposure to unique risk factors that arise from its internal structure and its operation in a given industry. For example, a worker strike that is constrained to a given company or industry is an unsystematic risk factor. Portfolios are constructed to achieve diversification benefits from the elimination of unsystematic risk factors. A portfolio of at least 30 well-diversified assets</w:t>
      </w:r>
      <w:r w:rsidR="00BB395B">
        <w:rPr>
          <w:rFonts w:ascii="Arial" w:hAnsi="Arial" w:cs="Arial"/>
          <w:sz w:val="24"/>
          <w:szCs w:val="24"/>
        </w:rPr>
        <w:t xml:space="preserve"> has unsystematic risk approaching zero</w:t>
      </w:r>
      <w:r w:rsidR="00872C75">
        <w:rPr>
          <w:rFonts w:ascii="Arial" w:hAnsi="Arial" w:cs="Arial"/>
          <w:sz w:val="24"/>
          <w:szCs w:val="24"/>
        </w:rPr>
        <w:t xml:space="preserve">. Therefore, the </w:t>
      </w:r>
      <w:r w:rsidR="00872C75">
        <w:rPr>
          <w:rFonts w:ascii="Arial" w:hAnsi="Arial" w:cs="Arial"/>
          <w:sz w:val="24"/>
          <w:szCs w:val="24"/>
        </w:rPr>
        <w:lastRenderedPageBreak/>
        <w:t xml:space="preserve">relevant risk for a portfolio is the systematic risk as all assets are to some extent exposed to changes in market-wide factors. </w:t>
      </w:r>
    </w:p>
    <w:p w14:paraId="3B1DC2C9" w14:textId="3E64554A" w:rsidR="007B2CF6" w:rsidRDefault="007B2CF6" w:rsidP="00325E9E">
      <w:pPr>
        <w:spacing w:line="360" w:lineRule="auto"/>
        <w:rPr>
          <w:rFonts w:ascii="Arial" w:hAnsi="Arial" w:cs="Arial"/>
          <w:sz w:val="24"/>
          <w:szCs w:val="24"/>
        </w:rPr>
      </w:pPr>
      <w:r>
        <w:rPr>
          <w:rFonts w:ascii="Arial" w:hAnsi="Arial" w:cs="Arial"/>
          <w:sz w:val="24"/>
          <w:szCs w:val="24"/>
        </w:rPr>
        <w:t>b) Expected return = Risk-free rate + Beta * market risk premium</w:t>
      </w:r>
    </w:p>
    <w:p w14:paraId="2A28C0DD" w14:textId="3C2B1A8A" w:rsidR="007B2CF6" w:rsidRDefault="007B2CF6" w:rsidP="00325E9E">
      <w:pPr>
        <w:spacing w:line="360" w:lineRule="auto"/>
        <w:rPr>
          <w:rFonts w:ascii="Arial" w:hAnsi="Arial" w:cs="Arial"/>
          <w:sz w:val="24"/>
          <w:szCs w:val="24"/>
        </w:rPr>
      </w:pPr>
      <w:r>
        <w:rPr>
          <w:rFonts w:ascii="Arial" w:hAnsi="Arial" w:cs="Arial"/>
          <w:sz w:val="24"/>
          <w:szCs w:val="24"/>
        </w:rPr>
        <w:t xml:space="preserve">Beta = correlation of market and asset * </w:t>
      </w:r>
      <w:r w:rsidR="00973C60">
        <w:rPr>
          <w:rFonts w:ascii="Arial" w:hAnsi="Arial" w:cs="Arial"/>
          <w:sz w:val="24"/>
          <w:szCs w:val="24"/>
        </w:rPr>
        <w:t>SD</w:t>
      </w:r>
      <w:r w:rsidR="00973C60">
        <w:rPr>
          <w:rFonts w:ascii="Arial" w:hAnsi="Arial" w:cs="Arial"/>
          <w:sz w:val="24"/>
          <w:szCs w:val="24"/>
          <w:vertAlign w:val="subscript"/>
        </w:rPr>
        <w:t>A</w:t>
      </w:r>
      <w:r w:rsidR="00973C60">
        <w:rPr>
          <w:rFonts w:ascii="Arial" w:hAnsi="Arial" w:cs="Arial"/>
          <w:sz w:val="24"/>
          <w:szCs w:val="24"/>
        </w:rPr>
        <w:t>/ SD</w:t>
      </w:r>
      <w:r w:rsidR="00973C60">
        <w:rPr>
          <w:rFonts w:ascii="Arial" w:hAnsi="Arial" w:cs="Arial"/>
          <w:sz w:val="24"/>
          <w:szCs w:val="24"/>
          <w:vertAlign w:val="subscript"/>
        </w:rPr>
        <w:t>M</w:t>
      </w:r>
    </w:p>
    <w:p w14:paraId="5CA5E477" w14:textId="2747DAAD" w:rsidR="00973C60" w:rsidRDefault="00973C60" w:rsidP="00325E9E">
      <w:pPr>
        <w:spacing w:line="360" w:lineRule="auto"/>
        <w:rPr>
          <w:rFonts w:ascii="Arial" w:hAnsi="Arial" w:cs="Arial"/>
          <w:sz w:val="24"/>
          <w:szCs w:val="24"/>
        </w:rPr>
      </w:pPr>
      <w:r>
        <w:rPr>
          <w:rFonts w:ascii="Arial" w:hAnsi="Arial" w:cs="Arial"/>
          <w:sz w:val="24"/>
          <w:szCs w:val="24"/>
        </w:rPr>
        <w:t>Beta, A = 0.35 * 0.05/0.06</w:t>
      </w:r>
    </w:p>
    <w:p w14:paraId="0A9CF565" w14:textId="466FD842" w:rsidR="00973C60" w:rsidRDefault="00973C60" w:rsidP="00325E9E">
      <w:pPr>
        <w:spacing w:line="360" w:lineRule="auto"/>
        <w:rPr>
          <w:rFonts w:ascii="Arial" w:hAnsi="Arial" w:cs="Arial"/>
          <w:sz w:val="24"/>
          <w:szCs w:val="24"/>
        </w:rPr>
      </w:pPr>
      <w:r>
        <w:rPr>
          <w:rFonts w:ascii="Arial" w:hAnsi="Arial" w:cs="Arial"/>
          <w:sz w:val="24"/>
          <w:szCs w:val="24"/>
        </w:rPr>
        <w:t>Beta, A = 0.29</w:t>
      </w:r>
    </w:p>
    <w:p w14:paraId="4BC82A80" w14:textId="25D2DDBA" w:rsidR="00973C60" w:rsidRDefault="00973C60" w:rsidP="00325E9E">
      <w:pPr>
        <w:spacing w:line="360" w:lineRule="auto"/>
        <w:rPr>
          <w:rFonts w:ascii="Arial" w:hAnsi="Arial" w:cs="Arial"/>
          <w:sz w:val="24"/>
          <w:szCs w:val="24"/>
        </w:rPr>
      </w:pPr>
      <w:r>
        <w:rPr>
          <w:rFonts w:ascii="Arial" w:hAnsi="Arial" w:cs="Arial"/>
          <w:sz w:val="24"/>
          <w:szCs w:val="24"/>
        </w:rPr>
        <w:t>Beta, B = 1.33</w:t>
      </w:r>
    </w:p>
    <w:p w14:paraId="25910123" w14:textId="609B1591" w:rsidR="00973C60" w:rsidRDefault="00973C60" w:rsidP="00325E9E">
      <w:pPr>
        <w:spacing w:line="360" w:lineRule="auto"/>
        <w:rPr>
          <w:rFonts w:ascii="Arial" w:hAnsi="Arial" w:cs="Arial"/>
          <w:sz w:val="24"/>
          <w:szCs w:val="24"/>
        </w:rPr>
      </w:pPr>
      <w:r>
        <w:rPr>
          <w:rFonts w:ascii="Arial" w:hAnsi="Arial" w:cs="Arial"/>
          <w:sz w:val="24"/>
          <w:szCs w:val="24"/>
        </w:rPr>
        <w:t>Beta, C = 0.18</w:t>
      </w:r>
    </w:p>
    <w:p w14:paraId="38974E2B" w14:textId="0CFFDCEF" w:rsidR="00973C60" w:rsidRDefault="00973C60" w:rsidP="00325E9E">
      <w:pPr>
        <w:spacing w:line="360" w:lineRule="auto"/>
        <w:rPr>
          <w:rFonts w:ascii="Arial" w:hAnsi="Arial" w:cs="Arial"/>
          <w:sz w:val="24"/>
          <w:szCs w:val="24"/>
        </w:rPr>
      </w:pPr>
      <w:r>
        <w:rPr>
          <w:rFonts w:ascii="Arial" w:hAnsi="Arial" w:cs="Arial"/>
          <w:sz w:val="24"/>
          <w:szCs w:val="24"/>
        </w:rPr>
        <w:t>Beta, D = 1.3</w:t>
      </w:r>
      <w:r w:rsidR="00FB2B85">
        <w:rPr>
          <w:rFonts w:ascii="Arial" w:hAnsi="Arial" w:cs="Arial"/>
          <w:sz w:val="24"/>
          <w:szCs w:val="24"/>
        </w:rPr>
        <w:t>4</w:t>
      </w:r>
    </w:p>
    <w:p w14:paraId="68365D58" w14:textId="146A3667" w:rsidR="00973C60" w:rsidRDefault="00973C60" w:rsidP="00325E9E">
      <w:pPr>
        <w:spacing w:line="360" w:lineRule="auto"/>
        <w:rPr>
          <w:rFonts w:ascii="Arial" w:hAnsi="Arial" w:cs="Arial"/>
          <w:sz w:val="24"/>
          <w:szCs w:val="24"/>
        </w:rPr>
      </w:pPr>
      <w:r>
        <w:rPr>
          <w:rFonts w:ascii="Arial" w:hAnsi="Arial" w:cs="Arial"/>
          <w:sz w:val="24"/>
          <w:szCs w:val="24"/>
        </w:rPr>
        <w:t xml:space="preserve">Beta, E = </w:t>
      </w:r>
      <w:r w:rsidR="00FB2B85">
        <w:rPr>
          <w:rFonts w:ascii="Arial" w:hAnsi="Arial" w:cs="Arial"/>
          <w:sz w:val="24"/>
          <w:szCs w:val="24"/>
        </w:rPr>
        <w:t>0.32</w:t>
      </w:r>
    </w:p>
    <w:p w14:paraId="49B5DC04" w14:textId="6E662595" w:rsidR="00FB2B85" w:rsidRDefault="00FB2B85" w:rsidP="00325E9E">
      <w:pPr>
        <w:spacing w:line="360" w:lineRule="auto"/>
        <w:rPr>
          <w:rFonts w:ascii="Arial" w:hAnsi="Arial" w:cs="Arial"/>
          <w:sz w:val="24"/>
          <w:szCs w:val="24"/>
        </w:rPr>
      </w:pPr>
      <w:r>
        <w:rPr>
          <w:rFonts w:ascii="Arial" w:hAnsi="Arial" w:cs="Arial"/>
          <w:sz w:val="24"/>
          <w:szCs w:val="24"/>
        </w:rPr>
        <w:t>Portfolio beta = weighted average of asset betas</w:t>
      </w:r>
    </w:p>
    <w:p w14:paraId="5FBCA9D5" w14:textId="206CEDD1" w:rsidR="00FB2B85" w:rsidRDefault="00FB2B85" w:rsidP="00325E9E">
      <w:pPr>
        <w:spacing w:line="360" w:lineRule="auto"/>
        <w:rPr>
          <w:rFonts w:ascii="Arial" w:hAnsi="Arial" w:cs="Arial"/>
          <w:sz w:val="24"/>
          <w:szCs w:val="24"/>
        </w:rPr>
      </w:pPr>
      <w:r>
        <w:rPr>
          <w:rFonts w:ascii="Arial" w:hAnsi="Arial" w:cs="Arial"/>
          <w:sz w:val="24"/>
          <w:szCs w:val="24"/>
        </w:rPr>
        <w:t xml:space="preserve">Portfolio beta = </w:t>
      </w:r>
      <w:r w:rsidR="00F13486">
        <w:rPr>
          <w:rFonts w:ascii="Arial" w:hAnsi="Arial" w:cs="Arial"/>
          <w:sz w:val="24"/>
          <w:szCs w:val="24"/>
        </w:rPr>
        <w:t>0.15*0.29 + 0.3*1.33 + 0.4*0.18 + 0.1*1.34 + 0.05*0.32</w:t>
      </w:r>
    </w:p>
    <w:p w14:paraId="0DEC382E" w14:textId="47067BCC" w:rsidR="00F13486" w:rsidRDefault="00F13486" w:rsidP="00325E9E">
      <w:pPr>
        <w:spacing w:line="360" w:lineRule="auto"/>
        <w:rPr>
          <w:rFonts w:ascii="Arial" w:hAnsi="Arial" w:cs="Arial"/>
          <w:sz w:val="24"/>
          <w:szCs w:val="24"/>
        </w:rPr>
      </w:pPr>
      <w:r>
        <w:rPr>
          <w:rFonts w:ascii="Arial" w:hAnsi="Arial" w:cs="Arial"/>
          <w:sz w:val="24"/>
          <w:szCs w:val="24"/>
        </w:rPr>
        <w:t xml:space="preserve">Portfolio beta = </w:t>
      </w:r>
      <w:r w:rsidR="004C2558">
        <w:rPr>
          <w:rFonts w:ascii="Arial" w:hAnsi="Arial" w:cs="Arial"/>
          <w:sz w:val="24"/>
          <w:szCs w:val="24"/>
        </w:rPr>
        <w:t>0.66</w:t>
      </w:r>
    </w:p>
    <w:p w14:paraId="5EC80C1C" w14:textId="165E4F96" w:rsidR="004C2558" w:rsidRDefault="004C2558" w:rsidP="00325E9E">
      <w:pPr>
        <w:spacing w:line="360" w:lineRule="auto"/>
        <w:rPr>
          <w:rFonts w:ascii="Arial" w:hAnsi="Arial" w:cs="Arial"/>
          <w:sz w:val="24"/>
          <w:szCs w:val="24"/>
        </w:rPr>
      </w:pPr>
      <w:r>
        <w:rPr>
          <w:rFonts w:ascii="Arial" w:hAnsi="Arial" w:cs="Arial"/>
          <w:sz w:val="24"/>
          <w:szCs w:val="24"/>
        </w:rPr>
        <w:t>Expected return = 5% + 0.66*8%</w:t>
      </w:r>
    </w:p>
    <w:p w14:paraId="3B1FF74C" w14:textId="0C8150E5" w:rsidR="004C2558" w:rsidRDefault="004C2558" w:rsidP="00325E9E">
      <w:pPr>
        <w:spacing w:line="360" w:lineRule="auto"/>
        <w:rPr>
          <w:rFonts w:ascii="Arial" w:hAnsi="Arial" w:cs="Arial"/>
          <w:sz w:val="24"/>
          <w:szCs w:val="24"/>
        </w:rPr>
      </w:pPr>
      <w:r>
        <w:rPr>
          <w:rFonts w:ascii="Arial" w:hAnsi="Arial" w:cs="Arial"/>
          <w:sz w:val="24"/>
          <w:szCs w:val="24"/>
        </w:rPr>
        <w:t xml:space="preserve">Expected return </w:t>
      </w:r>
      <w:r w:rsidR="007B4990">
        <w:rPr>
          <w:rFonts w:ascii="Arial" w:hAnsi="Arial" w:cs="Arial"/>
          <w:sz w:val="24"/>
          <w:szCs w:val="24"/>
        </w:rPr>
        <w:t>= 10.31%</w:t>
      </w:r>
    </w:p>
    <w:p w14:paraId="58092573" w14:textId="16B7A842" w:rsidR="007B4990" w:rsidRPr="003766AD" w:rsidRDefault="003766AD" w:rsidP="00325E9E">
      <w:pPr>
        <w:spacing w:line="360" w:lineRule="auto"/>
        <w:rPr>
          <w:rFonts w:ascii="Arial" w:hAnsi="Arial" w:cs="Arial"/>
          <w:b/>
          <w:bCs/>
          <w:sz w:val="24"/>
          <w:szCs w:val="24"/>
        </w:rPr>
      </w:pPr>
      <w:r w:rsidRPr="003766AD">
        <w:rPr>
          <w:rFonts w:ascii="Arial" w:hAnsi="Arial" w:cs="Arial"/>
          <w:b/>
          <w:bCs/>
          <w:sz w:val="24"/>
          <w:szCs w:val="24"/>
        </w:rPr>
        <w:t>Question 4</w:t>
      </w:r>
    </w:p>
    <w:p w14:paraId="1EBEAAB2" w14:textId="5022044E" w:rsidR="003766AD" w:rsidRDefault="003766AD" w:rsidP="00325E9E">
      <w:pPr>
        <w:spacing w:line="360" w:lineRule="auto"/>
        <w:rPr>
          <w:rFonts w:ascii="Arial" w:hAnsi="Arial" w:cs="Arial"/>
          <w:sz w:val="24"/>
          <w:szCs w:val="24"/>
        </w:rPr>
      </w:pPr>
      <w:r>
        <w:rPr>
          <w:rFonts w:ascii="Arial" w:hAnsi="Arial" w:cs="Arial"/>
          <w:sz w:val="24"/>
          <w:szCs w:val="24"/>
        </w:rPr>
        <w:t>a) According to the dividend irrelevance theory, the firm’s value is independent of its dividend payout level as rational investors are indifferent to capital gains or dividends in their wealth maximization decision</w:t>
      </w:r>
      <w:r w:rsidR="00343E03">
        <w:rPr>
          <w:rFonts w:ascii="Arial" w:hAnsi="Arial" w:cs="Arial"/>
          <w:sz w:val="24"/>
          <w:szCs w:val="24"/>
        </w:rPr>
        <w:t xml:space="preserve"> provided that the company uses an optimal investment policy</w:t>
      </w:r>
      <w:r>
        <w:rPr>
          <w:rFonts w:ascii="Arial" w:hAnsi="Arial" w:cs="Arial"/>
          <w:sz w:val="24"/>
          <w:szCs w:val="24"/>
        </w:rPr>
        <w:t xml:space="preserve">. This is true in an environment with </w:t>
      </w:r>
      <w:r w:rsidR="00343E03">
        <w:rPr>
          <w:rFonts w:ascii="Arial" w:hAnsi="Arial" w:cs="Arial"/>
          <w:sz w:val="24"/>
          <w:szCs w:val="24"/>
        </w:rPr>
        <w:t xml:space="preserve">no transaction costs in the purchase and sale of shares, no flotation costs in share issuance, zero taxes, and efficient capital market. </w:t>
      </w:r>
      <w:r w:rsidR="00E03F23">
        <w:rPr>
          <w:rFonts w:ascii="Arial" w:hAnsi="Arial" w:cs="Arial"/>
          <w:sz w:val="24"/>
          <w:szCs w:val="24"/>
        </w:rPr>
        <w:t xml:space="preserve">The capital gains appreciation from optimal investments is in line with the shareholders required return; hence shareholders can easily increase or decrease their dividends using homemade dividends. To illustrate, an investor wishing to receive lower dividend payouts can simply reinvest any excess dividends to yield </w:t>
      </w:r>
      <w:r w:rsidR="00E03F23">
        <w:rPr>
          <w:rFonts w:ascii="Arial" w:hAnsi="Arial" w:cs="Arial"/>
          <w:sz w:val="24"/>
          <w:szCs w:val="24"/>
        </w:rPr>
        <w:lastRenderedPageBreak/>
        <w:t>his/her required rate of return when the dividend payout is higher than desired while an investor wishing to receive a higher dividend payout at an earlier point can simply sell a portion of their stock to realize the capital gains which would result in lower dividends at a later point.</w:t>
      </w:r>
    </w:p>
    <w:p w14:paraId="760E965A" w14:textId="77777777" w:rsidR="004E3D08" w:rsidRDefault="00192B50" w:rsidP="00325E9E">
      <w:pPr>
        <w:spacing w:line="360" w:lineRule="auto"/>
        <w:rPr>
          <w:rFonts w:ascii="Arial" w:hAnsi="Arial" w:cs="Arial"/>
          <w:sz w:val="24"/>
          <w:szCs w:val="24"/>
        </w:rPr>
      </w:pPr>
      <w:r>
        <w:rPr>
          <w:rFonts w:ascii="Arial" w:hAnsi="Arial" w:cs="Arial"/>
          <w:sz w:val="24"/>
          <w:szCs w:val="24"/>
        </w:rPr>
        <w:t>The main shortcoming of the dividend irrelevance theory is th</w:t>
      </w:r>
      <w:r w:rsidR="00E97827">
        <w:rPr>
          <w:rFonts w:ascii="Arial" w:hAnsi="Arial" w:cs="Arial"/>
          <w:sz w:val="24"/>
          <w:szCs w:val="24"/>
        </w:rPr>
        <w:t xml:space="preserve">e violation of key assumptions in the real world. In many tax jurisdictions, dividends and capital gains are taxed at differential rates; hence, investors will be partial to capital gains when the tax rate on the income source is lower. </w:t>
      </w:r>
      <w:r w:rsidR="004E3D08">
        <w:rPr>
          <w:rFonts w:ascii="Arial" w:hAnsi="Arial" w:cs="Arial"/>
          <w:sz w:val="24"/>
          <w:szCs w:val="24"/>
        </w:rPr>
        <w:t>Furthermore, the dissimilar risk levels of dividend and capital gains could result in the preference of dividends over capital gains. Investors are not assured that the price of a stock will increase since capital markets are not efficient and could prefer dividends which are relatively certain.</w:t>
      </w:r>
    </w:p>
    <w:p w14:paraId="622ECA55" w14:textId="21F1F3CB" w:rsidR="004B59D3" w:rsidRPr="004B59D3" w:rsidRDefault="003766AD" w:rsidP="004B59D3">
      <w:pPr>
        <w:spacing w:line="360" w:lineRule="auto"/>
        <w:rPr>
          <w:rFonts w:ascii="Arial" w:hAnsi="Arial" w:cs="Arial"/>
          <w:sz w:val="24"/>
          <w:szCs w:val="24"/>
          <w:vertAlign w:val="superscript"/>
        </w:rPr>
      </w:pPr>
      <w:r>
        <w:rPr>
          <w:rFonts w:ascii="Arial" w:hAnsi="Arial" w:cs="Arial"/>
          <w:sz w:val="24"/>
          <w:szCs w:val="24"/>
        </w:rPr>
        <w:t xml:space="preserve">b) </w:t>
      </w:r>
      <w:r w:rsidR="00F97FEE">
        <w:rPr>
          <w:rFonts w:ascii="Arial" w:hAnsi="Arial" w:cs="Arial"/>
          <w:sz w:val="24"/>
          <w:szCs w:val="24"/>
        </w:rPr>
        <w:t>P</w:t>
      </w:r>
      <w:r w:rsidR="00F97FEE">
        <w:rPr>
          <w:rFonts w:ascii="Arial" w:hAnsi="Arial" w:cs="Arial"/>
          <w:sz w:val="24"/>
          <w:szCs w:val="24"/>
          <w:vertAlign w:val="subscript"/>
        </w:rPr>
        <w:t>0</w:t>
      </w:r>
      <w:r w:rsidR="00F97FEE">
        <w:rPr>
          <w:rFonts w:ascii="Arial" w:hAnsi="Arial" w:cs="Arial"/>
          <w:sz w:val="24"/>
          <w:szCs w:val="24"/>
        </w:rPr>
        <w:t xml:space="preserve"> = D</w:t>
      </w:r>
      <w:r w:rsidR="00F97FEE">
        <w:rPr>
          <w:rFonts w:ascii="Arial" w:hAnsi="Arial" w:cs="Arial"/>
          <w:sz w:val="24"/>
          <w:szCs w:val="24"/>
          <w:vertAlign w:val="subscript"/>
        </w:rPr>
        <w:t>1</w:t>
      </w:r>
      <w:r w:rsidR="00F97FEE">
        <w:rPr>
          <w:rFonts w:ascii="Arial" w:hAnsi="Arial" w:cs="Arial"/>
          <w:sz w:val="24"/>
          <w:szCs w:val="24"/>
        </w:rPr>
        <w:t>/</w:t>
      </w:r>
      <w:r w:rsidR="00111FB3">
        <w:rPr>
          <w:rFonts w:ascii="Arial" w:hAnsi="Arial" w:cs="Arial"/>
          <w:sz w:val="24"/>
          <w:szCs w:val="24"/>
        </w:rPr>
        <w:t>(1+</w:t>
      </w:r>
      <w:r w:rsidR="00F97FEE">
        <w:rPr>
          <w:rFonts w:ascii="Arial" w:hAnsi="Arial" w:cs="Arial"/>
          <w:sz w:val="24"/>
          <w:szCs w:val="24"/>
        </w:rPr>
        <w:t>r</w:t>
      </w:r>
      <w:r w:rsidR="00111FB3">
        <w:rPr>
          <w:rFonts w:ascii="Arial" w:hAnsi="Arial" w:cs="Arial"/>
          <w:sz w:val="24"/>
          <w:szCs w:val="24"/>
        </w:rPr>
        <w:t>)</w:t>
      </w:r>
      <w:r w:rsidR="00F97FEE">
        <w:rPr>
          <w:rFonts w:ascii="Arial" w:hAnsi="Arial" w:cs="Arial"/>
          <w:sz w:val="24"/>
          <w:szCs w:val="24"/>
        </w:rPr>
        <w:t xml:space="preserve"> + D</w:t>
      </w:r>
      <w:r w:rsidR="00F97FEE">
        <w:rPr>
          <w:rFonts w:ascii="Arial" w:hAnsi="Arial" w:cs="Arial"/>
          <w:sz w:val="24"/>
          <w:szCs w:val="24"/>
          <w:vertAlign w:val="subscript"/>
        </w:rPr>
        <w:t>2</w:t>
      </w:r>
      <w:r w:rsidR="00F97FEE">
        <w:rPr>
          <w:rFonts w:ascii="Arial" w:hAnsi="Arial" w:cs="Arial"/>
          <w:sz w:val="24"/>
          <w:szCs w:val="24"/>
        </w:rPr>
        <w:t>/</w:t>
      </w:r>
      <w:r w:rsidR="00111FB3">
        <w:rPr>
          <w:rFonts w:ascii="Arial" w:hAnsi="Arial" w:cs="Arial"/>
          <w:sz w:val="24"/>
          <w:szCs w:val="24"/>
        </w:rPr>
        <w:t>(1+</w:t>
      </w:r>
      <w:r w:rsidR="00F97FEE">
        <w:rPr>
          <w:rFonts w:ascii="Arial" w:hAnsi="Arial" w:cs="Arial"/>
          <w:sz w:val="24"/>
          <w:szCs w:val="24"/>
        </w:rPr>
        <w:t>r</w:t>
      </w:r>
      <w:r w:rsidR="00111FB3">
        <w:rPr>
          <w:rFonts w:ascii="Arial" w:hAnsi="Arial" w:cs="Arial"/>
          <w:sz w:val="24"/>
          <w:szCs w:val="24"/>
        </w:rPr>
        <w:t>)</w:t>
      </w:r>
      <w:r w:rsidR="00111FB3">
        <w:rPr>
          <w:rFonts w:ascii="Arial" w:hAnsi="Arial" w:cs="Arial"/>
          <w:sz w:val="24"/>
          <w:szCs w:val="24"/>
          <w:vertAlign w:val="superscript"/>
        </w:rPr>
        <w:t>2</w:t>
      </w:r>
      <w:r w:rsidR="00F97FEE">
        <w:rPr>
          <w:rFonts w:ascii="Arial" w:hAnsi="Arial" w:cs="Arial"/>
          <w:sz w:val="24"/>
          <w:szCs w:val="24"/>
        </w:rPr>
        <w:t xml:space="preserve"> + D</w:t>
      </w:r>
      <w:r w:rsidR="00F97FEE">
        <w:rPr>
          <w:rFonts w:ascii="Arial" w:hAnsi="Arial" w:cs="Arial"/>
          <w:sz w:val="24"/>
          <w:szCs w:val="24"/>
          <w:vertAlign w:val="subscript"/>
        </w:rPr>
        <w:t>3</w:t>
      </w:r>
      <w:r w:rsidR="00F97FEE">
        <w:rPr>
          <w:rFonts w:ascii="Arial" w:hAnsi="Arial" w:cs="Arial"/>
          <w:sz w:val="24"/>
          <w:szCs w:val="24"/>
        </w:rPr>
        <w:t>/</w:t>
      </w:r>
      <w:r w:rsidR="00111FB3">
        <w:rPr>
          <w:rFonts w:ascii="Arial" w:hAnsi="Arial" w:cs="Arial"/>
          <w:sz w:val="24"/>
          <w:szCs w:val="24"/>
        </w:rPr>
        <w:t>(1+</w:t>
      </w:r>
      <w:r w:rsidR="00F97FEE">
        <w:rPr>
          <w:rFonts w:ascii="Arial" w:hAnsi="Arial" w:cs="Arial"/>
          <w:sz w:val="24"/>
          <w:szCs w:val="24"/>
        </w:rPr>
        <w:t>r</w:t>
      </w:r>
      <w:r w:rsidR="00111FB3">
        <w:rPr>
          <w:rFonts w:ascii="Arial" w:hAnsi="Arial" w:cs="Arial"/>
          <w:sz w:val="24"/>
          <w:szCs w:val="24"/>
        </w:rPr>
        <w:t>)</w:t>
      </w:r>
      <w:r w:rsidR="00F97FEE">
        <w:rPr>
          <w:rFonts w:ascii="Arial" w:hAnsi="Arial" w:cs="Arial"/>
          <w:sz w:val="24"/>
          <w:szCs w:val="24"/>
          <w:vertAlign w:val="superscript"/>
        </w:rPr>
        <w:t>3</w:t>
      </w:r>
      <w:r w:rsidR="00F97FEE">
        <w:rPr>
          <w:rFonts w:ascii="Arial" w:hAnsi="Arial" w:cs="Arial"/>
          <w:sz w:val="24"/>
          <w:szCs w:val="24"/>
        </w:rPr>
        <w:t xml:space="preserve"> + (D</w:t>
      </w:r>
      <w:r w:rsidR="00F97FEE">
        <w:rPr>
          <w:rFonts w:ascii="Arial" w:hAnsi="Arial" w:cs="Arial"/>
          <w:sz w:val="24"/>
          <w:szCs w:val="24"/>
          <w:vertAlign w:val="subscript"/>
        </w:rPr>
        <w:t>4</w:t>
      </w:r>
      <w:r w:rsidR="004B59D3">
        <w:rPr>
          <w:rFonts w:ascii="Arial" w:hAnsi="Arial" w:cs="Arial"/>
          <w:sz w:val="24"/>
          <w:szCs w:val="24"/>
        </w:rPr>
        <w:t xml:space="preserve"> + P</w:t>
      </w:r>
      <w:r w:rsidR="004B59D3">
        <w:rPr>
          <w:rFonts w:ascii="Arial" w:hAnsi="Arial" w:cs="Arial"/>
          <w:sz w:val="24"/>
          <w:szCs w:val="24"/>
          <w:vertAlign w:val="subscript"/>
        </w:rPr>
        <w:t>4</w:t>
      </w:r>
      <w:r w:rsidR="004B59D3">
        <w:rPr>
          <w:rFonts w:ascii="Arial" w:hAnsi="Arial" w:cs="Arial"/>
          <w:sz w:val="24"/>
          <w:szCs w:val="24"/>
        </w:rPr>
        <w:t>)/</w:t>
      </w:r>
      <w:r w:rsidR="00111FB3">
        <w:rPr>
          <w:rFonts w:ascii="Arial" w:hAnsi="Arial" w:cs="Arial"/>
          <w:sz w:val="24"/>
          <w:szCs w:val="24"/>
        </w:rPr>
        <w:t>(1+</w:t>
      </w:r>
      <w:r w:rsidR="004B59D3">
        <w:rPr>
          <w:rFonts w:ascii="Arial" w:hAnsi="Arial" w:cs="Arial"/>
          <w:sz w:val="24"/>
          <w:szCs w:val="24"/>
        </w:rPr>
        <w:t>r</w:t>
      </w:r>
      <w:r w:rsidR="00111FB3">
        <w:rPr>
          <w:rFonts w:ascii="Arial" w:hAnsi="Arial" w:cs="Arial"/>
          <w:sz w:val="24"/>
          <w:szCs w:val="24"/>
        </w:rPr>
        <w:t>)</w:t>
      </w:r>
      <w:r w:rsidR="004B59D3">
        <w:rPr>
          <w:rFonts w:ascii="Arial" w:hAnsi="Arial" w:cs="Arial"/>
          <w:sz w:val="24"/>
          <w:szCs w:val="24"/>
          <w:vertAlign w:val="superscript"/>
        </w:rPr>
        <w:t>4</w:t>
      </w:r>
    </w:p>
    <w:tbl>
      <w:tblPr>
        <w:tblStyle w:val="TableGrid"/>
        <w:tblW w:w="0" w:type="auto"/>
        <w:tblLook w:val="04A0" w:firstRow="1" w:lastRow="0" w:firstColumn="1" w:lastColumn="0" w:noHBand="0" w:noVBand="1"/>
      </w:tblPr>
      <w:tblGrid>
        <w:gridCol w:w="960"/>
        <w:gridCol w:w="1218"/>
      </w:tblGrid>
      <w:tr w:rsidR="00C5612B" w:rsidRPr="00C5612B" w14:paraId="4869520B" w14:textId="77777777" w:rsidTr="00C5612B">
        <w:trPr>
          <w:trHeight w:val="290"/>
        </w:trPr>
        <w:tc>
          <w:tcPr>
            <w:tcW w:w="960" w:type="dxa"/>
            <w:noWrap/>
            <w:hideMark/>
          </w:tcPr>
          <w:p w14:paraId="48AB4CE8"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Year</w:t>
            </w:r>
          </w:p>
        </w:tc>
        <w:tc>
          <w:tcPr>
            <w:tcW w:w="960" w:type="dxa"/>
            <w:noWrap/>
            <w:hideMark/>
          </w:tcPr>
          <w:p w14:paraId="6EB24761"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Dividend</w:t>
            </w:r>
          </w:p>
        </w:tc>
      </w:tr>
      <w:tr w:rsidR="00C5612B" w:rsidRPr="00C5612B" w14:paraId="74138D35" w14:textId="77777777" w:rsidTr="00C5612B">
        <w:trPr>
          <w:trHeight w:val="290"/>
        </w:trPr>
        <w:tc>
          <w:tcPr>
            <w:tcW w:w="960" w:type="dxa"/>
            <w:noWrap/>
            <w:hideMark/>
          </w:tcPr>
          <w:p w14:paraId="0B7D48F1"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1</w:t>
            </w:r>
          </w:p>
        </w:tc>
        <w:tc>
          <w:tcPr>
            <w:tcW w:w="960" w:type="dxa"/>
            <w:noWrap/>
            <w:hideMark/>
          </w:tcPr>
          <w:p w14:paraId="6063E9F7"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3</w:t>
            </w:r>
          </w:p>
        </w:tc>
      </w:tr>
      <w:tr w:rsidR="00C5612B" w:rsidRPr="00C5612B" w14:paraId="233B553F" w14:textId="77777777" w:rsidTr="00C5612B">
        <w:trPr>
          <w:trHeight w:val="290"/>
        </w:trPr>
        <w:tc>
          <w:tcPr>
            <w:tcW w:w="960" w:type="dxa"/>
            <w:noWrap/>
            <w:hideMark/>
          </w:tcPr>
          <w:p w14:paraId="2D1D1A59"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2</w:t>
            </w:r>
          </w:p>
        </w:tc>
        <w:tc>
          <w:tcPr>
            <w:tcW w:w="960" w:type="dxa"/>
            <w:noWrap/>
            <w:hideMark/>
          </w:tcPr>
          <w:p w14:paraId="508897FB"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3.27</w:t>
            </w:r>
          </w:p>
        </w:tc>
      </w:tr>
      <w:tr w:rsidR="00C5612B" w:rsidRPr="00C5612B" w14:paraId="4F2DFE70" w14:textId="77777777" w:rsidTr="00C5612B">
        <w:trPr>
          <w:trHeight w:val="290"/>
        </w:trPr>
        <w:tc>
          <w:tcPr>
            <w:tcW w:w="960" w:type="dxa"/>
            <w:noWrap/>
            <w:hideMark/>
          </w:tcPr>
          <w:p w14:paraId="36421C4B"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3</w:t>
            </w:r>
          </w:p>
        </w:tc>
        <w:tc>
          <w:tcPr>
            <w:tcW w:w="960" w:type="dxa"/>
            <w:noWrap/>
            <w:hideMark/>
          </w:tcPr>
          <w:p w14:paraId="21442AE3"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3.5643</w:t>
            </w:r>
          </w:p>
        </w:tc>
      </w:tr>
      <w:tr w:rsidR="00C5612B" w:rsidRPr="00C5612B" w14:paraId="60DD3179" w14:textId="77777777" w:rsidTr="00C5612B">
        <w:trPr>
          <w:trHeight w:val="290"/>
        </w:trPr>
        <w:tc>
          <w:tcPr>
            <w:tcW w:w="960" w:type="dxa"/>
            <w:noWrap/>
            <w:hideMark/>
          </w:tcPr>
          <w:p w14:paraId="3286DC77"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4</w:t>
            </w:r>
          </w:p>
        </w:tc>
        <w:tc>
          <w:tcPr>
            <w:tcW w:w="960" w:type="dxa"/>
            <w:noWrap/>
            <w:hideMark/>
          </w:tcPr>
          <w:p w14:paraId="7AC48988"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3.885087</w:t>
            </w:r>
          </w:p>
        </w:tc>
      </w:tr>
      <w:tr w:rsidR="00C5612B" w:rsidRPr="00C5612B" w14:paraId="01764A0D" w14:textId="77777777" w:rsidTr="00C5612B">
        <w:trPr>
          <w:trHeight w:val="290"/>
        </w:trPr>
        <w:tc>
          <w:tcPr>
            <w:tcW w:w="960" w:type="dxa"/>
            <w:noWrap/>
            <w:hideMark/>
          </w:tcPr>
          <w:p w14:paraId="20BFCD98"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5</w:t>
            </w:r>
          </w:p>
        </w:tc>
        <w:tc>
          <w:tcPr>
            <w:tcW w:w="960" w:type="dxa"/>
            <w:noWrap/>
            <w:hideMark/>
          </w:tcPr>
          <w:p w14:paraId="793F0380" w14:textId="77777777" w:rsidR="00C5612B" w:rsidRPr="00C5612B" w:rsidRDefault="00C5612B" w:rsidP="00C5612B">
            <w:pPr>
              <w:spacing w:line="360" w:lineRule="auto"/>
              <w:rPr>
                <w:rFonts w:ascii="Arial" w:hAnsi="Arial" w:cs="Arial"/>
                <w:sz w:val="24"/>
                <w:szCs w:val="24"/>
              </w:rPr>
            </w:pPr>
            <w:r w:rsidRPr="00C5612B">
              <w:rPr>
                <w:rFonts w:ascii="Arial" w:hAnsi="Arial" w:cs="Arial"/>
                <w:sz w:val="24"/>
                <w:szCs w:val="24"/>
              </w:rPr>
              <w:t>4.118192</w:t>
            </w:r>
          </w:p>
        </w:tc>
      </w:tr>
    </w:tbl>
    <w:p w14:paraId="5D248911" w14:textId="1F0548B7" w:rsidR="00F97FEE" w:rsidRDefault="00F97FEE" w:rsidP="00F97FEE">
      <w:pPr>
        <w:spacing w:line="360" w:lineRule="auto"/>
        <w:rPr>
          <w:rFonts w:ascii="Arial" w:hAnsi="Arial" w:cs="Arial"/>
          <w:sz w:val="24"/>
          <w:szCs w:val="24"/>
        </w:rPr>
      </w:pPr>
    </w:p>
    <w:p w14:paraId="28C361F5" w14:textId="2244B9E6" w:rsidR="00C5612B" w:rsidRDefault="00C5612B" w:rsidP="00F97FEE">
      <w:pPr>
        <w:spacing w:line="360" w:lineRule="auto"/>
        <w:rPr>
          <w:rFonts w:ascii="Arial" w:hAnsi="Arial" w:cs="Arial"/>
          <w:sz w:val="24"/>
          <w:szCs w:val="24"/>
        </w:rPr>
      </w:pPr>
      <w:r>
        <w:rPr>
          <w:rFonts w:ascii="Arial" w:hAnsi="Arial" w:cs="Arial"/>
          <w:sz w:val="24"/>
          <w:szCs w:val="24"/>
        </w:rPr>
        <w:t>P</w:t>
      </w:r>
      <w:r>
        <w:rPr>
          <w:rFonts w:ascii="Arial" w:hAnsi="Arial" w:cs="Arial"/>
          <w:sz w:val="24"/>
          <w:szCs w:val="24"/>
          <w:vertAlign w:val="subscript"/>
        </w:rPr>
        <w:t>4</w:t>
      </w:r>
      <w:r>
        <w:rPr>
          <w:rFonts w:ascii="Arial" w:hAnsi="Arial" w:cs="Arial"/>
          <w:sz w:val="24"/>
          <w:szCs w:val="24"/>
        </w:rPr>
        <w:t xml:space="preserve"> = D</w:t>
      </w:r>
      <w:r>
        <w:rPr>
          <w:rFonts w:ascii="Arial" w:hAnsi="Arial" w:cs="Arial"/>
          <w:sz w:val="24"/>
          <w:szCs w:val="24"/>
          <w:vertAlign w:val="subscript"/>
        </w:rPr>
        <w:t>5</w:t>
      </w:r>
      <w:r>
        <w:rPr>
          <w:rFonts w:ascii="Arial" w:hAnsi="Arial" w:cs="Arial"/>
          <w:sz w:val="24"/>
          <w:szCs w:val="24"/>
        </w:rPr>
        <w:t>/(r – g)</w:t>
      </w:r>
    </w:p>
    <w:p w14:paraId="419C6AF8" w14:textId="0E4FD069" w:rsidR="00C5612B" w:rsidRDefault="00C5612B" w:rsidP="00F97FEE">
      <w:pPr>
        <w:spacing w:line="360" w:lineRule="auto"/>
        <w:rPr>
          <w:rFonts w:ascii="Arial" w:hAnsi="Arial" w:cs="Arial"/>
          <w:sz w:val="24"/>
          <w:szCs w:val="24"/>
        </w:rPr>
      </w:pPr>
      <w:r>
        <w:rPr>
          <w:rFonts w:ascii="Arial" w:hAnsi="Arial" w:cs="Arial"/>
          <w:sz w:val="24"/>
          <w:szCs w:val="24"/>
        </w:rPr>
        <w:t>P</w:t>
      </w:r>
      <w:r>
        <w:rPr>
          <w:rFonts w:ascii="Arial" w:hAnsi="Arial" w:cs="Arial"/>
          <w:sz w:val="24"/>
          <w:szCs w:val="24"/>
          <w:vertAlign w:val="subscript"/>
        </w:rPr>
        <w:t>4</w:t>
      </w:r>
      <w:r>
        <w:rPr>
          <w:rFonts w:ascii="Arial" w:hAnsi="Arial" w:cs="Arial"/>
          <w:sz w:val="24"/>
          <w:szCs w:val="24"/>
        </w:rPr>
        <w:t xml:space="preserve"> = 4.118192/(0.15 – 0.06)</w:t>
      </w:r>
    </w:p>
    <w:p w14:paraId="26FB1294" w14:textId="7E0B51FB" w:rsidR="00C5612B" w:rsidRDefault="00C5612B" w:rsidP="00F97FEE">
      <w:pPr>
        <w:spacing w:line="360" w:lineRule="auto"/>
        <w:rPr>
          <w:rFonts w:ascii="Arial" w:hAnsi="Arial" w:cs="Arial"/>
          <w:sz w:val="24"/>
          <w:szCs w:val="24"/>
        </w:rPr>
      </w:pPr>
      <w:r>
        <w:rPr>
          <w:rFonts w:ascii="Arial" w:hAnsi="Arial" w:cs="Arial"/>
          <w:sz w:val="24"/>
          <w:szCs w:val="24"/>
        </w:rPr>
        <w:t>P</w:t>
      </w:r>
      <w:r>
        <w:rPr>
          <w:rFonts w:ascii="Arial" w:hAnsi="Arial" w:cs="Arial"/>
          <w:sz w:val="24"/>
          <w:szCs w:val="24"/>
          <w:vertAlign w:val="subscript"/>
        </w:rPr>
        <w:t>4</w:t>
      </w:r>
      <w:r>
        <w:rPr>
          <w:rFonts w:ascii="Arial" w:hAnsi="Arial" w:cs="Arial"/>
          <w:sz w:val="24"/>
          <w:szCs w:val="24"/>
        </w:rPr>
        <w:t xml:space="preserve"> = </w:t>
      </w:r>
      <w:r w:rsidR="00940F23">
        <w:rPr>
          <w:rFonts w:ascii="Arial" w:hAnsi="Arial" w:cs="Arial"/>
          <w:sz w:val="24"/>
          <w:szCs w:val="24"/>
        </w:rPr>
        <w:t>45.76</w:t>
      </w:r>
    </w:p>
    <w:p w14:paraId="1354F9AE" w14:textId="695CC88B" w:rsidR="00940F23" w:rsidRDefault="00111FB3" w:rsidP="00F97FEE">
      <w:pPr>
        <w:spacing w:line="360" w:lineRule="auto"/>
        <w:rPr>
          <w:rFonts w:ascii="Arial" w:hAnsi="Arial" w:cs="Arial"/>
          <w:sz w:val="24"/>
          <w:szCs w:val="24"/>
        </w:rPr>
      </w:pPr>
      <w:r>
        <w:rPr>
          <w:rFonts w:ascii="Arial" w:hAnsi="Arial" w:cs="Arial"/>
          <w:sz w:val="24"/>
          <w:szCs w:val="24"/>
        </w:rPr>
        <w:t>P</w:t>
      </w:r>
      <w:r>
        <w:rPr>
          <w:rFonts w:ascii="Arial" w:hAnsi="Arial" w:cs="Arial"/>
          <w:sz w:val="24"/>
          <w:szCs w:val="24"/>
          <w:vertAlign w:val="subscript"/>
        </w:rPr>
        <w:t>0</w:t>
      </w:r>
      <w:r>
        <w:rPr>
          <w:rFonts w:ascii="Arial" w:hAnsi="Arial" w:cs="Arial"/>
          <w:sz w:val="24"/>
          <w:szCs w:val="24"/>
        </w:rPr>
        <w:t xml:space="preserve"> =3</w:t>
      </w:r>
      <w:r w:rsidR="00A0466A">
        <w:rPr>
          <w:rFonts w:ascii="Arial" w:hAnsi="Arial" w:cs="Arial"/>
          <w:sz w:val="24"/>
          <w:szCs w:val="24"/>
        </w:rPr>
        <w:t>/1.15 + 3.27/1.15^2 + 3.56/1.15^3 + 49.64/1.15^4</w:t>
      </w:r>
    </w:p>
    <w:p w14:paraId="27867E93" w14:textId="6CF2DD13" w:rsidR="00A0466A" w:rsidRDefault="00A0466A" w:rsidP="00F97FEE">
      <w:pPr>
        <w:spacing w:line="360" w:lineRule="auto"/>
        <w:rPr>
          <w:rFonts w:ascii="Arial" w:hAnsi="Arial" w:cs="Arial"/>
          <w:sz w:val="24"/>
          <w:szCs w:val="24"/>
        </w:rPr>
      </w:pPr>
      <w:r>
        <w:rPr>
          <w:rFonts w:ascii="Arial" w:hAnsi="Arial" w:cs="Arial"/>
          <w:sz w:val="24"/>
          <w:szCs w:val="24"/>
        </w:rPr>
        <w:t>P</w:t>
      </w:r>
      <w:r>
        <w:rPr>
          <w:rFonts w:ascii="Arial" w:hAnsi="Arial" w:cs="Arial"/>
          <w:sz w:val="24"/>
          <w:szCs w:val="24"/>
          <w:vertAlign w:val="subscript"/>
        </w:rPr>
        <w:t>0</w:t>
      </w:r>
      <w:r>
        <w:rPr>
          <w:rFonts w:ascii="Arial" w:hAnsi="Arial" w:cs="Arial"/>
          <w:sz w:val="24"/>
          <w:szCs w:val="24"/>
        </w:rPr>
        <w:t xml:space="preserve"> = 35.81</w:t>
      </w:r>
    </w:p>
    <w:p w14:paraId="3C18063B" w14:textId="29BC10DB" w:rsidR="00287172" w:rsidRPr="00287172" w:rsidRDefault="00287172" w:rsidP="00F97FEE">
      <w:pPr>
        <w:spacing w:line="360" w:lineRule="auto"/>
        <w:rPr>
          <w:rFonts w:ascii="Arial" w:hAnsi="Arial" w:cs="Arial"/>
          <w:b/>
          <w:bCs/>
          <w:sz w:val="24"/>
          <w:szCs w:val="24"/>
        </w:rPr>
      </w:pPr>
      <w:r w:rsidRPr="00287172">
        <w:rPr>
          <w:rFonts w:ascii="Arial" w:hAnsi="Arial" w:cs="Arial"/>
          <w:b/>
          <w:bCs/>
          <w:sz w:val="24"/>
          <w:szCs w:val="24"/>
        </w:rPr>
        <w:t>Question 5</w:t>
      </w:r>
    </w:p>
    <w:p w14:paraId="2EDF7182" w14:textId="7DEC8260" w:rsidR="00287172" w:rsidRDefault="00287172" w:rsidP="00F97FEE">
      <w:pPr>
        <w:spacing w:line="360" w:lineRule="auto"/>
        <w:rPr>
          <w:rFonts w:ascii="Arial" w:hAnsi="Arial" w:cs="Arial"/>
          <w:sz w:val="24"/>
          <w:szCs w:val="24"/>
        </w:rPr>
      </w:pPr>
      <w:r>
        <w:rPr>
          <w:rFonts w:ascii="Arial" w:hAnsi="Arial" w:cs="Arial"/>
          <w:sz w:val="24"/>
          <w:szCs w:val="24"/>
        </w:rPr>
        <w:t xml:space="preserve">a. </w:t>
      </w:r>
      <w:r w:rsidR="000C4588">
        <w:rPr>
          <w:rFonts w:ascii="Arial" w:hAnsi="Arial" w:cs="Arial"/>
          <w:sz w:val="24"/>
          <w:szCs w:val="24"/>
        </w:rPr>
        <w:t xml:space="preserve">Break-even EBIT is the operating income that equalizes the EPS capitalization plans. It is an important consideration for a levered firm as it determines the level of EBIT </w:t>
      </w:r>
      <w:r w:rsidR="000C4588">
        <w:rPr>
          <w:rFonts w:ascii="Arial" w:hAnsi="Arial" w:cs="Arial"/>
          <w:sz w:val="24"/>
          <w:szCs w:val="24"/>
        </w:rPr>
        <w:lastRenderedPageBreak/>
        <w:t xml:space="preserve">below which </w:t>
      </w:r>
      <w:r w:rsidR="00C3344C">
        <w:rPr>
          <w:rFonts w:ascii="Arial" w:hAnsi="Arial" w:cs="Arial"/>
          <w:sz w:val="24"/>
          <w:szCs w:val="24"/>
        </w:rPr>
        <w:t>a capital structure with less debt is preferred. Below, the break-even amount, the incremental interest payments are unjustified as the EPS will be less than optimal.</w:t>
      </w:r>
    </w:p>
    <w:p w14:paraId="71717D25" w14:textId="72B7578F" w:rsidR="008F0D49" w:rsidRDefault="00C3344C" w:rsidP="00F97FEE">
      <w:pPr>
        <w:spacing w:line="360" w:lineRule="auto"/>
        <w:rPr>
          <w:rFonts w:ascii="Arial" w:hAnsi="Arial" w:cs="Arial"/>
          <w:sz w:val="24"/>
          <w:szCs w:val="24"/>
        </w:rPr>
      </w:pPr>
      <w:r>
        <w:rPr>
          <w:rFonts w:ascii="Arial" w:hAnsi="Arial" w:cs="Arial"/>
          <w:sz w:val="24"/>
          <w:szCs w:val="24"/>
        </w:rPr>
        <w:t>b.</w:t>
      </w:r>
      <w:r w:rsidR="00E10B51">
        <w:rPr>
          <w:rFonts w:ascii="Arial" w:hAnsi="Arial" w:cs="Arial"/>
          <w:sz w:val="24"/>
          <w:szCs w:val="24"/>
        </w:rPr>
        <w:t xml:space="preserve"> </w:t>
      </w:r>
      <w:r w:rsidR="008F0D49">
        <w:rPr>
          <w:rFonts w:ascii="Arial" w:hAnsi="Arial" w:cs="Arial"/>
          <w:sz w:val="24"/>
          <w:szCs w:val="24"/>
        </w:rPr>
        <w:t>When ignoring the depreciation shield and using the interest rate as the discount rate:</w:t>
      </w:r>
    </w:p>
    <w:p w14:paraId="36DEE77A" w14:textId="4904A100" w:rsidR="008F0D49" w:rsidRDefault="008F0D49" w:rsidP="00F97FEE">
      <w:pPr>
        <w:spacing w:line="360" w:lineRule="auto"/>
        <w:rPr>
          <w:rFonts w:ascii="Arial" w:hAnsi="Arial" w:cs="Arial"/>
          <w:sz w:val="24"/>
          <w:szCs w:val="24"/>
        </w:rPr>
      </w:pPr>
      <w:r>
        <w:rPr>
          <w:rFonts w:ascii="Arial" w:hAnsi="Arial" w:cs="Arial"/>
          <w:sz w:val="24"/>
          <w:szCs w:val="24"/>
        </w:rPr>
        <w:t>Purchase:</w:t>
      </w:r>
    </w:p>
    <w:p w14:paraId="51A15B69" w14:textId="4ECEB203" w:rsidR="008F0D49" w:rsidRDefault="008F0D49" w:rsidP="00F97FEE">
      <w:pPr>
        <w:spacing w:line="360" w:lineRule="auto"/>
        <w:rPr>
          <w:rFonts w:ascii="Arial" w:hAnsi="Arial" w:cs="Arial"/>
          <w:sz w:val="24"/>
          <w:szCs w:val="24"/>
        </w:rPr>
      </w:pPr>
      <w:r>
        <w:rPr>
          <w:rFonts w:ascii="Arial" w:hAnsi="Arial" w:cs="Arial"/>
          <w:sz w:val="24"/>
          <w:szCs w:val="24"/>
        </w:rPr>
        <w:t>Annual interest payments = 12% * 250 = £30,000,000</w:t>
      </w:r>
    </w:p>
    <w:tbl>
      <w:tblPr>
        <w:tblStyle w:val="TableGrid"/>
        <w:tblW w:w="0" w:type="auto"/>
        <w:tblLook w:val="04A0" w:firstRow="1" w:lastRow="0" w:firstColumn="1" w:lastColumn="0" w:noHBand="0" w:noVBand="1"/>
      </w:tblPr>
      <w:tblGrid>
        <w:gridCol w:w="1723"/>
        <w:gridCol w:w="1549"/>
        <w:gridCol w:w="1510"/>
        <w:gridCol w:w="1510"/>
        <w:gridCol w:w="1510"/>
        <w:gridCol w:w="1548"/>
      </w:tblGrid>
      <w:tr w:rsidR="005C494B" w:rsidRPr="005C494B" w14:paraId="2F88FB83" w14:textId="77777777" w:rsidTr="005C494B">
        <w:trPr>
          <w:trHeight w:val="290"/>
        </w:trPr>
        <w:tc>
          <w:tcPr>
            <w:tcW w:w="1803" w:type="dxa"/>
            <w:noWrap/>
            <w:hideMark/>
          </w:tcPr>
          <w:p w14:paraId="6584FC44"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Year</w:t>
            </w:r>
          </w:p>
        </w:tc>
        <w:tc>
          <w:tcPr>
            <w:tcW w:w="1620" w:type="dxa"/>
            <w:noWrap/>
            <w:hideMark/>
          </w:tcPr>
          <w:p w14:paraId="39CEA5E7"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1</w:t>
            </w:r>
          </w:p>
        </w:tc>
        <w:tc>
          <w:tcPr>
            <w:tcW w:w="1580" w:type="dxa"/>
            <w:noWrap/>
            <w:hideMark/>
          </w:tcPr>
          <w:p w14:paraId="47BF69A8"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2</w:t>
            </w:r>
          </w:p>
        </w:tc>
        <w:tc>
          <w:tcPr>
            <w:tcW w:w="1580" w:type="dxa"/>
            <w:noWrap/>
            <w:hideMark/>
          </w:tcPr>
          <w:p w14:paraId="15452A99"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3</w:t>
            </w:r>
          </w:p>
        </w:tc>
        <w:tc>
          <w:tcPr>
            <w:tcW w:w="1580" w:type="dxa"/>
            <w:noWrap/>
            <w:hideMark/>
          </w:tcPr>
          <w:p w14:paraId="197FFDE3"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4</w:t>
            </w:r>
          </w:p>
        </w:tc>
        <w:tc>
          <w:tcPr>
            <w:tcW w:w="1620" w:type="dxa"/>
            <w:noWrap/>
            <w:hideMark/>
          </w:tcPr>
          <w:p w14:paraId="5E3B99D2"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5</w:t>
            </w:r>
          </w:p>
        </w:tc>
      </w:tr>
      <w:tr w:rsidR="005C494B" w:rsidRPr="005C494B" w14:paraId="19A60D33" w14:textId="77777777" w:rsidTr="005C494B">
        <w:trPr>
          <w:trHeight w:val="290"/>
        </w:trPr>
        <w:tc>
          <w:tcPr>
            <w:tcW w:w="1803" w:type="dxa"/>
            <w:noWrap/>
            <w:hideMark/>
          </w:tcPr>
          <w:p w14:paraId="35258B7C"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Interest payments</w:t>
            </w:r>
          </w:p>
        </w:tc>
        <w:tc>
          <w:tcPr>
            <w:tcW w:w="1620" w:type="dxa"/>
            <w:noWrap/>
            <w:hideMark/>
          </w:tcPr>
          <w:p w14:paraId="7C64E50A"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30,000,000 </w:t>
            </w:r>
          </w:p>
        </w:tc>
        <w:tc>
          <w:tcPr>
            <w:tcW w:w="1580" w:type="dxa"/>
            <w:noWrap/>
            <w:hideMark/>
          </w:tcPr>
          <w:p w14:paraId="45B3BE66"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30,000,000 </w:t>
            </w:r>
          </w:p>
        </w:tc>
        <w:tc>
          <w:tcPr>
            <w:tcW w:w="1580" w:type="dxa"/>
            <w:noWrap/>
            <w:hideMark/>
          </w:tcPr>
          <w:p w14:paraId="1B9C1C02"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30,000,000 </w:t>
            </w:r>
          </w:p>
        </w:tc>
        <w:tc>
          <w:tcPr>
            <w:tcW w:w="1580" w:type="dxa"/>
            <w:noWrap/>
            <w:hideMark/>
          </w:tcPr>
          <w:p w14:paraId="4EEB411B"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30,000,000 </w:t>
            </w:r>
          </w:p>
        </w:tc>
        <w:tc>
          <w:tcPr>
            <w:tcW w:w="1620" w:type="dxa"/>
            <w:noWrap/>
            <w:hideMark/>
          </w:tcPr>
          <w:p w14:paraId="322D947B"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30,000,000 </w:t>
            </w:r>
          </w:p>
        </w:tc>
      </w:tr>
      <w:tr w:rsidR="005C494B" w:rsidRPr="005C494B" w14:paraId="348FE2CC" w14:textId="77777777" w:rsidTr="005C494B">
        <w:trPr>
          <w:trHeight w:val="290"/>
        </w:trPr>
        <w:tc>
          <w:tcPr>
            <w:tcW w:w="3423" w:type="dxa"/>
            <w:gridSpan w:val="2"/>
            <w:noWrap/>
            <w:hideMark/>
          </w:tcPr>
          <w:p w14:paraId="12552131" w14:textId="00FEA831"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Principal repayment</w:t>
            </w:r>
          </w:p>
        </w:tc>
        <w:tc>
          <w:tcPr>
            <w:tcW w:w="1580" w:type="dxa"/>
            <w:noWrap/>
            <w:hideMark/>
          </w:tcPr>
          <w:p w14:paraId="66E70919" w14:textId="77777777" w:rsidR="005C494B" w:rsidRPr="005C494B" w:rsidRDefault="005C494B" w:rsidP="005C494B">
            <w:pPr>
              <w:spacing w:line="360" w:lineRule="auto"/>
              <w:rPr>
                <w:rFonts w:ascii="Arial" w:hAnsi="Arial" w:cs="Arial"/>
                <w:sz w:val="24"/>
                <w:szCs w:val="24"/>
              </w:rPr>
            </w:pPr>
          </w:p>
        </w:tc>
        <w:tc>
          <w:tcPr>
            <w:tcW w:w="1580" w:type="dxa"/>
            <w:noWrap/>
            <w:hideMark/>
          </w:tcPr>
          <w:p w14:paraId="4854FC0B" w14:textId="77777777" w:rsidR="005C494B" w:rsidRPr="005C494B" w:rsidRDefault="005C494B" w:rsidP="005C494B">
            <w:pPr>
              <w:spacing w:line="360" w:lineRule="auto"/>
              <w:rPr>
                <w:rFonts w:ascii="Arial" w:hAnsi="Arial" w:cs="Arial"/>
                <w:sz w:val="24"/>
                <w:szCs w:val="24"/>
              </w:rPr>
            </w:pPr>
          </w:p>
        </w:tc>
        <w:tc>
          <w:tcPr>
            <w:tcW w:w="1580" w:type="dxa"/>
            <w:noWrap/>
            <w:hideMark/>
          </w:tcPr>
          <w:p w14:paraId="7F56046A" w14:textId="77777777" w:rsidR="005C494B" w:rsidRPr="005C494B" w:rsidRDefault="005C494B" w:rsidP="005C494B">
            <w:pPr>
              <w:spacing w:line="360" w:lineRule="auto"/>
              <w:rPr>
                <w:rFonts w:ascii="Arial" w:hAnsi="Arial" w:cs="Arial"/>
                <w:sz w:val="24"/>
                <w:szCs w:val="24"/>
              </w:rPr>
            </w:pPr>
          </w:p>
        </w:tc>
        <w:tc>
          <w:tcPr>
            <w:tcW w:w="1620" w:type="dxa"/>
            <w:noWrap/>
            <w:hideMark/>
          </w:tcPr>
          <w:p w14:paraId="21F44F38"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250,000,000 </w:t>
            </w:r>
          </w:p>
        </w:tc>
      </w:tr>
      <w:tr w:rsidR="005C494B" w:rsidRPr="005C494B" w14:paraId="67EAC606" w14:textId="77777777" w:rsidTr="005C494B">
        <w:trPr>
          <w:trHeight w:val="290"/>
        </w:trPr>
        <w:tc>
          <w:tcPr>
            <w:tcW w:w="1803" w:type="dxa"/>
            <w:noWrap/>
            <w:hideMark/>
          </w:tcPr>
          <w:p w14:paraId="0EFC8294"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Total cash outflows</w:t>
            </w:r>
          </w:p>
        </w:tc>
        <w:tc>
          <w:tcPr>
            <w:tcW w:w="1620" w:type="dxa"/>
            <w:noWrap/>
            <w:hideMark/>
          </w:tcPr>
          <w:p w14:paraId="082A32C6"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30,000,000 </w:t>
            </w:r>
          </w:p>
        </w:tc>
        <w:tc>
          <w:tcPr>
            <w:tcW w:w="1580" w:type="dxa"/>
            <w:noWrap/>
            <w:hideMark/>
          </w:tcPr>
          <w:p w14:paraId="55EA8296"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30,000,000 </w:t>
            </w:r>
          </w:p>
        </w:tc>
        <w:tc>
          <w:tcPr>
            <w:tcW w:w="1580" w:type="dxa"/>
            <w:noWrap/>
            <w:hideMark/>
          </w:tcPr>
          <w:p w14:paraId="20A09839"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30,000,000 </w:t>
            </w:r>
          </w:p>
        </w:tc>
        <w:tc>
          <w:tcPr>
            <w:tcW w:w="1580" w:type="dxa"/>
            <w:noWrap/>
            <w:hideMark/>
          </w:tcPr>
          <w:p w14:paraId="4BFC937B"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30,000,000 </w:t>
            </w:r>
          </w:p>
        </w:tc>
        <w:tc>
          <w:tcPr>
            <w:tcW w:w="1620" w:type="dxa"/>
            <w:noWrap/>
            <w:hideMark/>
          </w:tcPr>
          <w:p w14:paraId="33B2A82E"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280,000,000 </w:t>
            </w:r>
          </w:p>
        </w:tc>
      </w:tr>
      <w:tr w:rsidR="005C494B" w:rsidRPr="005C494B" w14:paraId="218A3F83" w14:textId="77777777" w:rsidTr="005C494B">
        <w:trPr>
          <w:trHeight w:val="290"/>
        </w:trPr>
        <w:tc>
          <w:tcPr>
            <w:tcW w:w="1803" w:type="dxa"/>
            <w:noWrap/>
            <w:hideMark/>
          </w:tcPr>
          <w:p w14:paraId="34BBC1CD"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PV</w:t>
            </w:r>
          </w:p>
        </w:tc>
        <w:tc>
          <w:tcPr>
            <w:tcW w:w="1620" w:type="dxa"/>
            <w:noWrap/>
            <w:hideMark/>
          </w:tcPr>
          <w:p w14:paraId="2206A559"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26,785,714 </w:t>
            </w:r>
          </w:p>
        </w:tc>
        <w:tc>
          <w:tcPr>
            <w:tcW w:w="1580" w:type="dxa"/>
            <w:noWrap/>
            <w:hideMark/>
          </w:tcPr>
          <w:p w14:paraId="740212EF"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23,915,816 </w:t>
            </w:r>
          </w:p>
        </w:tc>
        <w:tc>
          <w:tcPr>
            <w:tcW w:w="1580" w:type="dxa"/>
            <w:noWrap/>
            <w:hideMark/>
          </w:tcPr>
          <w:p w14:paraId="0E9D3F3B"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21,353,407 </w:t>
            </w:r>
          </w:p>
        </w:tc>
        <w:tc>
          <w:tcPr>
            <w:tcW w:w="1580" w:type="dxa"/>
            <w:noWrap/>
            <w:hideMark/>
          </w:tcPr>
          <w:p w14:paraId="418F7D32"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19,065,542 </w:t>
            </w:r>
          </w:p>
        </w:tc>
        <w:tc>
          <w:tcPr>
            <w:tcW w:w="1620" w:type="dxa"/>
            <w:noWrap/>
            <w:hideMark/>
          </w:tcPr>
          <w:p w14:paraId="38C2BAEF"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158,879,520 </w:t>
            </w:r>
          </w:p>
        </w:tc>
      </w:tr>
      <w:tr w:rsidR="005C494B" w:rsidRPr="005C494B" w14:paraId="649C9230" w14:textId="77777777" w:rsidTr="005C494B">
        <w:trPr>
          <w:trHeight w:val="290"/>
        </w:trPr>
        <w:tc>
          <w:tcPr>
            <w:tcW w:w="1803" w:type="dxa"/>
            <w:noWrap/>
            <w:hideMark/>
          </w:tcPr>
          <w:p w14:paraId="4FB35284"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PV of total outflows</w:t>
            </w:r>
          </w:p>
        </w:tc>
        <w:tc>
          <w:tcPr>
            <w:tcW w:w="1620" w:type="dxa"/>
            <w:noWrap/>
            <w:hideMark/>
          </w:tcPr>
          <w:p w14:paraId="2D716832"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250,000,000 </w:t>
            </w:r>
          </w:p>
        </w:tc>
        <w:tc>
          <w:tcPr>
            <w:tcW w:w="1580" w:type="dxa"/>
            <w:noWrap/>
            <w:hideMark/>
          </w:tcPr>
          <w:p w14:paraId="72B7229F" w14:textId="77777777" w:rsidR="005C494B" w:rsidRPr="005C494B" w:rsidRDefault="005C494B" w:rsidP="005C494B">
            <w:pPr>
              <w:spacing w:line="360" w:lineRule="auto"/>
              <w:rPr>
                <w:rFonts w:ascii="Arial" w:hAnsi="Arial" w:cs="Arial"/>
                <w:sz w:val="24"/>
                <w:szCs w:val="24"/>
              </w:rPr>
            </w:pPr>
          </w:p>
        </w:tc>
        <w:tc>
          <w:tcPr>
            <w:tcW w:w="1580" w:type="dxa"/>
            <w:noWrap/>
            <w:hideMark/>
          </w:tcPr>
          <w:p w14:paraId="76B83381" w14:textId="77777777" w:rsidR="005C494B" w:rsidRPr="005C494B" w:rsidRDefault="005C494B" w:rsidP="005C494B">
            <w:pPr>
              <w:spacing w:line="360" w:lineRule="auto"/>
              <w:rPr>
                <w:rFonts w:ascii="Arial" w:hAnsi="Arial" w:cs="Arial"/>
                <w:sz w:val="24"/>
                <w:szCs w:val="24"/>
              </w:rPr>
            </w:pPr>
          </w:p>
        </w:tc>
        <w:tc>
          <w:tcPr>
            <w:tcW w:w="1580" w:type="dxa"/>
            <w:noWrap/>
            <w:hideMark/>
          </w:tcPr>
          <w:p w14:paraId="139CE4E9" w14:textId="77777777" w:rsidR="005C494B" w:rsidRPr="005C494B" w:rsidRDefault="005C494B" w:rsidP="005C494B">
            <w:pPr>
              <w:spacing w:line="360" w:lineRule="auto"/>
              <w:rPr>
                <w:rFonts w:ascii="Arial" w:hAnsi="Arial" w:cs="Arial"/>
                <w:sz w:val="24"/>
                <w:szCs w:val="24"/>
              </w:rPr>
            </w:pPr>
          </w:p>
        </w:tc>
        <w:tc>
          <w:tcPr>
            <w:tcW w:w="1620" w:type="dxa"/>
            <w:noWrap/>
            <w:hideMark/>
          </w:tcPr>
          <w:p w14:paraId="05067AAB" w14:textId="77777777" w:rsidR="005C494B" w:rsidRPr="005C494B" w:rsidRDefault="005C494B" w:rsidP="005C494B">
            <w:pPr>
              <w:spacing w:line="360" w:lineRule="auto"/>
              <w:rPr>
                <w:rFonts w:ascii="Arial" w:hAnsi="Arial" w:cs="Arial"/>
                <w:sz w:val="24"/>
                <w:szCs w:val="24"/>
              </w:rPr>
            </w:pPr>
          </w:p>
        </w:tc>
      </w:tr>
    </w:tbl>
    <w:p w14:paraId="62F21336" w14:textId="77777777" w:rsidR="008F0D49" w:rsidRPr="00C5612B" w:rsidRDefault="008F0D49" w:rsidP="00F97FEE">
      <w:pPr>
        <w:spacing w:line="360" w:lineRule="auto"/>
        <w:rPr>
          <w:rFonts w:ascii="Arial" w:hAnsi="Arial" w:cs="Arial"/>
          <w:sz w:val="24"/>
          <w:szCs w:val="24"/>
        </w:rPr>
      </w:pPr>
    </w:p>
    <w:p w14:paraId="3044E195" w14:textId="44871779" w:rsidR="00F97FEE" w:rsidRDefault="008F0D49" w:rsidP="00F97FEE">
      <w:pPr>
        <w:spacing w:line="360" w:lineRule="auto"/>
        <w:rPr>
          <w:rFonts w:ascii="Arial" w:hAnsi="Arial" w:cs="Arial"/>
          <w:sz w:val="24"/>
          <w:szCs w:val="24"/>
        </w:rPr>
      </w:pPr>
      <w:r>
        <w:rPr>
          <w:rFonts w:ascii="Arial" w:hAnsi="Arial" w:cs="Arial"/>
          <w:sz w:val="24"/>
          <w:szCs w:val="24"/>
        </w:rPr>
        <w:t>Lease:</w:t>
      </w:r>
    </w:p>
    <w:tbl>
      <w:tblPr>
        <w:tblStyle w:val="TableGrid"/>
        <w:tblW w:w="0" w:type="auto"/>
        <w:tblLook w:val="04A0" w:firstRow="1" w:lastRow="0" w:firstColumn="1" w:lastColumn="0" w:noHBand="0" w:noVBand="1"/>
      </w:tblPr>
      <w:tblGrid>
        <w:gridCol w:w="1764"/>
        <w:gridCol w:w="1540"/>
        <w:gridCol w:w="1502"/>
        <w:gridCol w:w="1502"/>
        <w:gridCol w:w="1502"/>
        <w:gridCol w:w="1540"/>
      </w:tblGrid>
      <w:tr w:rsidR="005C494B" w:rsidRPr="005C494B" w14:paraId="30423277" w14:textId="77777777" w:rsidTr="005C494B">
        <w:trPr>
          <w:trHeight w:val="290"/>
        </w:trPr>
        <w:tc>
          <w:tcPr>
            <w:tcW w:w="1857" w:type="dxa"/>
            <w:noWrap/>
            <w:hideMark/>
          </w:tcPr>
          <w:p w14:paraId="2F1CBD88"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Year</w:t>
            </w:r>
          </w:p>
        </w:tc>
        <w:tc>
          <w:tcPr>
            <w:tcW w:w="1620" w:type="dxa"/>
            <w:noWrap/>
            <w:hideMark/>
          </w:tcPr>
          <w:p w14:paraId="7C9FD123" w14:textId="0790EB0E"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w:t>
            </w:r>
            <w:r>
              <w:rPr>
                <w:rFonts w:ascii="Arial" w:hAnsi="Arial" w:cs="Arial"/>
                <w:sz w:val="24"/>
                <w:szCs w:val="24"/>
              </w:rPr>
              <w:t>0</w:t>
            </w:r>
          </w:p>
        </w:tc>
        <w:tc>
          <w:tcPr>
            <w:tcW w:w="1580" w:type="dxa"/>
            <w:noWrap/>
            <w:hideMark/>
          </w:tcPr>
          <w:p w14:paraId="1A27178A"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1 </w:t>
            </w:r>
          </w:p>
        </w:tc>
        <w:tc>
          <w:tcPr>
            <w:tcW w:w="1580" w:type="dxa"/>
            <w:noWrap/>
            <w:hideMark/>
          </w:tcPr>
          <w:p w14:paraId="68BECB4B"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2 </w:t>
            </w:r>
          </w:p>
        </w:tc>
        <w:tc>
          <w:tcPr>
            <w:tcW w:w="1580" w:type="dxa"/>
            <w:noWrap/>
            <w:hideMark/>
          </w:tcPr>
          <w:p w14:paraId="7A89E4FE"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 </w:t>
            </w:r>
          </w:p>
        </w:tc>
        <w:tc>
          <w:tcPr>
            <w:tcW w:w="1620" w:type="dxa"/>
            <w:noWrap/>
            <w:hideMark/>
          </w:tcPr>
          <w:p w14:paraId="1722E1EE"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4 </w:t>
            </w:r>
          </w:p>
        </w:tc>
      </w:tr>
      <w:tr w:rsidR="005C494B" w:rsidRPr="005C494B" w14:paraId="1214381A" w14:textId="77777777" w:rsidTr="005C494B">
        <w:trPr>
          <w:trHeight w:val="290"/>
        </w:trPr>
        <w:tc>
          <w:tcPr>
            <w:tcW w:w="1857" w:type="dxa"/>
            <w:noWrap/>
            <w:hideMark/>
          </w:tcPr>
          <w:p w14:paraId="7696D23F"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Annual lease</w:t>
            </w:r>
          </w:p>
        </w:tc>
        <w:tc>
          <w:tcPr>
            <w:tcW w:w="1620" w:type="dxa"/>
            <w:noWrap/>
            <w:hideMark/>
          </w:tcPr>
          <w:p w14:paraId="130CC4FC"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60,000,000 </w:t>
            </w:r>
          </w:p>
        </w:tc>
        <w:tc>
          <w:tcPr>
            <w:tcW w:w="1580" w:type="dxa"/>
            <w:noWrap/>
            <w:hideMark/>
          </w:tcPr>
          <w:p w14:paraId="6BEDA207"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60,000,000 </w:t>
            </w:r>
          </w:p>
        </w:tc>
        <w:tc>
          <w:tcPr>
            <w:tcW w:w="1580" w:type="dxa"/>
            <w:noWrap/>
            <w:hideMark/>
          </w:tcPr>
          <w:p w14:paraId="166DE660"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60,000,000 </w:t>
            </w:r>
          </w:p>
        </w:tc>
        <w:tc>
          <w:tcPr>
            <w:tcW w:w="1580" w:type="dxa"/>
            <w:noWrap/>
            <w:hideMark/>
          </w:tcPr>
          <w:p w14:paraId="112B9FDC"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60,000,000 </w:t>
            </w:r>
          </w:p>
        </w:tc>
        <w:tc>
          <w:tcPr>
            <w:tcW w:w="1620" w:type="dxa"/>
            <w:noWrap/>
            <w:hideMark/>
          </w:tcPr>
          <w:p w14:paraId="51A06A20"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60,000,000 </w:t>
            </w:r>
          </w:p>
        </w:tc>
      </w:tr>
      <w:tr w:rsidR="005C494B" w:rsidRPr="005C494B" w14:paraId="6FDD1818" w14:textId="77777777" w:rsidTr="005C494B">
        <w:trPr>
          <w:trHeight w:val="290"/>
        </w:trPr>
        <w:tc>
          <w:tcPr>
            <w:tcW w:w="1857" w:type="dxa"/>
            <w:noWrap/>
            <w:hideMark/>
          </w:tcPr>
          <w:p w14:paraId="2CB8F532"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lastRenderedPageBreak/>
              <w:t>PV of lease payment</w:t>
            </w:r>
          </w:p>
        </w:tc>
        <w:tc>
          <w:tcPr>
            <w:tcW w:w="1620" w:type="dxa"/>
            <w:noWrap/>
            <w:hideMark/>
          </w:tcPr>
          <w:p w14:paraId="4EA33809"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60,000,000 </w:t>
            </w:r>
          </w:p>
        </w:tc>
        <w:tc>
          <w:tcPr>
            <w:tcW w:w="1580" w:type="dxa"/>
            <w:noWrap/>
            <w:hideMark/>
          </w:tcPr>
          <w:p w14:paraId="66A985F0"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53,571,429 </w:t>
            </w:r>
          </w:p>
        </w:tc>
        <w:tc>
          <w:tcPr>
            <w:tcW w:w="1580" w:type="dxa"/>
            <w:noWrap/>
            <w:hideMark/>
          </w:tcPr>
          <w:p w14:paraId="10842BC5"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47,831,633 </w:t>
            </w:r>
          </w:p>
        </w:tc>
        <w:tc>
          <w:tcPr>
            <w:tcW w:w="1580" w:type="dxa"/>
            <w:noWrap/>
            <w:hideMark/>
          </w:tcPr>
          <w:p w14:paraId="398FE767"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42,706,815 </w:t>
            </w:r>
          </w:p>
        </w:tc>
        <w:tc>
          <w:tcPr>
            <w:tcW w:w="1620" w:type="dxa"/>
            <w:noWrap/>
            <w:hideMark/>
          </w:tcPr>
          <w:p w14:paraId="60AD3528"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38,131,085 </w:t>
            </w:r>
          </w:p>
        </w:tc>
      </w:tr>
      <w:tr w:rsidR="005C494B" w:rsidRPr="005C494B" w14:paraId="74C35A69" w14:textId="77777777" w:rsidTr="005C494B">
        <w:trPr>
          <w:trHeight w:val="290"/>
        </w:trPr>
        <w:tc>
          <w:tcPr>
            <w:tcW w:w="1857" w:type="dxa"/>
            <w:noWrap/>
            <w:hideMark/>
          </w:tcPr>
          <w:p w14:paraId="0FF24563"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PV of total outflows</w:t>
            </w:r>
          </w:p>
        </w:tc>
        <w:tc>
          <w:tcPr>
            <w:tcW w:w="1620" w:type="dxa"/>
            <w:noWrap/>
            <w:hideMark/>
          </w:tcPr>
          <w:p w14:paraId="5C5C9365" w14:textId="77777777" w:rsidR="005C494B" w:rsidRPr="005C494B" w:rsidRDefault="005C494B" w:rsidP="005C494B">
            <w:pPr>
              <w:spacing w:line="360" w:lineRule="auto"/>
              <w:rPr>
                <w:rFonts w:ascii="Arial" w:hAnsi="Arial" w:cs="Arial"/>
                <w:sz w:val="24"/>
                <w:szCs w:val="24"/>
              </w:rPr>
            </w:pPr>
            <w:r w:rsidRPr="005C494B">
              <w:rPr>
                <w:rFonts w:ascii="Arial" w:hAnsi="Arial" w:cs="Arial"/>
                <w:sz w:val="24"/>
                <w:szCs w:val="24"/>
              </w:rPr>
              <w:t xml:space="preserve">        242,240,961 </w:t>
            </w:r>
          </w:p>
        </w:tc>
        <w:tc>
          <w:tcPr>
            <w:tcW w:w="1580" w:type="dxa"/>
            <w:noWrap/>
            <w:hideMark/>
          </w:tcPr>
          <w:p w14:paraId="668F7EE1" w14:textId="77777777" w:rsidR="005C494B" w:rsidRPr="005C494B" w:rsidRDefault="005C494B" w:rsidP="005C494B">
            <w:pPr>
              <w:spacing w:line="360" w:lineRule="auto"/>
              <w:rPr>
                <w:rFonts w:ascii="Arial" w:hAnsi="Arial" w:cs="Arial"/>
                <w:sz w:val="24"/>
                <w:szCs w:val="24"/>
              </w:rPr>
            </w:pPr>
          </w:p>
        </w:tc>
        <w:tc>
          <w:tcPr>
            <w:tcW w:w="1580" w:type="dxa"/>
            <w:noWrap/>
            <w:hideMark/>
          </w:tcPr>
          <w:p w14:paraId="2A035AE0" w14:textId="77777777" w:rsidR="005C494B" w:rsidRPr="005C494B" w:rsidRDefault="005C494B" w:rsidP="005C494B">
            <w:pPr>
              <w:spacing w:line="360" w:lineRule="auto"/>
              <w:rPr>
                <w:rFonts w:ascii="Arial" w:hAnsi="Arial" w:cs="Arial"/>
                <w:sz w:val="24"/>
                <w:szCs w:val="24"/>
              </w:rPr>
            </w:pPr>
          </w:p>
        </w:tc>
        <w:tc>
          <w:tcPr>
            <w:tcW w:w="1580" w:type="dxa"/>
            <w:noWrap/>
            <w:hideMark/>
          </w:tcPr>
          <w:p w14:paraId="5DC214BF" w14:textId="77777777" w:rsidR="005C494B" w:rsidRPr="005C494B" w:rsidRDefault="005C494B" w:rsidP="005C494B">
            <w:pPr>
              <w:spacing w:line="360" w:lineRule="auto"/>
              <w:rPr>
                <w:rFonts w:ascii="Arial" w:hAnsi="Arial" w:cs="Arial"/>
                <w:sz w:val="24"/>
                <w:szCs w:val="24"/>
              </w:rPr>
            </w:pPr>
          </w:p>
        </w:tc>
        <w:tc>
          <w:tcPr>
            <w:tcW w:w="1620" w:type="dxa"/>
            <w:noWrap/>
            <w:hideMark/>
          </w:tcPr>
          <w:p w14:paraId="79A2C743" w14:textId="77777777" w:rsidR="005C494B" w:rsidRPr="005C494B" w:rsidRDefault="005C494B" w:rsidP="005C494B">
            <w:pPr>
              <w:spacing w:line="360" w:lineRule="auto"/>
              <w:rPr>
                <w:rFonts w:ascii="Arial" w:hAnsi="Arial" w:cs="Arial"/>
                <w:sz w:val="24"/>
                <w:szCs w:val="24"/>
              </w:rPr>
            </w:pPr>
          </w:p>
        </w:tc>
      </w:tr>
    </w:tbl>
    <w:p w14:paraId="0D9C553A" w14:textId="77777777" w:rsidR="005C494B" w:rsidRDefault="005C494B" w:rsidP="00F97FEE">
      <w:pPr>
        <w:spacing w:line="360" w:lineRule="auto"/>
        <w:rPr>
          <w:rFonts w:ascii="Arial" w:hAnsi="Arial" w:cs="Arial"/>
          <w:sz w:val="24"/>
          <w:szCs w:val="24"/>
        </w:rPr>
      </w:pPr>
    </w:p>
    <w:p w14:paraId="7B5753CC" w14:textId="025272EE" w:rsidR="008F0D49" w:rsidRDefault="005C494B" w:rsidP="00F97FEE">
      <w:pPr>
        <w:spacing w:line="360" w:lineRule="auto"/>
        <w:rPr>
          <w:rFonts w:ascii="Arial" w:hAnsi="Arial" w:cs="Arial"/>
          <w:sz w:val="24"/>
          <w:szCs w:val="24"/>
        </w:rPr>
      </w:pPr>
      <w:r>
        <w:rPr>
          <w:rFonts w:ascii="Arial" w:hAnsi="Arial" w:cs="Arial"/>
          <w:sz w:val="24"/>
          <w:szCs w:val="24"/>
        </w:rPr>
        <w:t>The company should lease the machinery as it results in £7.76 million less in cash outflows over the five-year lifetime</w:t>
      </w:r>
    </w:p>
    <w:p w14:paraId="300FB6EE" w14:textId="2438353C" w:rsidR="005C494B" w:rsidRDefault="005C494B" w:rsidP="00F97FEE">
      <w:pPr>
        <w:spacing w:line="360" w:lineRule="auto"/>
        <w:rPr>
          <w:rFonts w:ascii="Arial" w:hAnsi="Arial" w:cs="Arial"/>
          <w:sz w:val="24"/>
          <w:szCs w:val="24"/>
        </w:rPr>
      </w:pPr>
      <w:r>
        <w:rPr>
          <w:rFonts w:ascii="Arial" w:hAnsi="Arial" w:cs="Arial"/>
          <w:sz w:val="24"/>
          <w:szCs w:val="24"/>
        </w:rPr>
        <w:t xml:space="preserve">c) </w:t>
      </w:r>
      <w:r w:rsidR="00CE2D64">
        <w:rPr>
          <w:rFonts w:ascii="Arial" w:hAnsi="Arial" w:cs="Arial"/>
          <w:sz w:val="24"/>
          <w:szCs w:val="24"/>
        </w:rPr>
        <w:t>Proportion of debt = 0.82/1.82 = 0.45</w:t>
      </w:r>
    </w:p>
    <w:p w14:paraId="078D186E" w14:textId="0BD9DB03" w:rsidR="00CE2D64" w:rsidRDefault="00CE2D64" w:rsidP="00F97FEE">
      <w:pPr>
        <w:spacing w:line="360" w:lineRule="auto"/>
        <w:rPr>
          <w:rFonts w:ascii="Arial" w:hAnsi="Arial" w:cs="Arial"/>
          <w:sz w:val="24"/>
          <w:szCs w:val="24"/>
        </w:rPr>
      </w:pPr>
      <w:r>
        <w:rPr>
          <w:rFonts w:ascii="Arial" w:hAnsi="Arial" w:cs="Arial"/>
          <w:sz w:val="24"/>
          <w:szCs w:val="24"/>
        </w:rPr>
        <w:t>Proportion of equity = 1/1.82 = 0.55</w:t>
      </w:r>
    </w:p>
    <w:p w14:paraId="3FB3C30E" w14:textId="6A871EF2" w:rsidR="00DF752D" w:rsidRDefault="00F1746A" w:rsidP="00F97FEE">
      <w:pPr>
        <w:spacing w:line="360" w:lineRule="auto"/>
        <w:rPr>
          <w:rFonts w:ascii="Arial" w:hAnsi="Arial" w:cs="Arial"/>
          <w:sz w:val="24"/>
          <w:szCs w:val="24"/>
        </w:rPr>
      </w:pPr>
      <w:r>
        <w:rPr>
          <w:rFonts w:ascii="Arial" w:hAnsi="Arial" w:cs="Arial"/>
          <w:sz w:val="24"/>
          <w:szCs w:val="24"/>
        </w:rPr>
        <w:t>After</w:t>
      </w:r>
      <w:r w:rsidR="00DF752D">
        <w:rPr>
          <w:rFonts w:ascii="Arial" w:hAnsi="Arial" w:cs="Arial"/>
          <w:sz w:val="24"/>
          <w:szCs w:val="24"/>
        </w:rPr>
        <w:t xml:space="preserve">-tax cost of debt = </w:t>
      </w:r>
      <w:r>
        <w:rPr>
          <w:rFonts w:ascii="Arial" w:hAnsi="Arial" w:cs="Arial"/>
          <w:sz w:val="24"/>
          <w:szCs w:val="24"/>
        </w:rPr>
        <w:t>(1-0.38)*9% = 5.58%</w:t>
      </w:r>
    </w:p>
    <w:p w14:paraId="588D65A6" w14:textId="5ECF184E" w:rsidR="00F1746A" w:rsidRDefault="00F1746A" w:rsidP="00F97FEE">
      <w:pPr>
        <w:spacing w:line="360" w:lineRule="auto"/>
        <w:rPr>
          <w:rFonts w:ascii="Arial" w:hAnsi="Arial" w:cs="Arial"/>
          <w:sz w:val="24"/>
          <w:szCs w:val="24"/>
        </w:rPr>
      </w:pPr>
      <w:r>
        <w:rPr>
          <w:rFonts w:ascii="Arial" w:hAnsi="Arial" w:cs="Arial"/>
          <w:sz w:val="24"/>
          <w:szCs w:val="24"/>
        </w:rPr>
        <w:t xml:space="preserve">Cost of equity = </w:t>
      </w:r>
      <w:r w:rsidR="00427D75">
        <w:rPr>
          <w:rFonts w:ascii="Arial" w:hAnsi="Arial" w:cs="Arial"/>
          <w:sz w:val="24"/>
          <w:szCs w:val="24"/>
        </w:rPr>
        <w:t>5% + 1.2*8% = 14.6%</w:t>
      </w:r>
    </w:p>
    <w:p w14:paraId="49E45907" w14:textId="44A34659" w:rsidR="00427D75" w:rsidRDefault="00427D75" w:rsidP="00F97FEE">
      <w:pPr>
        <w:spacing w:line="360" w:lineRule="auto"/>
        <w:rPr>
          <w:rFonts w:ascii="Arial" w:hAnsi="Arial" w:cs="Arial"/>
          <w:sz w:val="24"/>
          <w:szCs w:val="24"/>
        </w:rPr>
      </w:pPr>
      <w:r>
        <w:rPr>
          <w:rFonts w:ascii="Arial" w:hAnsi="Arial" w:cs="Arial"/>
          <w:sz w:val="24"/>
          <w:szCs w:val="24"/>
        </w:rPr>
        <w:t xml:space="preserve">WACC = 0.45*5.58% + 0.55*14.6% </w:t>
      </w:r>
    </w:p>
    <w:p w14:paraId="46CEA07E" w14:textId="0154C517" w:rsidR="00427D75" w:rsidRDefault="00427D75" w:rsidP="00F97FEE">
      <w:pPr>
        <w:spacing w:line="360" w:lineRule="auto"/>
        <w:rPr>
          <w:rFonts w:ascii="Arial" w:hAnsi="Arial" w:cs="Arial"/>
          <w:sz w:val="24"/>
          <w:szCs w:val="24"/>
        </w:rPr>
      </w:pPr>
      <w:r>
        <w:rPr>
          <w:rFonts w:ascii="Arial" w:hAnsi="Arial" w:cs="Arial"/>
          <w:sz w:val="24"/>
          <w:szCs w:val="24"/>
        </w:rPr>
        <w:t xml:space="preserve">WACC = </w:t>
      </w:r>
      <w:r w:rsidR="00A96080">
        <w:rPr>
          <w:rFonts w:ascii="Arial" w:hAnsi="Arial" w:cs="Arial"/>
          <w:sz w:val="24"/>
          <w:szCs w:val="24"/>
        </w:rPr>
        <w:t>10.54%</w:t>
      </w:r>
    </w:p>
    <w:p w14:paraId="17B26BC8" w14:textId="2C25698B" w:rsidR="00FC55A9" w:rsidRPr="00F97FEE" w:rsidRDefault="00FC55A9" w:rsidP="00F97FEE">
      <w:pPr>
        <w:spacing w:line="360" w:lineRule="auto"/>
        <w:rPr>
          <w:rFonts w:ascii="Arial" w:hAnsi="Arial" w:cs="Arial"/>
          <w:sz w:val="24"/>
          <w:szCs w:val="24"/>
        </w:rPr>
      </w:pPr>
      <w:r>
        <w:rPr>
          <w:rFonts w:ascii="Arial" w:hAnsi="Arial" w:cs="Arial"/>
          <w:sz w:val="24"/>
          <w:szCs w:val="24"/>
        </w:rPr>
        <w:t>WACC is the discount rate used in capital budgeting decisions as it encapsulates the required rate of return for all capital classes. In the calculation of NPV, the most commonly used investment appraisal technique, WACC is used as a discount rate thereby accounting for the returns to investors. An NPV of zero indicates that the project’s returns were just sufficient to meet debtors and shareholders cost of capital while a positive NPV implies that the company earned extra cash flows above investors required returns</w:t>
      </w:r>
    </w:p>
    <w:p w14:paraId="5A7B47CA" w14:textId="5D8ECF3E" w:rsidR="003766AD" w:rsidRPr="00F97FEE" w:rsidRDefault="003766AD" w:rsidP="00325E9E">
      <w:pPr>
        <w:spacing w:line="360" w:lineRule="auto"/>
        <w:rPr>
          <w:rFonts w:ascii="Arial" w:hAnsi="Arial" w:cs="Arial"/>
          <w:sz w:val="24"/>
          <w:szCs w:val="24"/>
        </w:rPr>
      </w:pPr>
    </w:p>
    <w:p w14:paraId="62632F9C" w14:textId="77777777" w:rsidR="00325E9E" w:rsidRPr="00325E9E" w:rsidRDefault="00325E9E" w:rsidP="00325E9E">
      <w:pPr>
        <w:spacing w:line="360" w:lineRule="auto"/>
        <w:rPr>
          <w:rFonts w:ascii="Arial" w:hAnsi="Arial" w:cs="Arial"/>
          <w:sz w:val="24"/>
          <w:szCs w:val="24"/>
        </w:rPr>
      </w:pPr>
    </w:p>
    <w:sectPr w:rsidR="00325E9E" w:rsidRPr="00325E9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F5BA6" w14:textId="77777777" w:rsidR="00636369" w:rsidRDefault="00636369" w:rsidP="00D2517D">
      <w:pPr>
        <w:spacing w:after="0" w:line="240" w:lineRule="auto"/>
      </w:pPr>
      <w:r>
        <w:separator/>
      </w:r>
    </w:p>
  </w:endnote>
  <w:endnote w:type="continuationSeparator" w:id="0">
    <w:p w14:paraId="2C22B50E" w14:textId="77777777" w:rsidR="00636369" w:rsidRDefault="00636369" w:rsidP="00D251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216FC" w14:textId="77777777" w:rsidR="00636369" w:rsidRDefault="00636369" w:rsidP="00D2517D">
      <w:pPr>
        <w:spacing w:after="0" w:line="240" w:lineRule="auto"/>
      </w:pPr>
      <w:r>
        <w:separator/>
      </w:r>
    </w:p>
  </w:footnote>
  <w:footnote w:type="continuationSeparator" w:id="0">
    <w:p w14:paraId="7B49C8E2" w14:textId="77777777" w:rsidR="00636369" w:rsidRDefault="00636369" w:rsidP="00D251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9657068"/>
      <w:docPartObj>
        <w:docPartGallery w:val="Page Numbers (Top of Page)"/>
        <w:docPartUnique/>
      </w:docPartObj>
    </w:sdtPr>
    <w:sdtEndPr>
      <w:rPr>
        <w:noProof/>
      </w:rPr>
    </w:sdtEndPr>
    <w:sdtContent>
      <w:p w14:paraId="00DD1A4F" w14:textId="653153F2" w:rsidR="00D2517D" w:rsidRDefault="00D2517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E520243" w14:textId="77777777" w:rsidR="00D2517D" w:rsidRDefault="00D2517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E9E"/>
    <w:rsid w:val="0009423B"/>
    <w:rsid w:val="000C4588"/>
    <w:rsid w:val="00111FB3"/>
    <w:rsid w:val="00192B50"/>
    <w:rsid w:val="00287172"/>
    <w:rsid w:val="00325E9E"/>
    <w:rsid w:val="00343E03"/>
    <w:rsid w:val="00366181"/>
    <w:rsid w:val="003766AD"/>
    <w:rsid w:val="00427D75"/>
    <w:rsid w:val="004954D1"/>
    <w:rsid w:val="004A4001"/>
    <w:rsid w:val="004B59D3"/>
    <w:rsid w:val="004C2558"/>
    <w:rsid w:val="004E3D08"/>
    <w:rsid w:val="004E3FF8"/>
    <w:rsid w:val="00541D49"/>
    <w:rsid w:val="0055682B"/>
    <w:rsid w:val="005A4F8C"/>
    <w:rsid w:val="005C494B"/>
    <w:rsid w:val="00636369"/>
    <w:rsid w:val="00644A2F"/>
    <w:rsid w:val="006A61FD"/>
    <w:rsid w:val="00765BC7"/>
    <w:rsid w:val="007B2CF6"/>
    <w:rsid w:val="007B4990"/>
    <w:rsid w:val="007B4BEB"/>
    <w:rsid w:val="007D34D8"/>
    <w:rsid w:val="00872C75"/>
    <w:rsid w:val="008F0D49"/>
    <w:rsid w:val="00930A80"/>
    <w:rsid w:val="00940F23"/>
    <w:rsid w:val="00957DBD"/>
    <w:rsid w:val="00973C60"/>
    <w:rsid w:val="00980150"/>
    <w:rsid w:val="00A0466A"/>
    <w:rsid w:val="00A96080"/>
    <w:rsid w:val="00AE4B03"/>
    <w:rsid w:val="00BA285A"/>
    <w:rsid w:val="00BB2C3F"/>
    <w:rsid w:val="00BB395B"/>
    <w:rsid w:val="00C0032E"/>
    <w:rsid w:val="00C047AB"/>
    <w:rsid w:val="00C14315"/>
    <w:rsid w:val="00C3344C"/>
    <w:rsid w:val="00C5612B"/>
    <w:rsid w:val="00C873DE"/>
    <w:rsid w:val="00CE2D64"/>
    <w:rsid w:val="00D2517D"/>
    <w:rsid w:val="00D45B52"/>
    <w:rsid w:val="00D96403"/>
    <w:rsid w:val="00DF752D"/>
    <w:rsid w:val="00E03F23"/>
    <w:rsid w:val="00E10B51"/>
    <w:rsid w:val="00E97827"/>
    <w:rsid w:val="00EC69B1"/>
    <w:rsid w:val="00F13486"/>
    <w:rsid w:val="00F1746A"/>
    <w:rsid w:val="00F97FEE"/>
    <w:rsid w:val="00FB2B85"/>
    <w:rsid w:val="00FC55A9"/>
    <w:rsid w:val="00FD2144"/>
    <w:rsid w:val="00FD5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F0171"/>
  <w15:chartTrackingRefBased/>
  <w15:docId w15:val="{B2013D91-9DF8-49EA-A2F8-F0A58EDFD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61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251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17D"/>
  </w:style>
  <w:style w:type="paragraph" w:styleId="Footer">
    <w:name w:val="footer"/>
    <w:basedOn w:val="Normal"/>
    <w:link w:val="FooterChar"/>
    <w:uiPriority w:val="99"/>
    <w:unhideWhenUsed/>
    <w:rsid w:val="00D251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1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26101">
      <w:bodyDiv w:val="1"/>
      <w:marLeft w:val="0"/>
      <w:marRight w:val="0"/>
      <w:marTop w:val="0"/>
      <w:marBottom w:val="0"/>
      <w:divBdr>
        <w:top w:val="none" w:sz="0" w:space="0" w:color="auto"/>
        <w:left w:val="none" w:sz="0" w:space="0" w:color="auto"/>
        <w:bottom w:val="none" w:sz="0" w:space="0" w:color="auto"/>
        <w:right w:val="none" w:sz="0" w:space="0" w:color="auto"/>
      </w:divBdr>
    </w:div>
    <w:div w:id="274094011">
      <w:bodyDiv w:val="1"/>
      <w:marLeft w:val="0"/>
      <w:marRight w:val="0"/>
      <w:marTop w:val="0"/>
      <w:marBottom w:val="0"/>
      <w:divBdr>
        <w:top w:val="none" w:sz="0" w:space="0" w:color="auto"/>
        <w:left w:val="none" w:sz="0" w:space="0" w:color="auto"/>
        <w:bottom w:val="none" w:sz="0" w:space="0" w:color="auto"/>
        <w:right w:val="none" w:sz="0" w:space="0" w:color="auto"/>
      </w:divBdr>
    </w:div>
    <w:div w:id="502404568">
      <w:bodyDiv w:val="1"/>
      <w:marLeft w:val="0"/>
      <w:marRight w:val="0"/>
      <w:marTop w:val="0"/>
      <w:marBottom w:val="0"/>
      <w:divBdr>
        <w:top w:val="none" w:sz="0" w:space="0" w:color="auto"/>
        <w:left w:val="none" w:sz="0" w:space="0" w:color="auto"/>
        <w:bottom w:val="none" w:sz="0" w:space="0" w:color="auto"/>
        <w:right w:val="none" w:sz="0" w:space="0" w:color="auto"/>
      </w:divBdr>
    </w:div>
    <w:div w:id="529489215">
      <w:bodyDiv w:val="1"/>
      <w:marLeft w:val="0"/>
      <w:marRight w:val="0"/>
      <w:marTop w:val="0"/>
      <w:marBottom w:val="0"/>
      <w:divBdr>
        <w:top w:val="none" w:sz="0" w:space="0" w:color="auto"/>
        <w:left w:val="none" w:sz="0" w:space="0" w:color="auto"/>
        <w:bottom w:val="none" w:sz="0" w:space="0" w:color="auto"/>
        <w:right w:val="none" w:sz="0" w:space="0" w:color="auto"/>
      </w:divBdr>
    </w:div>
    <w:div w:id="880678029">
      <w:bodyDiv w:val="1"/>
      <w:marLeft w:val="0"/>
      <w:marRight w:val="0"/>
      <w:marTop w:val="0"/>
      <w:marBottom w:val="0"/>
      <w:divBdr>
        <w:top w:val="none" w:sz="0" w:space="0" w:color="auto"/>
        <w:left w:val="none" w:sz="0" w:space="0" w:color="auto"/>
        <w:bottom w:val="none" w:sz="0" w:space="0" w:color="auto"/>
        <w:right w:val="none" w:sz="0" w:space="0" w:color="auto"/>
      </w:divBdr>
    </w:div>
    <w:div w:id="1402102188">
      <w:bodyDiv w:val="1"/>
      <w:marLeft w:val="0"/>
      <w:marRight w:val="0"/>
      <w:marTop w:val="0"/>
      <w:marBottom w:val="0"/>
      <w:divBdr>
        <w:top w:val="none" w:sz="0" w:space="0" w:color="auto"/>
        <w:left w:val="none" w:sz="0" w:space="0" w:color="auto"/>
        <w:bottom w:val="none" w:sz="0" w:space="0" w:color="auto"/>
        <w:right w:val="none" w:sz="0" w:space="0" w:color="auto"/>
      </w:divBdr>
    </w:div>
    <w:div w:id="1612014183">
      <w:bodyDiv w:val="1"/>
      <w:marLeft w:val="0"/>
      <w:marRight w:val="0"/>
      <w:marTop w:val="0"/>
      <w:marBottom w:val="0"/>
      <w:divBdr>
        <w:top w:val="none" w:sz="0" w:space="0" w:color="auto"/>
        <w:left w:val="none" w:sz="0" w:space="0" w:color="auto"/>
        <w:bottom w:val="none" w:sz="0" w:space="0" w:color="auto"/>
        <w:right w:val="none" w:sz="0" w:space="0" w:color="auto"/>
      </w:divBdr>
    </w:div>
    <w:div w:id="1665821913">
      <w:bodyDiv w:val="1"/>
      <w:marLeft w:val="0"/>
      <w:marRight w:val="0"/>
      <w:marTop w:val="0"/>
      <w:marBottom w:val="0"/>
      <w:divBdr>
        <w:top w:val="none" w:sz="0" w:space="0" w:color="auto"/>
        <w:left w:val="none" w:sz="0" w:space="0" w:color="auto"/>
        <w:bottom w:val="none" w:sz="0" w:space="0" w:color="auto"/>
        <w:right w:val="none" w:sz="0" w:space="0" w:color="auto"/>
      </w:divBdr>
    </w:div>
    <w:div w:id="2006282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8</Pages>
  <Words>1447</Words>
  <Characters>8249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37</cp:revision>
  <dcterms:created xsi:type="dcterms:W3CDTF">2022-05-04T07:12:00Z</dcterms:created>
  <dcterms:modified xsi:type="dcterms:W3CDTF">2022-05-04T09:29:00Z</dcterms:modified>
</cp:coreProperties>
</file>