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4CD" w:rsidRDefault="008404CD" w:rsidP="00EB43F9">
      <w:pPr>
        <w:pStyle w:val="NormalWeb"/>
        <w:spacing w:before="0" w:beforeAutospacing="0" w:after="0" w:afterAutospacing="0" w:line="480" w:lineRule="auto"/>
        <w:jc w:val="center"/>
        <w:rPr>
          <w:bCs/>
          <w:color w:val="0E101A"/>
        </w:rPr>
      </w:pPr>
    </w:p>
    <w:p w:rsidR="008404CD" w:rsidRDefault="008404CD" w:rsidP="00EB43F9">
      <w:pPr>
        <w:pStyle w:val="NormalWeb"/>
        <w:spacing w:before="0" w:beforeAutospacing="0" w:after="0" w:afterAutospacing="0" w:line="480" w:lineRule="auto"/>
        <w:jc w:val="center"/>
        <w:rPr>
          <w:bCs/>
          <w:color w:val="0E101A"/>
        </w:rPr>
      </w:pPr>
    </w:p>
    <w:p w:rsidR="008404CD" w:rsidRDefault="008404CD" w:rsidP="00EB43F9">
      <w:pPr>
        <w:pStyle w:val="NormalWeb"/>
        <w:spacing w:before="0" w:beforeAutospacing="0" w:after="0" w:afterAutospacing="0" w:line="480" w:lineRule="auto"/>
        <w:jc w:val="center"/>
        <w:rPr>
          <w:bCs/>
          <w:color w:val="0E101A"/>
        </w:rPr>
      </w:pPr>
    </w:p>
    <w:p w:rsidR="008404CD" w:rsidRDefault="008404CD" w:rsidP="00EB43F9">
      <w:pPr>
        <w:pStyle w:val="NormalWeb"/>
        <w:spacing w:before="0" w:beforeAutospacing="0" w:after="0" w:afterAutospacing="0" w:line="480" w:lineRule="auto"/>
        <w:jc w:val="center"/>
        <w:rPr>
          <w:bCs/>
          <w:color w:val="0E101A"/>
        </w:rPr>
      </w:pPr>
    </w:p>
    <w:p w:rsidR="008404CD" w:rsidRDefault="008404CD" w:rsidP="00EB43F9">
      <w:pPr>
        <w:pStyle w:val="NormalWeb"/>
        <w:spacing w:before="0" w:beforeAutospacing="0" w:after="0" w:afterAutospacing="0" w:line="480" w:lineRule="auto"/>
        <w:jc w:val="center"/>
        <w:rPr>
          <w:bCs/>
          <w:color w:val="0E101A"/>
        </w:rPr>
      </w:pPr>
    </w:p>
    <w:p w:rsidR="008404CD" w:rsidRDefault="008404CD" w:rsidP="00EB43F9">
      <w:pPr>
        <w:pStyle w:val="NormalWeb"/>
        <w:spacing w:before="0" w:beforeAutospacing="0" w:after="0" w:afterAutospacing="0" w:line="480" w:lineRule="auto"/>
        <w:jc w:val="center"/>
        <w:rPr>
          <w:bCs/>
          <w:color w:val="0E101A"/>
        </w:rPr>
      </w:pPr>
    </w:p>
    <w:p w:rsidR="008404CD" w:rsidRDefault="008404CD" w:rsidP="00EB43F9">
      <w:pPr>
        <w:pStyle w:val="NormalWeb"/>
        <w:spacing w:before="0" w:beforeAutospacing="0" w:after="0" w:afterAutospacing="0" w:line="480" w:lineRule="auto"/>
        <w:jc w:val="center"/>
        <w:rPr>
          <w:bCs/>
          <w:color w:val="0E101A"/>
        </w:rPr>
      </w:pPr>
    </w:p>
    <w:p w:rsidR="008404CD" w:rsidRDefault="008404CD" w:rsidP="008404CD">
      <w:pPr>
        <w:pStyle w:val="NormalWeb"/>
        <w:spacing w:before="0" w:beforeAutospacing="0" w:after="0" w:afterAutospacing="0" w:line="480" w:lineRule="auto"/>
        <w:jc w:val="center"/>
        <w:rPr>
          <w:bCs/>
          <w:color w:val="0E101A"/>
        </w:rPr>
      </w:pPr>
      <w:r w:rsidRPr="008404CD">
        <w:rPr>
          <w:bCs/>
          <w:color w:val="0E101A"/>
        </w:rPr>
        <w:t>Employee Training Product</w:t>
      </w:r>
    </w:p>
    <w:p w:rsidR="008404CD" w:rsidRDefault="008404CD" w:rsidP="008404CD">
      <w:pPr>
        <w:pStyle w:val="NormalWeb"/>
        <w:spacing w:before="0" w:beforeAutospacing="0" w:after="0" w:afterAutospacing="0" w:line="480" w:lineRule="auto"/>
        <w:jc w:val="center"/>
        <w:rPr>
          <w:rStyle w:val="Strong"/>
          <w:b w:val="0"/>
          <w:color w:val="0E101A"/>
        </w:rPr>
      </w:pPr>
      <w:r>
        <w:rPr>
          <w:rStyle w:val="Strong"/>
          <w:b w:val="0"/>
          <w:color w:val="0E101A"/>
        </w:rPr>
        <w:t xml:space="preserve">Student’s Name </w:t>
      </w:r>
    </w:p>
    <w:p w:rsidR="008404CD" w:rsidRDefault="008404CD" w:rsidP="008404CD">
      <w:pPr>
        <w:pStyle w:val="NormalWeb"/>
        <w:spacing w:before="0" w:beforeAutospacing="0" w:after="0" w:afterAutospacing="0" w:line="480" w:lineRule="auto"/>
        <w:jc w:val="center"/>
        <w:rPr>
          <w:rStyle w:val="Strong"/>
          <w:b w:val="0"/>
          <w:color w:val="0E101A"/>
        </w:rPr>
      </w:pPr>
      <w:r>
        <w:rPr>
          <w:rStyle w:val="Strong"/>
          <w:b w:val="0"/>
          <w:color w:val="0E101A"/>
        </w:rPr>
        <w:t xml:space="preserve">Institutional Affiliation </w:t>
      </w:r>
    </w:p>
    <w:p w:rsidR="00E7387B" w:rsidRDefault="00E7387B" w:rsidP="008404CD">
      <w:pPr>
        <w:pStyle w:val="NormalWeb"/>
        <w:spacing w:before="0" w:beforeAutospacing="0" w:after="0" w:afterAutospacing="0" w:line="480" w:lineRule="auto"/>
        <w:jc w:val="center"/>
        <w:rPr>
          <w:rStyle w:val="Strong"/>
          <w:b w:val="0"/>
          <w:color w:val="0E101A"/>
        </w:rPr>
      </w:pPr>
      <w:r>
        <w:rPr>
          <w:rStyle w:val="Strong"/>
          <w:b w:val="0"/>
          <w:color w:val="0E101A"/>
        </w:rPr>
        <w:t>Lecturer</w:t>
      </w:r>
    </w:p>
    <w:p w:rsidR="00E7387B" w:rsidRDefault="00E7387B" w:rsidP="008404CD">
      <w:pPr>
        <w:pStyle w:val="NormalWeb"/>
        <w:spacing w:before="0" w:beforeAutospacing="0" w:after="0" w:afterAutospacing="0" w:line="480" w:lineRule="auto"/>
        <w:jc w:val="center"/>
        <w:rPr>
          <w:rStyle w:val="Strong"/>
          <w:b w:val="0"/>
          <w:color w:val="0E101A"/>
        </w:rPr>
      </w:pPr>
      <w:r>
        <w:rPr>
          <w:rStyle w:val="Strong"/>
          <w:b w:val="0"/>
          <w:color w:val="0E101A"/>
        </w:rPr>
        <w:t>Course</w:t>
      </w:r>
    </w:p>
    <w:p w:rsidR="00E7387B" w:rsidRDefault="00E7387B" w:rsidP="008404CD">
      <w:pPr>
        <w:pStyle w:val="NormalWeb"/>
        <w:spacing w:before="0" w:beforeAutospacing="0" w:after="0" w:afterAutospacing="0" w:line="480" w:lineRule="auto"/>
        <w:jc w:val="center"/>
        <w:rPr>
          <w:rStyle w:val="Strong"/>
          <w:b w:val="0"/>
          <w:color w:val="0E101A"/>
        </w:rPr>
      </w:pPr>
      <w:r>
        <w:rPr>
          <w:rStyle w:val="Strong"/>
          <w:b w:val="0"/>
          <w:color w:val="0E101A"/>
        </w:rPr>
        <w:t>Date</w:t>
      </w:r>
    </w:p>
    <w:p w:rsidR="008404CD" w:rsidRDefault="008404CD">
      <w:pPr>
        <w:rPr>
          <w:rStyle w:val="Strong"/>
          <w:rFonts w:ascii="Times New Roman" w:eastAsia="Times New Roman" w:hAnsi="Times New Roman" w:cs="Times New Roman"/>
          <w:b w:val="0"/>
          <w:color w:val="0E101A"/>
          <w:sz w:val="24"/>
          <w:szCs w:val="24"/>
        </w:rPr>
      </w:pPr>
      <w:r>
        <w:rPr>
          <w:rStyle w:val="Strong"/>
          <w:b w:val="0"/>
          <w:color w:val="0E101A"/>
        </w:rPr>
        <w:br w:type="page"/>
      </w:r>
    </w:p>
    <w:p w:rsidR="00120CA4" w:rsidRPr="008404CD" w:rsidRDefault="00120CA4" w:rsidP="00EB43F9">
      <w:pPr>
        <w:pStyle w:val="NormalWeb"/>
        <w:spacing w:before="0" w:beforeAutospacing="0" w:after="0" w:afterAutospacing="0" w:line="480" w:lineRule="auto"/>
        <w:jc w:val="center"/>
        <w:rPr>
          <w:color w:val="0E101A"/>
        </w:rPr>
      </w:pPr>
      <w:r w:rsidRPr="008404CD">
        <w:rPr>
          <w:rStyle w:val="Strong"/>
          <w:b w:val="0"/>
          <w:color w:val="0E101A"/>
        </w:rPr>
        <w:lastRenderedPageBreak/>
        <w:t>Employee Training Product</w:t>
      </w:r>
    </w:p>
    <w:p w:rsidR="00120CA4" w:rsidRDefault="00120CA4" w:rsidP="00120CA4">
      <w:pPr>
        <w:pStyle w:val="NormalWeb"/>
        <w:spacing w:before="0" w:beforeAutospacing="0" w:after="0" w:afterAutospacing="0" w:line="480" w:lineRule="auto"/>
        <w:rPr>
          <w:color w:val="0E101A"/>
        </w:rPr>
      </w:pPr>
      <w:r>
        <w:rPr>
          <w:color w:val="0E101A"/>
        </w:rPr>
        <w:t>           Workplace safety training aims to provide the employees with knowledge and skills to execute their mandates in a hazard-free environment. Effective workplace safety also encompasses a set of instructions and guidelines that aids in identifying hazards, reporting them to the relevant authorities and solving any possible incidents. Achieving this objective entails developing a credible and efficient training product to educate employees about various aspects. The essential ones include: enlightening them about the worker's compensation, the Fair Labor Act, OSHA, Immigration Reform and Control Act, and Labor relations. </w:t>
      </w:r>
    </w:p>
    <w:p w:rsidR="00120CA4" w:rsidRDefault="00120CA4" w:rsidP="00EB43F9">
      <w:pPr>
        <w:pStyle w:val="NormalWeb"/>
        <w:spacing w:before="0" w:beforeAutospacing="0" w:after="0" w:afterAutospacing="0" w:line="480" w:lineRule="auto"/>
        <w:jc w:val="center"/>
        <w:rPr>
          <w:color w:val="0E101A"/>
        </w:rPr>
      </w:pPr>
      <w:r>
        <w:rPr>
          <w:rStyle w:val="Strong"/>
          <w:color w:val="0E101A"/>
        </w:rPr>
        <w:t>Training Employees about Worker Compensation</w:t>
      </w:r>
    </w:p>
    <w:p w:rsidR="00120CA4" w:rsidRDefault="00120CA4" w:rsidP="00120CA4">
      <w:pPr>
        <w:pStyle w:val="NormalWeb"/>
        <w:spacing w:before="0" w:beforeAutospacing="0" w:after="0" w:afterAutospacing="0" w:line="480" w:lineRule="auto"/>
        <w:rPr>
          <w:color w:val="0E101A"/>
        </w:rPr>
      </w:pPr>
      <w:r>
        <w:rPr>
          <w:rStyle w:val="Strong"/>
          <w:color w:val="0E101A"/>
        </w:rPr>
        <w:t> </w:t>
      </w:r>
      <w:r>
        <w:rPr>
          <w:color w:val="0E101A"/>
        </w:rPr>
        <w:t>            Worker compensation is a social insurance program that provides financial assistance to workers who are injured or become ill at work. The program is mandated by the Federal Insurance Contributions Act (FICA), which is responsible for financing Social Security</w:t>
      </w:r>
      <w:r w:rsidR="00EB43F9" w:rsidRPr="00EB43F9">
        <w:rPr>
          <w:rFonts w:asciiTheme="minorHAnsi" w:eastAsiaTheme="minorHAnsi" w:hAnsiTheme="minorHAnsi" w:cstheme="minorBidi"/>
          <w:sz w:val="22"/>
          <w:szCs w:val="22"/>
        </w:rPr>
        <w:t xml:space="preserve"> </w:t>
      </w:r>
      <w:r w:rsidR="00EB43F9">
        <w:rPr>
          <w:rFonts w:asciiTheme="minorHAnsi" w:eastAsiaTheme="minorHAnsi" w:hAnsiTheme="minorHAnsi" w:cstheme="minorBidi"/>
          <w:sz w:val="22"/>
          <w:szCs w:val="22"/>
        </w:rPr>
        <w:t>(</w:t>
      </w:r>
      <w:r w:rsidR="00EB43F9">
        <w:rPr>
          <w:color w:val="0E101A"/>
        </w:rPr>
        <w:t>Lester et al.,</w:t>
      </w:r>
      <w:r w:rsidR="00EB43F9" w:rsidRPr="00EB43F9">
        <w:rPr>
          <w:color w:val="0E101A"/>
        </w:rPr>
        <w:t xml:space="preserve"> 2021)</w:t>
      </w:r>
      <w:r>
        <w:rPr>
          <w:color w:val="0E101A"/>
        </w:rPr>
        <w:t>. Worker compensation benefits are payable regardless of whether the employee is eligible for Social Security benefits. Employees must be informed that the worker's compensation system in the United States is based on three important principles: Workers are entitled to benefits regardless of fault. Benefits are payable even if an employee voluntarily quits or is fired. Benefits are payable regardless of how much time has passed since the incident occurred.</w:t>
      </w:r>
    </w:p>
    <w:p w:rsidR="00120CA4" w:rsidRDefault="00120CA4" w:rsidP="00120CA4">
      <w:pPr>
        <w:pStyle w:val="NormalWeb"/>
        <w:spacing w:before="0" w:beforeAutospacing="0" w:after="0" w:afterAutospacing="0" w:line="480" w:lineRule="auto"/>
        <w:rPr>
          <w:color w:val="0E101A"/>
        </w:rPr>
      </w:pPr>
      <w:r>
        <w:rPr>
          <w:color w:val="0E101A"/>
        </w:rPr>
        <w:t>Benefits may be paid in a lump sum or over the years. A worker's benefits while at work depend on various factors, such as injury or illness, the employee's age, sex, and occupation.</w:t>
      </w:r>
    </w:p>
    <w:p w:rsidR="00120CA4" w:rsidRDefault="00120CA4" w:rsidP="00EB43F9">
      <w:pPr>
        <w:pStyle w:val="NormalWeb"/>
        <w:spacing w:before="0" w:beforeAutospacing="0" w:after="0" w:afterAutospacing="0" w:line="480" w:lineRule="auto"/>
        <w:jc w:val="center"/>
        <w:rPr>
          <w:color w:val="0E101A"/>
        </w:rPr>
      </w:pPr>
      <w:r>
        <w:rPr>
          <w:rStyle w:val="Strong"/>
          <w:color w:val="0E101A"/>
        </w:rPr>
        <w:t>The Fair Labor Act</w:t>
      </w:r>
    </w:p>
    <w:p w:rsidR="00120CA4" w:rsidRDefault="00120CA4" w:rsidP="00120CA4">
      <w:pPr>
        <w:pStyle w:val="NormalWeb"/>
        <w:spacing w:before="0" w:beforeAutospacing="0" w:after="0" w:afterAutospacing="0" w:line="480" w:lineRule="auto"/>
        <w:rPr>
          <w:color w:val="0E101A"/>
        </w:rPr>
      </w:pPr>
      <w:r>
        <w:rPr>
          <w:rStyle w:val="Strong"/>
          <w:color w:val="0E101A"/>
        </w:rPr>
        <w:t> </w:t>
      </w:r>
      <w:r>
        <w:rPr>
          <w:color w:val="0E101A"/>
        </w:rPr>
        <w:t xml:space="preserve">           Fair Labor Act is a crucial piece of legislation that regulates many aspects of the labour force. Among its most important provisions are the minimum wage, overtime pay, child labour </w:t>
      </w:r>
      <w:r>
        <w:rPr>
          <w:color w:val="0E101A"/>
        </w:rPr>
        <w:lastRenderedPageBreak/>
        <w:t>laws, and prohibitions on discrimination in hiring</w:t>
      </w:r>
      <w:r w:rsidR="00EB43F9" w:rsidRPr="00EB43F9">
        <w:rPr>
          <w:rFonts w:asciiTheme="minorHAnsi" w:eastAsiaTheme="minorHAnsi" w:hAnsiTheme="minorHAnsi" w:cstheme="minorBidi"/>
          <w:sz w:val="22"/>
          <w:szCs w:val="22"/>
        </w:rPr>
        <w:t xml:space="preserve"> </w:t>
      </w:r>
      <w:r w:rsidR="00EB43F9">
        <w:rPr>
          <w:rFonts w:asciiTheme="minorHAnsi" w:eastAsiaTheme="minorHAnsi" w:hAnsiTheme="minorHAnsi" w:cstheme="minorBidi"/>
          <w:sz w:val="22"/>
          <w:szCs w:val="22"/>
        </w:rPr>
        <w:t>(</w:t>
      </w:r>
      <w:proofErr w:type="spellStart"/>
      <w:r w:rsidR="00EB43F9" w:rsidRPr="00EB43F9">
        <w:rPr>
          <w:color w:val="0E101A"/>
        </w:rPr>
        <w:t>Andrias</w:t>
      </w:r>
      <w:proofErr w:type="spellEnd"/>
      <w:r w:rsidR="00EB43F9" w:rsidRPr="00EB43F9">
        <w:rPr>
          <w:color w:val="0E101A"/>
        </w:rPr>
        <w:t>, 2018)</w:t>
      </w:r>
      <w:r>
        <w:rPr>
          <w:color w:val="0E101A"/>
        </w:rPr>
        <w:t>. The Act also establishes the National Labor Relations Board (NLRB), resolving disputes between employers and employees concerning union organizing and other labour-related matters.</w:t>
      </w:r>
    </w:p>
    <w:p w:rsidR="00120CA4" w:rsidRDefault="00120CA4" w:rsidP="00EB43F9">
      <w:pPr>
        <w:pStyle w:val="NormalWeb"/>
        <w:spacing w:before="0" w:beforeAutospacing="0" w:after="0" w:afterAutospacing="0" w:line="480" w:lineRule="auto"/>
        <w:jc w:val="center"/>
        <w:rPr>
          <w:color w:val="0E101A"/>
        </w:rPr>
      </w:pPr>
      <w:r>
        <w:rPr>
          <w:rStyle w:val="Strong"/>
          <w:color w:val="0E101A"/>
        </w:rPr>
        <w:t>The OSHA</w:t>
      </w:r>
    </w:p>
    <w:p w:rsidR="00120CA4" w:rsidRDefault="00120CA4" w:rsidP="00120CA4">
      <w:pPr>
        <w:pStyle w:val="NormalWeb"/>
        <w:spacing w:before="0" w:beforeAutospacing="0" w:after="0" w:afterAutospacing="0" w:line="480" w:lineRule="auto"/>
        <w:rPr>
          <w:color w:val="0E101A"/>
        </w:rPr>
      </w:pPr>
      <w:r>
        <w:rPr>
          <w:rStyle w:val="Strong"/>
          <w:color w:val="0E101A"/>
        </w:rPr>
        <w:t> </w:t>
      </w:r>
      <w:r>
        <w:rPr>
          <w:color w:val="0E101A"/>
        </w:rPr>
        <w:t>           OSHA is a federal agency responsible for protecting workers from workplace hazards. Its mission is to provide standards that reduce work-related injuries, illnesses, and deaths. OSHA's standards are based on the principle that every worker has a right to be safe</w:t>
      </w:r>
      <w:r w:rsidR="00EB43F9" w:rsidRPr="00EB43F9">
        <w:rPr>
          <w:rFonts w:asciiTheme="minorHAnsi" w:eastAsiaTheme="minorHAnsi" w:hAnsiTheme="minorHAnsi" w:cstheme="minorBidi"/>
          <w:sz w:val="22"/>
          <w:szCs w:val="22"/>
        </w:rPr>
        <w:t xml:space="preserve"> </w:t>
      </w:r>
      <w:r w:rsidR="00EB43F9">
        <w:rPr>
          <w:rFonts w:asciiTheme="minorHAnsi" w:eastAsiaTheme="minorHAnsi" w:hAnsiTheme="minorHAnsi" w:cstheme="minorBidi"/>
          <w:sz w:val="22"/>
          <w:szCs w:val="22"/>
        </w:rPr>
        <w:t>(</w:t>
      </w:r>
      <w:r w:rsidR="00EB43F9" w:rsidRPr="00EB43F9">
        <w:rPr>
          <w:color w:val="0E101A"/>
        </w:rPr>
        <w:t>Islam, 2022)</w:t>
      </w:r>
      <w:r>
        <w:rPr>
          <w:color w:val="0E101A"/>
        </w:rPr>
        <w:t>. To achieve this objective, OSHA establishes regulations that employers must follow to comply with its guidelines.</w:t>
      </w:r>
    </w:p>
    <w:p w:rsidR="00120CA4" w:rsidRDefault="00120CA4" w:rsidP="00EB43F9">
      <w:pPr>
        <w:pStyle w:val="NormalWeb"/>
        <w:spacing w:before="0" w:beforeAutospacing="0" w:after="0" w:afterAutospacing="0" w:line="480" w:lineRule="auto"/>
        <w:jc w:val="center"/>
        <w:rPr>
          <w:color w:val="0E101A"/>
        </w:rPr>
      </w:pPr>
      <w:r>
        <w:rPr>
          <w:rStyle w:val="Strong"/>
          <w:color w:val="0E101A"/>
        </w:rPr>
        <w:t>The Immigration Reform and Control Act</w:t>
      </w:r>
    </w:p>
    <w:p w:rsidR="00120CA4" w:rsidRDefault="00120CA4" w:rsidP="00120CA4">
      <w:pPr>
        <w:pStyle w:val="NormalWeb"/>
        <w:spacing w:before="0" w:beforeAutospacing="0" w:after="0" w:afterAutospacing="0" w:line="480" w:lineRule="auto"/>
        <w:rPr>
          <w:color w:val="0E101A"/>
        </w:rPr>
      </w:pPr>
      <w:r>
        <w:rPr>
          <w:rStyle w:val="Strong"/>
          <w:color w:val="0E101A"/>
        </w:rPr>
        <w:t> </w:t>
      </w:r>
      <w:r>
        <w:rPr>
          <w:color w:val="0E101A"/>
        </w:rPr>
        <w:t>           Immigration Reform and Control Act (IRCA) is a federal law enacted in 1986 to reform the immigration system. Among other things, IRCA created new categories of legal immigrants, increased the number of temporary workers who were permitted to stay in the United States, and created new visa categories for foreign workers</w:t>
      </w:r>
      <w:r w:rsidR="00EB43F9" w:rsidRPr="00EB43F9">
        <w:rPr>
          <w:rFonts w:asciiTheme="minorHAnsi" w:eastAsiaTheme="minorHAnsi" w:hAnsiTheme="minorHAnsi" w:cstheme="minorBidi"/>
          <w:sz w:val="22"/>
          <w:szCs w:val="22"/>
        </w:rPr>
        <w:t xml:space="preserve"> </w:t>
      </w:r>
      <w:r w:rsidR="00EB43F9">
        <w:rPr>
          <w:rFonts w:asciiTheme="minorHAnsi" w:eastAsiaTheme="minorHAnsi" w:hAnsiTheme="minorHAnsi" w:cstheme="minorBidi"/>
          <w:sz w:val="22"/>
          <w:szCs w:val="22"/>
        </w:rPr>
        <w:t>(</w:t>
      </w:r>
      <w:r w:rsidR="00EB43F9" w:rsidRPr="00EB43F9">
        <w:rPr>
          <w:color w:val="0E101A"/>
        </w:rPr>
        <w:t>Cascio</w:t>
      </w:r>
      <w:r w:rsidR="00EB43F9">
        <w:rPr>
          <w:color w:val="0E101A"/>
        </w:rPr>
        <w:t xml:space="preserve"> </w:t>
      </w:r>
      <w:r w:rsidR="00EB43F9" w:rsidRPr="00EB43F9">
        <w:rPr>
          <w:color w:val="0E101A"/>
        </w:rPr>
        <w:t>&amp; Lewis, 2019)</w:t>
      </w:r>
      <w:r>
        <w:rPr>
          <w:color w:val="0E101A"/>
        </w:rPr>
        <w:t>.</w:t>
      </w:r>
    </w:p>
    <w:p w:rsidR="00120CA4" w:rsidRDefault="00120CA4" w:rsidP="00EB43F9">
      <w:pPr>
        <w:pStyle w:val="NormalWeb"/>
        <w:spacing w:before="0" w:beforeAutospacing="0" w:after="0" w:afterAutospacing="0" w:line="480" w:lineRule="auto"/>
        <w:jc w:val="center"/>
        <w:rPr>
          <w:color w:val="0E101A"/>
        </w:rPr>
      </w:pPr>
      <w:r>
        <w:rPr>
          <w:rStyle w:val="Strong"/>
          <w:color w:val="0E101A"/>
        </w:rPr>
        <w:t>Training Employees about Labor Relations</w:t>
      </w:r>
    </w:p>
    <w:p w:rsidR="00120CA4" w:rsidRDefault="00120CA4" w:rsidP="00120CA4">
      <w:pPr>
        <w:pStyle w:val="NormalWeb"/>
        <w:spacing w:before="0" w:beforeAutospacing="0" w:after="0" w:afterAutospacing="0" w:line="480" w:lineRule="auto"/>
        <w:rPr>
          <w:color w:val="0E101A"/>
        </w:rPr>
      </w:pPr>
      <w:r>
        <w:rPr>
          <w:color w:val="0E101A"/>
        </w:rPr>
        <w:t>            Labour relations are how employees and employers negotiate agreements that address their concerns and problems. The goal of labour relations is to resolve disputes without resorting to litigation. To achieve this objective, unions must provide information about their rights and responsibilities and the laws that govern labour. The Act is most crucial to the workers because it gives them the right to organize and bargain collectively, which helps them to get better wages and working conditions</w:t>
      </w:r>
      <w:r w:rsidR="008404CD" w:rsidRPr="008404CD">
        <w:rPr>
          <w:rFonts w:eastAsiaTheme="minorHAnsi"/>
        </w:rPr>
        <w:t xml:space="preserve"> </w:t>
      </w:r>
      <w:r w:rsidR="008404CD">
        <w:rPr>
          <w:rFonts w:eastAsiaTheme="minorHAnsi"/>
        </w:rPr>
        <w:t>(</w:t>
      </w:r>
      <w:r w:rsidR="008404CD" w:rsidRPr="008404CD">
        <w:rPr>
          <w:color w:val="0E101A"/>
        </w:rPr>
        <w:t>Lester</w:t>
      </w:r>
      <w:r w:rsidR="008404CD">
        <w:rPr>
          <w:color w:val="0E101A"/>
        </w:rPr>
        <w:t xml:space="preserve"> et al., </w:t>
      </w:r>
      <w:r w:rsidR="008404CD" w:rsidRPr="008404CD">
        <w:rPr>
          <w:color w:val="0E101A"/>
        </w:rPr>
        <w:t>2021)</w:t>
      </w:r>
      <w:r>
        <w:rPr>
          <w:color w:val="0E101A"/>
        </w:rPr>
        <w:t>. It protects workers from unfair treatment by their employers. It makes it easier for employees to file complaints if they believe that they have been mistreated.</w:t>
      </w:r>
    </w:p>
    <w:p w:rsidR="00EB43F9" w:rsidRPr="00EB43F9" w:rsidRDefault="00EB43F9" w:rsidP="008404CD">
      <w:pPr>
        <w:spacing w:after="0" w:line="480" w:lineRule="auto"/>
        <w:jc w:val="center"/>
        <w:rPr>
          <w:rFonts w:ascii="Times New Roman" w:hAnsi="Times New Roman" w:cs="Times New Roman"/>
          <w:sz w:val="24"/>
          <w:szCs w:val="24"/>
        </w:rPr>
      </w:pPr>
      <w:r w:rsidRPr="00EB43F9">
        <w:rPr>
          <w:rFonts w:ascii="Times New Roman" w:hAnsi="Times New Roman" w:cs="Times New Roman"/>
          <w:sz w:val="24"/>
          <w:szCs w:val="24"/>
        </w:rPr>
        <w:lastRenderedPageBreak/>
        <w:t>References</w:t>
      </w:r>
    </w:p>
    <w:p w:rsidR="007F2B20" w:rsidRPr="00EB43F9" w:rsidRDefault="00EB43F9" w:rsidP="00EB43F9">
      <w:pPr>
        <w:spacing w:after="0" w:line="480" w:lineRule="auto"/>
        <w:ind w:left="720" w:hanging="720"/>
        <w:rPr>
          <w:rFonts w:ascii="Times New Roman" w:hAnsi="Times New Roman" w:cs="Times New Roman"/>
          <w:sz w:val="24"/>
          <w:szCs w:val="24"/>
        </w:rPr>
      </w:pPr>
      <w:r w:rsidRPr="00EB43F9">
        <w:rPr>
          <w:rFonts w:ascii="Times New Roman" w:hAnsi="Times New Roman" w:cs="Times New Roman"/>
          <w:sz w:val="24"/>
          <w:szCs w:val="24"/>
        </w:rPr>
        <w:t xml:space="preserve">Islam, M. R. (2022). Construction Safety: Health, Practices, and OSHA. </w:t>
      </w:r>
      <w:proofErr w:type="gramStart"/>
      <w:r w:rsidRPr="00EB43F9">
        <w:rPr>
          <w:rFonts w:ascii="Times New Roman" w:hAnsi="Times New Roman" w:cs="Times New Roman"/>
          <w:sz w:val="24"/>
          <w:szCs w:val="24"/>
        </w:rPr>
        <w:t>McGraw-Hill Education.</w:t>
      </w:r>
      <w:proofErr w:type="gramEnd"/>
      <w:r w:rsidRPr="00EB43F9">
        <w:rPr>
          <w:rFonts w:ascii="Times New Roman" w:hAnsi="Times New Roman" w:cs="Times New Roman"/>
          <w:sz w:val="24"/>
          <w:szCs w:val="24"/>
        </w:rPr>
        <w:t xml:space="preserve"> </w:t>
      </w:r>
      <w:hyperlink r:id="rId6" w:history="1">
        <w:r w:rsidRPr="00EB43F9">
          <w:rPr>
            <w:rStyle w:val="Hyperlink"/>
            <w:rFonts w:ascii="Times New Roman" w:hAnsi="Times New Roman" w:cs="Times New Roman"/>
            <w:color w:val="auto"/>
            <w:sz w:val="24"/>
            <w:szCs w:val="24"/>
            <w:u w:val="none"/>
          </w:rPr>
          <w:t>https://www.accessengineerin</w:t>
        </w:r>
        <w:bookmarkStart w:id="0" w:name="_GoBack"/>
        <w:bookmarkEnd w:id="0"/>
        <w:r w:rsidRPr="00EB43F9">
          <w:rPr>
            <w:rStyle w:val="Hyperlink"/>
            <w:rFonts w:ascii="Times New Roman" w:hAnsi="Times New Roman" w:cs="Times New Roman"/>
            <w:color w:val="auto"/>
            <w:sz w:val="24"/>
            <w:szCs w:val="24"/>
            <w:u w:val="none"/>
          </w:rPr>
          <w:t>glibrary.com/binary/mheaeworks/0f1cc17aebc50ec1/42f4cc6f373d7301e6bfe83c719a4d084a2cac948d4820c1b575c8107d64fc42/book-summary.pdf</w:t>
        </w:r>
      </w:hyperlink>
    </w:p>
    <w:p w:rsidR="00EB43F9" w:rsidRPr="00EB43F9" w:rsidRDefault="00EB43F9" w:rsidP="00EB43F9">
      <w:pPr>
        <w:spacing w:after="0" w:line="480" w:lineRule="auto"/>
        <w:ind w:left="720" w:hanging="720"/>
        <w:rPr>
          <w:rFonts w:ascii="Times New Roman" w:hAnsi="Times New Roman" w:cs="Times New Roman"/>
          <w:sz w:val="24"/>
          <w:szCs w:val="24"/>
        </w:rPr>
      </w:pPr>
      <w:proofErr w:type="gramStart"/>
      <w:r w:rsidRPr="00EB43F9">
        <w:rPr>
          <w:rFonts w:ascii="Times New Roman" w:hAnsi="Times New Roman" w:cs="Times New Roman"/>
          <w:sz w:val="24"/>
          <w:szCs w:val="24"/>
        </w:rPr>
        <w:t>Cascio, E. U., &amp; Lewis, E. G. (2019).</w:t>
      </w:r>
      <w:proofErr w:type="gramEnd"/>
      <w:r w:rsidRPr="00EB43F9">
        <w:rPr>
          <w:rFonts w:ascii="Times New Roman" w:hAnsi="Times New Roman" w:cs="Times New Roman"/>
          <w:sz w:val="24"/>
          <w:szCs w:val="24"/>
        </w:rPr>
        <w:t xml:space="preserve"> </w:t>
      </w:r>
      <w:proofErr w:type="gramStart"/>
      <w:r w:rsidRPr="00EB43F9">
        <w:rPr>
          <w:rFonts w:ascii="Times New Roman" w:hAnsi="Times New Roman" w:cs="Times New Roman"/>
          <w:sz w:val="24"/>
          <w:szCs w:val="24"/>
        </w:rPr>
        <w:t>Distributing the Green (Cards): Permanent residency and personal income taxes after the Immigration Reform and Control Act of 1986.</w:t>
      </w:r>
      <w:proofErr w:type="gramEnd"/>
      <w:r w:rsidRPr="00EB43F9">
        <w:rPr>
          <w:rFonts w:ascii="Times New Roman" w:hAnsi="Times New Roman" w:cs="Times New Roman"/>
          <w:sz w:val="24"/>
          <w:szCs w:val="24"/>
        </w:rPr>
        <w:t> </w:t>
      </w:r>
      <w:r w:rsidRPr="00EB43F9">
        <w:rPr>
          <w:rFonts w:ascii="Times New Roman" w:hAnsi="Times New Roman" w:cs="Times New Roman"/>
          <w:i/>
          <w:iCs/>
          <w:sz w:val="24"/>
          <w:szCs w:val="24"/>
        </w:rPr>
        <w:t>Journal of Public Economics</w:t>
      </w:r>
      <w:r w:rsidRPr="00EB43F9">
        <w:rPr>
          <w:rFonts w:ascii="Times New Roman" w:hAnsi="Times New Roman" w:cs="Times New Roman"/>
          <w:sz w:val="24"/>
          <w:szCs w:val="24"/>
        </w:rPr>
        <w:t>, </w:t>
      </w:r>
      <w:r w:rsidRPr="00EB43F9">
        <w:rPr>
          <w:rFonts w:ascii="Times New Roman" w:hAnsi="Times New Roman" w:cs="Times New Roman"/>
          <w:i/>
          <w:iCs/>
          <w:sz w:val="24"/>
          <w:szCs w:val="24"/>
        </w:rPr>
        <w:t>172</w:t>
      </w:r>
      <w:r w:rsidRPr="00EB43F9">
        <w:rPr>
          <w:rFonts w:ascii="Times New Roman" w:hAnsi="Times New Roman" w:cs="Times New Roman"/>
          <w:sz w:val="24"/>
          <w:szCs w:val="24"/>
        </w:rPr>
        <w:t xml:space="preserve">, 135-150. </w:t>
      </w:r>
      <w:hyperlink r:id="rId7" w:history="1">
        <w:r w:rsidRPr="00EB43F9">
          <w:rPr>
            <w:rStyle w:val="Hyperlink"/>
            <w:rFonts w:ascii="Times New Roman" w:hAnsi="Times New Roman" w:cs="Times New Roman"/>
            <w:color w:val="auto"/>
            <w:sz w:val="24"/>
            <w:szCs w:val="24"/>
            <w:u w:val="none"/>
          </w:rPr>
          <w:t>https://www.nber.org/system/files/working_papers/w24872/w24872.pdf</w:t>
        </w:r>
      </w:hyperlink>
    </w:p>
    <w:p w:rsidR="00EB43F9" w:rsidRPr="00EB43F9" w:rsidRDefault="00EB43F9" w:rsidP="00EB43F9">
      <w:pPr>
        <w:spacing w:after="0" w:line="480" w:lineRule="auto"/>
        <w:ind w:left="720" w:hanging="720"/>
        <w:rPr>
          <w:rFonts w:ascii="Times New Roman" w:hAnsi="Times New Roman" w:cs="Times New Roman"/>
          <w:sz w:val="24"/>
          <w:szCs w:val="24"/>
        </w:rPr>
      </w:pPr>
      <w:proofErr w:type="gramStart"/>
      <w:r w:rsidRPr="00EB43F9">
        <w:rPr>
          <w:rFonts w:ascii="Times New Roman" w:hAnsi="Times New Roman" w:cs="Times New Roman"/>
          <w:sz w:val="24"/>
          <w:szCs w:val="24"/>
        </w:rPr>
        <w:t xml:space="preserve">Duggan, J., Sherman, U., </w:t>
      </w:r>
      <w:proofErr w:type="spellStart"/>
      <w:r w:rsidRPr="00EB43F9">
        <w:rPr>
          <w:rFonts w:ascii="Times New Roman" w:hAnsi="Times New Roman" w:cs="Times New Roman"/>
          <w:sz w:val="24"/>
          <w:szCs w:val="24"/>
        </w:rPr>
        <w:t>Carbery</w:t>
      </w:r>
      <w:proofErr w:type="spellEnd"/>
      <w:r w:rsidRPr="00EB43F9">
        <w:rPr>
          <w:rFonts w:ascii="Times New Roman" w:hAnsi="Times New Roman" w:cs="Times New Roman"/>
          <w:sz w:val="24"/>
          <w:szCs w:val="24"/>
        </w:rPr>
        <w:t>, R., &amp; McDonnell, A. (2020).</w:t>
      </w:r>
      <w:proofErr w:type="gramEnd"/>
      <w:r w:rsidRPr="00EB43F9">
        <w:rPr>
          <w:rFonts w:ascii="Times New Roman" w:hAnsi="Times New Roman" w:cs="Times New Roman"/>
          <w:sz w:val="24"/>
          <w:szCs w:val="24"/>
        </w:rPr>
        <w:t xml:space="preserve"> Algorithmic management and app</w:t>
      </w:r>
      <w:r w:rsidRPr="00EB43F9">
        <w:rPr>
          <w:rFonts w:ascii="Cambria Math" w:hAnsi="Cambria Math" w:cs="Cambria Math"/>
          <w:sz w:val="24"/>
          <w:szCs w:val="24"/>
        </w:rPr>
        <w:t>‐</w:t>
      </w:r>
      <w:r w:rsidRPr="00EB43F9">
        <w:rPr>
          <w:rFonts w:ascii="Times New Roman" w:hAnsi="Times New Roman" w:cs="Times New Roman"/>
          <w:sz w:val="24"/>
          <w:szCs w:val="24"/>
        </w:rPr>
        <w:t>work in the gig economy: A research agenda for employment relations and HRM. </w:t>
      </w:r>
      <w:r w:rsidRPr="00EB43F9">
        <w:rPr>
          <w:rFonts w:ascii="Times New Roman" w:hAnsi="Times New Roman" w:cs="Times New Roman"/>
          <w:i/>
          <w:iCs/>
          <w:sz w:val="24"/>
          <w:szCs w:val="24"/>
        </w:rPr>
        <w:t>Human Resource Management Journal</w:t>
      </w:r>
      <w:r w:rsidRPr="00EB43F9">
        <w:rPr>
          <w:rFonts w:ascii="Times New Roman" w:hAnsi="Times New Roman" w:cs="Times New Roman"/>
          <w:sz w:val="24"/>
          <w:szCs w:val="24"/>
        </w:rPr>
        <w:t>, </w:t>
      </w:r>
      <w:r w:rsidRPr="00EB43F9">
        <w:rPr>
          <w:rFonts w:ascii="Times New Roman" w:hAnsi="Times New Roman" w:cs="Times New Roman"/>
          <w:i/>
          <w:iCs/>
          <w:sz w:val="24"/>
          <w:szCs w:val="24"/>
        </w:rPr>
        <w:t>30</w:t>
      </w:r>
      <w:r w:rsidRPr="00EB43F9">
        <w:rPr>
          <w:rFonts w:ascii="Times New Roman" w:hAnsi="Times New Roman" w:cs="Times New Roman"/>
          <w:sz w:val="24"/>
          <w:szCs w:val="24"/>
        </w:rPr>
        <w:t xml:space="preserve">(1), 114-132. </w:t>
      </w:r>
      <w:hyperlink r:id="rId8" w:history="1">
        <w:r w:rsidRPr="00EB43F9">
          <w:rPr>
            <w:rStyle w:val="Hyperlink"/>
            <w:rFonts w:ascii="Times New Roman" w:hAnsi="Times New Roman" w:cs="Times New Roman"/>
            <w:color w:val="auto"/>
            <w:sz w:val="24"/>
            <w:szCs w:val="24"/>
            <w:u w:val="none"/>
          </w:rPr>
          <w:t>https://cora.ucc.ie/bitstream/handle/10468/8584/Duggan_et_al_%282019%29_PDF_%28002%29.pdf?sequence=1&amp;isAllowed=y</w:t>
        </w:r>
      </w:hyperlink>
    </w:p>
    <w:p w:rsidR="00EB43F9" w:rsidRPr="00EB43F9" w:rsidRDefault="00EB43F9" w:rsidP="00EB43F9">
      <w:pPr>
        <w:spacing w:after="0" w:line="480" w:lineRule="auto"/>
        <w:ind w:left="720" w:hanging="720"/>
        <w:rPr>
          <w:rFonts w:ascii="Times New Roman" w:hAnsi="Times New Roman" w:cs="Times New Roman"/>
          <w:sz w:val="24"/>
          <w:szCs w:val="24"/>
        </w:rPr>
      </w:pPr>
      <w:proofErr w:type="spellStart"/>
      <w:r w:rsidRPr="00EB43F9">
        <w:rPr>
          <w:rFonts w:ascii="Times New Roman" w:hAnsi="Times New Roman" w:cs="Times New Roman"/>
          <w:sz w:val="24"/>
          <w:szCs w:val="24"/>
        </w:rPr>
        <w:t>Andrias</w:t>
      </w:r>
      <w:proofErr w:type="spellEnd"/>
      <w:r w:rsidRPr="00EB43F9">
        <w:rPr>
          <w:rFonts w:ascii="Times New Roman" w:hAnsi="Times New Roman" w:cs="Times New Roman"/>
          <w:sz w:val="24"/>
          <w:szCs w:val="24"/>
        </w:rPr>
        <w:t>, K. (2018). An American Approach to Social Democracy: The Forgotten Promise of the Fair Labor Standards Act. </w:t>
      </w:r>
      <w:r w:rsidRPr="00EB43F9">
        <w:rPr>
          <w:rFonts w:ascii="Times New Roman" w:hAnsi="Times New Roman" w:cs="Times New Roman"/>
          <w:i/>
          <w:iCs/>
          <w:sz w:val="24"/>
          <w:szCs w:val="24"/>
        </w:rPr>
        <w:t>Yale LJ</w:t>
      </w:r>
      <w:r w:rsidRPr="00EB43F9">
        <w:rPr>
          <w:rFonts w:ascii="Times New Roman" w:hAnsi="Times New Roman" w:cs="Times New Roman"/>
          <w:sz w:val="24"/>
          <w:szCs w:val="24"/>
        </w:rPr>
        <w:t>, </w:t>
      </w:r>
      <w:r w:rsidRPr="00EB43F9">
        <w:rPr>
          <w:rFonts w:ascii="Times New Roman" w:hAnsi="Times New Roman" w:cs="Times New Roman"/>
          <w:i/>
          <w:iCs/>
          <w:sz w:val="24"/>
          <w:szCs w:val="24"/>
        </w:rPr>
        <w:t>128</w:t>
      </w:r>
      <w:r w:rsidRPr="00EB43F9">
        <w:rPr>
          <w:rFonts w:ascii="Times New Roman" w:hAnsi="Times New Roman" w:cs="Times New Roman"/>
          <w:sz w:val="24"/>
          <w:szCs w:val="24"/>
        </w:rPr>
        <w:t xml:space="preserve">, 616. </w:t>
      </w:r>
      <w:hyperlink r:id="rId9" w:history="1">
        <w:r w:rsidRPr="00EB43F9">
          <w:rPr>
            <w:rStyle w:val="Hyperlink"/>
            <w:rFonts w:ascii="Times New Roman" w:hAnsi="Times New Roman" w:cs="Times New Roman"/>
            <w:color w:val="auto"/>
            <w:sz w:val="24"/>
            <w:szCs w:val="24"/>
            <w:u w:val="none"/>
          </w:rPr>
          <w:t>https://openyls.law.yale.edu/bitstream/handle/20.500.13051/10362/Andrias_tfwmq5cj.pdf?sequence=2</w:t>
        </w:r>
      </w:hyperlink>
    </w:p>
    <w:p w:rsidR="00EB43F9" w:rsidRPr="00EB43F9" w:rsidRDefault="00EB43F9" w:rsidP="00EB43F9">
      <w:pPr>
        <w:spacing w:after="0" w:line="480" w:lineRule="auto"/>
        <w:ind w:left="720" w:hanging="720"/>
        <w:rPr>
          <w:rFonts w:ascii="Times New Roman" w:hAnsi="Times New Roman" w:cs="Times New Roman"/>
          <w:sz w:val="24"/>
          <w:szCs w:val="24"/>
        </w:rPr>
      </w:pPr>
      <w:r w:rsidRPr="00EB43F9">
        <w:rPr>
          <w:rFonts w:ascii="Times New Roman" w:hAnsi="Times New Roman" w:cs="Times New Roman"/>
          <w:sz w:val="24"/>
          <w:szCs w:val="24"/>
        </w:rPr>
        <w:t>Lester, G. V., Brock Baskin, M. E., &amp; Clinton, M. S. (2021). Employer-sponsored benefits in the United States: The past, present, and future. </w:t>
      </w:r>
      <w:r w:rsidRPr="00EB43F9">
        <w:rPr>
          <w:rFonts w:ascii="Times New Roman" w:hAnsi="Times New Roman" w:cs="Times New Roman"/>
          <w:i/>
          <w:iCs/>
          <w:sz w:val="24"/>
          <w:szCs w:val="24"/>
        </w:rPr>
        <w:t>Compensation &amp; Benefits Review</w:t>
      </w:r>
      <w:r w:rsidRPr="00EB43F9">
        <w:rPr>
          <w:rFonts w:ascii="Times New Roman" w:hAnsi="Times New Roman" w:cs="Times New Roman"/>
          <w:sz w:val="24"/>
          <w:szCs w:val="24"/>
        </w:rPr>
        <w:t>, </w:t>
      </w:r>
      <w:r w:rsidRPr="00EB43F9">
        <w:rPr>
          <w:rFonts w:ascii="Times New Roman" w:hAnsi="Times New Roman" w:cs="Times New Roman"/>
          <w:i/>
          <w:iCs/>
          <w:sz w:val="24"/>
          <w:szCs w:val="24"/>
        </w:rPr>
        <w:t>53</w:t>
      </w:r>
      <w:r w:rsidRPr="00EB43F9">
        <w:rPr>
          <w:rFonts w:ascii="Times New Roman" w:hAnsi="Times New Roman" w:cs="Times New Roman"/>
          <w:sz w:val="24"/>
          <w:szCs w:val="24"/>
        </w:rPr>
        <w:t xml:space="preserve">(1), 24-42. </w:t>
      </w:r>
      <w:hyperlink r:id="rId10" w:history="1">
        <w:r w:rsidRPr="00EB43F9">
          <w:rPr>
            <w:rStyle w:val="Hyperlink"/>
            <w:rFonts w:ascii="Times New Roman" w:hAnsi="Times New Roman" w:cs="Times New Roman"/>
            <w:color w:val="auto"/>
            <w:sz w:val="24"/>
            <w:szCs w:val="24"/>
            <w:u w:val="none"/>
          </w:rPr>
          <w:t>https://journals.sagepub.com/doi/pdf/10.1177/0886368720947609</w:t>
        </w:r>
      </w:hyperlink>
    </w:p>
    <w:p w:rsidR="00EB43F9" w:rsidRPr="00EB43F9" w:rsidRDefault="00EB43F9" w:rsidP="00EB43F9">
      <w:pPr>
        <w:spacing w:after="0" w:line="480" w:lineRule="auto"/>
        <w:rPr>
          <w:rFonts w:ascii="Times New Roman" w:hAnsi="Times New Roman" w:cs="Times New Roman"/>
          <w:sz w:val="24"/>
          <w:szCs w:val="24"/>
        </w:rPr>
      </w:pPr>
    </w:p>
    <w:p w:rsidR="00EB43F9" w:rsidRPr="00120CA4" w:rsidRDefault="00EB43F9" w:rsidP="00120CA4">
      <w:pPr>
        <w:spacing w:line="480" w:lineRule="auto"/>
      </w:pPr>
    </w:p>
    <w:sectPr w:rsidR="00EB43F9" w:rsidRPr="00120CA4" w:rsidSect="008404CD">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4E2" w:rsidRDefault="00C644E2" w:rsidP="008404CD">
      <w:pPr>
        <w:spacing w:after="0" w:line="240" w:lineRule="auto"/>
      </w:pPr>
      <w:r>
        <w:separator/>
      </w:r>
    </w:p>
  </w:endnote>
  <w:endnote w:type="continuationSeparator" w:id="0">
    <w:p w:rsidR="00C644E2" w:rsidRDefault="00C644E2" w:rsidP="008404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4E2" w:rsidRDefault="00C644E2" w:rsidP="008404CD">
      <w:pPr>
        <w:spacing w:after="0" w:line="240" w:lineRule="auto"/>
      </w:pPr>
      <w:r>
        <w:separator/>
      </w:r>
    </w:p>
  </w:footnote>
  <w:footnote w:type="continuationSeparator" w:id="0">
    <w:p w:rsidR="00C644E2" w:rsidRDefault="00C644E2" w:rsidP="008404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4CD" w:rsidRDefault="008404CD" w:rsidP="008404CD">
    <w:pPr>
      <w:pStyle w:val="Header"/>
      <w:tabs>
        <w:tab w:val="clear" w:pos="4680"/>
      </w:tabs>
    </w:pPr>
    <w:r>
      <w:rPr>
        <w:rFonts w:ascii="Times New Roman" w:hAnsi="Times New Roman" w:cs="Times New Roman"/>
        <w:bCs/>
        <w:color w:val="0E101A"/>
        <w:sz w:val="24"/>
        <w:szCs w:val="24"/>
      </w:rPr>
      <w:tab/>
    </w:r>
    <w:r w:rsidR="004B4059" w:rsidRPr="008404CD">
      <w:rPr>
        <w:rFonts w:ascii="Times New Roman" w:hAnsi="Times New Roman" w:cs="Times New Roman"/>
        <w:bCs/>
        <w:color w:val="0E101A"/>
        <w:sz w:val="24"/>
        <w:szCs w:val="24"/>
      </w:rPr>
      <w:fldChar w:fldCharType="begin"/>
    </w:r>
    <w:r w:rsidRPr="008404CD">
      <w:rPr>
        <w:rFonts w:ascii="Times New Roman" w:hAnsi="Times New Roman" w:cs="Times New Roman"/>
        <w:bCs/>
        <w:color w:val="0E101A"/>
        <w:sz w:val="24"/>
        <w:szCs w:val="24"/>
      </w:rPr>
      <w:instrText xml:space="preserve"> PAGE   \* MERGEFORMAT </w:instrText>
    </w:r>
    <w:r w:rsidR="004B4059" w:rsidRPr="008404CD">
      <w:rPr>
        <w:rFonts w:ascii="Times New Roman" w:hAnsi="Times New Roman" w:cs="Times New Roman"/>
        <w:bCs/>
        <w:color w:val="0E101A"/>
        <w:sz w:val="24"/>
        <w:szCs w:val="24"/>
      </w:rPr>
      <w:fldChar w:fldCharType="separate"/>
    </w:r>
    <w:r w:rsidR="00E7387B">
      <w:rPr>
        <w:rFonts w:ascii="Times New Roman" w:hAnsi="Times New Roman" w:cs="Times New Roman"/>
        <w:bCs/>
        <w:noProof/>
        <w:color w:val="0E101A"/>
        <w:sz w:val="24"/>
        <w:szCs w:val="24"/>
      </w:rPr>
      <w:t>3</w:t>
    </w:r>
    <w:r w:rsidR="004B4059" w:rsidRPr="008404CD">
      <w:rPr>
        <w:rFonts w:ascii="Times New Roman" w:hAnsi="Times New Roman" w:cs="Times New Roman"/>
        <w:bCs/>
        <w:noProof/>
        <w:color w:val="0E101A"/>
        <w:sz w:val="24"/>
        <w:szCs w:val="24"/>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4CD" w:rsidRPr="008404CD" w:rsidRDefault="008404CD" w:rsidP="008404CD">
    <w:pPr>
      <w:pStyle w:val="Header"/>
      <w:tabs>
        <w:tab w:val="clear" w:pos="4680"/>
      </w:tabs>
      <w:rPr>
        <w:rFonts w:ascii="Times New Roman" w:hAnsi="Times New Roman" w:cs="Times New Roman"/>
        <w:sz w:val="24"/>
        <w:szCs w:val="24"/>
      </w:rPr>
    </w:pPr>
    <w:r w:rsidRPr="008404CD">
      <w:rPr>
        <w:rFonts w:ascii="Times New Roman" w:hAnsi="Times New Roman" w:cs="Times New Roman"/>
        <w:bCs/>
        <w:color w:val="0E101A"/>
        <w:sz w:val="24"/>
        <w:szCs w:val="24"/>
      </w:rPr>
      <w:tab/>
      <w:t>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5D22B4"/>
    <w:rsid w:val="00120CA4"/>
    <w:rsid w:val="00174987"/>
    <w:rsid w:val="004B4059"/>
    <w:rsid w:val="005D22B4"/>
    <w:rsid w:val="007F2B20"/>
    <w:rsid w:val="008404CD"/>
    <w:rsid w:val="00882569"/>
    <w:rsid w:val="00C644E2"/>
    <w:rsid w:val="00CF482E"/>
    <w:rsid w:val="00E7387B"/>
    <w:rsid w:val="00EB43F9"/>
  </w:rsids>
  <m:mathPr>
    <m:mathFont m:val="Cambria Math"/>
    <m:brkBin m:val="before"/>
    <m:brkBinSub m:val="--"/>
    <m:smallFrac m:val="off"/>
    <m:dispDef/>
    <m:lMargin m:val="0"/>
    <m:rMargin m:val="0"/>
    <m:defJc m:val="centerGroup"/>
    <m:wrapIndent m:val="1440"/>
    <m:intLim m:val="subSup"/>
    <m:naryLim m:val="undOvr"/>
  </m:mathPr>
  <w:themeFontLang w:val="sw-K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0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20C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20CA4"/>
    <w:rPr>
      <w:b/>
      <w:bCs/>
    </w:rPr>
  </w:style>
  <w:style w:type="character" w:styleId="Hyperlink">
    <w:name w:val="Hyperlink"/>
    <w:basedOn w:val="DefaultParagraphFont"/>
    <w:uiPriority w:val="99"/>
    <w:unhideWhenUsed/>
    <w:rsid w:val="00EB43F9"/>
    <w:rPr>
      <w:color w:val="0000FF" w:themeColor="hyperlink"/>
      <w:u w:val="single"/>
    </w:rPr>
  </w:style>
  <w:style w:type="paragraph" w:styleId="Header">
    <w:name w:val="header"/>
    <w:basedOn w:val="Normal"/>
    <w:link w:val="HeaderChar"/>
    <w:uiPriority w:val="99"/>
    <w:unhideWhenUsed/>
    <w:rsid w:val="008404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4CD"/>
  </w:style>
  <w:style w:type="paragraph" w:styleId="Footer">
    <w:name w:val="footer"/>
    <w:basedOn w:val="Normal"/>
    <w:link w:val="FooterChar"/>
    <w:uiPriority w:val="99"/>
    <w:unhideWhenUsed/>
    <w:rsid w:val="008404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4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20C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20CA4"/>
    <w:rPr>
      <w:b/>
      <w:bCs/>
    </w:rPr>
  </w:style>
  <w:style w:type="character" w:styleId="Hyperlink">
    <w:name w:val="Hyperlink"/>
    <w:basedOn w:val="DefaultParagraphFont"/>
    <w:uiPriority w:val="99"/>
    <w:unhideWhenUsed/>
    <w:rsid w:val="00EB43F9"/>
    <w:rPr>
      <w:color w:val="0000FF" w:themeColor="hyperlink"/>
      <w:u w:val="single"/>
    </w:rPr>
  </w:style>
  <w:style w:type="paragraph" w:styleId="Header">
    <w:name w:val="header"/>
    <w:basedOn w:val="Normal"/>
    <w:link w:val="HeaderChar"/>
    <w:uiPriority w:val="99"/>
    <w:unhideWhenUsed/>
    <w:rsid w:val="008404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4CD"/>
  </w:style>
  <w:style w:type="paragraph" w:styleId="Footer">
    <w:name w:val="footer"/>
    <w:basedOn w:val="Normal"/>
    <w:link w:val="FooterChar"/>
    <w:uiPriority w:val="99"/>
    <w:unhideWhenUsed/>
    <w:rsid w:val="008404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4CD"/>
  </w:style>
</w:styles>
</file>

<file path=word/webSettings.xml><?xml version="1.0" encoding="utf-8"?>
<w:webSettings xmlns:r="http://schemas.openxmlformats.org/officeDocument/2006/relationships" xmlns:w="http://schemas.openxmlformats.org/wordprocessingml/2006/main">
  <w:divs>
    <w:div w:id="1015811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ra.ucc.ie/bitstream/handle/10468/8584/Duggan_et_al_%282019%29_PDF_%28002%29.pdf?sequence=1&amp;isAllowed=y"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nber.org/system/files/working_papers/w24872/w24872.pdf"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ccessengineeringlibrary.com/binary/mheaeworks/0f1cc17aebc50ec1/42f4cc6f373d7301e6bfe83c719a4d084a2cac948d4820c1b575c8107d64fc42/book-summary.pdf" TargetMode="External"/><Relationship Id="rId11" Type="http://schemas.openxmlformats.org/officeDocument/2006/relationships/header" Target="header1.xml"/><Relationship Id="rId5" Type="http://schemas.openxmlformats.org/officeDocument/2006/relationships/endnotes" Target="endnotes.xml"/><Relationship Id="rId15" Type="http://schemas.microsoft.com/office/2007/relationships/stylesWithEffects" Target="stylesWithEffects.xml"/><Relationship Id="rId10" Type="http://schemas.openxmlformats.org/officeDocument/2006/relationships/hyperlink" Target="https://journals.sagepub.com/doi/pdf/10.1177/0886368720947609" TargetMode="External"/><Relationship Id="rId4" Type="http://schemas.openxmlformats.org/officeDocument/2006/relationships/footnotes" Target="footnotes.xml"/><Relationship Id="rId9" Type="http://schemas.openxmlformats.org/officeDocument/2006/relationships/hyperlink" Target="https://openyls.law.yale.edu/bitstream/handle/20.500.13051/10362/Andrias_tfwmq5cj.pdf?sequence=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3619</Words>
  <Characters>2063</Characters>
  <Application>Microsoft Office Word</Application>
  <DocSecurity>0</DocSecurity>
  <Lines>17</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Mathaga</cp:lastModifiedBy>
  <cp:revision>2</cp:revision>
  <dcterms:created xsi:type="dcterms:W3CDTF">2022-04-24T20:17:00Z</dcterms:created>
  <dcterms:modified xsi:type="dcterms:W3CDTF">2022-04-24T20:17:00Z</dcterms:modified>
</cp:coreProperties>
</file>