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0B" w:rsidRPr="003A169A" w:rsidRDefault="003D7BAB" w:rsidP="003A169A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69A">
        <w:rPr>
          <w:rFonts w:ascii="Times New Roman" w:hAnsi="Times New Roman" w:cs="Times New Roman"/>
          <w:b/>
          <w:sz w:val="24"/>
          <w:szCs w:val="24"/>
        </w:rPr>
        <w:t>Sickle-cell anemia outline</w:t>
      </w:r>
    </w:p>
    <w:p w:rsidR="003D7BAB" w:rsidRPr="003A169A" w:rsidRDefault="003D7BAB" w:rsidP="003A169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69A">
        <w:rPr>
          <w:rFonts w:ascii="Times New Roman" w:hAnsi="Times New Roman" w:cs="Times New Roman"/>
          <w:sz w:val="24"/>
          <w:szCs w:val="24"/>
        </w:rPr>
        <w:t>Genetic disorder: Sickle-cell anemia</w:t>
      </w:r>
    </w:p>
    <w:p w:rsidR="003D7BAB" w:rsidRPr="003A169A" w:rsidRDefault="003D7BAB" w:rsidP="003A169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16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History</w:t>
      </w:r>
      <w:r w:rsidRPr="003A16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causes of the syndrome</w:t>
      </w:r>
    </w:p>
    <w:p w:rsidR="003D7BAB" w:rsidRPr="003A169A" w:rsidRDefault="003D7BAB" w:rsidP="003A169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16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Diagnosis of sickle-cell disorder</w:t>
      </w:r>
    </w:p>
    <w:p w:rsidR="003D7BAB" w:rsidRPr="003A169A" w:rsidRDefault="003D7BAB" w:rsidP="003A169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16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Biological characteristics and symptoms</w:t>
      </w:r>
    </w:p>
    <w:p w:rsidR="003D7BAB" w:rsidRPr="003A169A" w:rsidRDefault="003D7BAB" w:rsidP="003A169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16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Prognosis of the disease</w:t>
      </w:r>
    </w:p>
    <w:p w:rsidR="003D7BAB" w:rsidRPr="003A169A" w:rsidRDefault="003D7BAB" w:rsidP="003A16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7BAB" w:rsidRPr="003A1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40F8"/>
    <w:multiLevelType w:val="hybridMultilevel"/>
    <w:tmpl w:val="53F4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AB"/>
    <w:rsid w:val="003A169A"/>
    <w:rsid w:val="003D7BAB"/>
    <w:rsid w:val="0042559C"/>
    <w:rsid w:val="0061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 I5</dc:creator>
  <cp:lastModifiedBy>CORE I5</cp:lastModifiedBy>
  <cp:revision>2</cp:revision>
  <dcterms:created xsi:type="dcterms:W3CDTF">2021-05-08T10:50:00Z</dcterms:created>
  <dcterms:modified xsi:type="dcterms:W3CDTF">2021-05-08T10:52:00Z</dcterms:modified>
</cp:coreProperties>
</file>