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0A92B" w14:textId="77777777" w:rsidR="00B868ED" w:rsidRPr="00B868ED" w:rsidRDefault="00B868ED" w:rsidP="00B868ED">
      <w:pPr>
        <w:rPr>
          <w:rFonts w:ascii="Times New Roman" w:hAnsi="Times New Roman" w:cs="Times New Roman"/>
          <w:sz w:val="24"/>
          <w:szCs w:val="24"/>
        </w:rPr>
      </w:pPr>
    </w:p>
    <w:p w14:paraId="19D6ADD7" w14:textId="77777777" w:rsidR="00B868ED" w:rsidRPr="00B868ED" w:rsidRDefault="00B868ED" w:rsidP="00B868ED">
      <w:pPr>
        <w:rPr>
          <w:rFonts w:ascii="Times New Roman" w:hAnsi="Times New Roman" w:cs="Times New Roman"/>
          <w:sz w:val="24"/>
          <w:szCs w:val="24"/>
        </w:rPr>
      </w:pPr>
    </w:p>
    <w:p w14:paraId="5BD7D510" w14:textId="77777777" w:rsidR="00B868ED" w:rsidRPr="00B868ED" w:rsidRDefault="00B868ED" w:rsidP="00B868ED">
      <w:pPr>
        <w:rPr>
          <w:rFonts w:ascii="Times New Roman" w:hAnsi="Times New Roman" w:cs="Times New Roman"/>
          <w:sz w:val="24"/>
          <w:szCs w:val="24"/>
        </w:rPr>
      </w:pPr>
    </w:p>
    <w:p w14:paraId="0215BD5A" w14:textId="77777777" w:rsidR="00B868ED" w:rsidRPr="00B868ED" w:rsidRDefault="00B868ED" w:rsidP="00B868ED">
      <w:pPr>
        <w:rPr>
          <w:rFonts w:ascii="Times New Roman" w:hAnsi="Times New Roman" w:cs="Times New Roman"/>
          <w:sz w:val="24"/>
          <w:szCs w:val="24"/>
        </w:rPr>
      </w:pPr>
    </w:p>
    <w:p w14:paraId="170DE6D0" w14:textId="77777777" w:rsidR="00B868ED" w:rsidRPr="00B868ED" w:rsidRDefault="00B868ED" w:rsidP="00B868ED">
      <w:pPr>
        <w:rPr>
          <w:rFonts w:ascii="Times New Roman" w:hAnsi="Times New Roman" w:cs="Times New Roman"/>
          <w:sz w:val="24"/>
          <w:szCs w:val="24"/>
        </w:rPr>
      </w:pPr>
    </w:p>
    <w:p w14:paraId="0B5C6720" w14:textId="77777777" w:rsidR="00B868ED" w:rsidRPr="00B868ED" w:rsidRDefault="00B868ED" w:rsidP="00B868ED">
      <w:pPr>
        <w:rPr>
          <w:rFonts w:ascii="Times New Roman" w:hAnsi="Times New Roman" w:cs="Times New Roman"/>
          <w:sz w:val="24"/>
          <w:szCs w:val="24"/>
        </w:rPr>
      </w:pPr>
    </w:p>
    <w:p w14:paraId="72ECEB86" w14:textId="77777777" w:rsidR="00B868ED" w:rsidRPr="00B868ED" w:rsidRDefault="00B868ED" w:rsidP="00B868ED">
      <w:pPr>
        <w:rPr>
          <w:rFonts w:ascii="Times New Roman" w:hAnsi="Times New Roman" w:cs="Times New Roman"/>
          <w:sz w:val="24"/>
          <w:szCs w:val="24"/>
        </w:rPr>
      </w:pPr>
    </w:p>
    <w:p w14:paraId="061456AA" w14:textId="77777777" w:rsidR="00B868ED" w:rsidRPr="00B868ED" w:rsidRDefault="00B868ED" w:rsidP="00B868ED">
      <w:pPr>
        <w:rPr>
          <w:rFonts w:ascii="Times New Roman" w:hAnsi="Times New Roman" w:cs="Times New Roman"/>
          <w:sz w:val="24"/>
          <w:szCs w:val="24"/>
        </w:rPr>
      </w:pPr>
    </w:p>
    <w:p w14:paraId="554D6949" w14:textId="77777777" w:rsidR="00B868ED" w:rsidRPr="00B868ED" w:rsidRDefault="00B868ED" w:rsidP="00B868ED">
      <w:pPr>
        <w:rPr>
          <w:rFonts w:ascii="Times New Roman" w:hAnsi="Times New Roman" w:cs="Times New Roman"/>
          <w:sz w:val="24"/>
          <w:szCs w:val="24"/>
        </w:rPr>
      </w:pPr>
    </w:p>
    <w:p w14:paraId="15CCF1D6" w14:textId="77777777" w:rsidR="00B868ED" w:rsidRPr="00B868ED" w:rsidRDefault="00B868ED" w:rsidP="00B868ED">
      <w:pPr>
        <w:rPr>
          <w:rFonts w:ascii="Times New Roman" w:hAnsi="Times New Roman" w:cs="Times New Roman"/>
          <w:sz w:val="24"/>
          <w:szCs w:val="24"/>
        </w:rPr>
      </w:pPr>
    </w:p>
    <w:p w14:paraId="726649D3" w14:textId="77777777" w:rsidR="00B868ED" w:rsidRPr="00B868ED" w:rsidRDefault="00B868ED" w:rsidP="00B868ED">
      <w:pPr>
        <w:rPr>
          <w:rFonts w:ascii="Times New Roman" w:hAnsi="Times New Roman" w:cs="Times New Roman"/>
          <w:sz w:val="24"/>
          <w:szCs w:val="24"/>
        </w:rPr>
      </w:pPr>
    </w:p>
    <w:p w14:paraId="592B0E80" w14:textId="77777777" w:rsidR="00B868ED" w:rsidRPr="00B868ED" w:rsidRDefault="00B868ED" w:rsidP="00B868ED">
      <w:pPr>
        <w:spacing w:line="480" w:lineRule="auto"/>
        <w:jc w:val="center"/>
        <w:rPr>
          <w:rFonts w:ascii="Times New Roman" w:hAnsi="Times New Roman" w:cs="Times New Roman"/>
          <w:sz w:val="24"/>
          <w:szCs w:val="24"/>
        </w:rPr>
      </w:pPr>
      <w:r w:rsidRPr="00B868ED">
        <w:rPr>
          <w:rFonts w:ascii="Times New Roman" w:hAnsi="Times New Roman" w:cs="Times New Roman"/>
          <w:sz w:val="24"/>
          <w:szCs w:val="24"/>
        </w:rPr>
        <w:t>REFLECTION</w:t>
      </w:r>
    </w:p>
    <w:p w14:paraId="52860A85" w14:textId="77777777" w:rsidR="005E1290" w:rsidRPr="005E1290" w:rsidRDefault="005E1290" w:rsidP="005E1290">
      <w:pPr>
        <w:jc w:val="center"/>
        <w:rPr>
          <w:rFonts w:ascii="Times New Roman" w:hAnsi="Times New Roman" w:cs="Times New Roman"/>
          <w:sz w:val="24"/>
          <w:szCs w:val="24"/>
        </w:rPr>
      </w:pPr>
      <w:r w:rsidRPr="005E1290">
        <w:rPr>
          <w:rFonts w:ascii="Times New Roman" w:hAnsi="Times New Roman" w:cs="Times New Roman"/>
          <w:sz w:val="24"/>
          <w:szCs w:val="24"/>
        </w:rPr>
        <w:t>Love luma</w:t>
      </w:r>
    </w:p>
    <w:p w14:paraId="7B4E7371" w14:textId="77777777" w:rsidR="005E1290" w:rsidRPr="005E1290" w:rsidRDefault="005E1290" w:rsidP="005E1290">
      <w:pPr>
        <w:jc w:val="center"/>
        <w:rPr>
          <w:rFonts w:ascii="Times New Roman" w:hAnsi="Times New Roman" w:cs="Times New Roman"/>
          <w:sz w:val="24"/>
          <w:szCs w:val="24"/>
        </w:rPr>
      </w:pPr>
    </w:p>
    <w:p w14:paraId="0BAFC22C" w14:textId="77777777" w:rsidR="005E1290" w:rsidRPr="005E1290" w:rsidRDefault="005E1290" w:rsidP="005E1290">
      <w:pPr>
        <w:jc w:val="center"/>
        <w:rPr>
          <w:rFonts w:ascii="Times New Roman" w:hAnsi="Times New Roman" w:cs="Times New Roman"/>
          <w:sz w:val="24"/>
          <w:szCs w:val="24"/>
        </w:rPr>
      </w:pPr>
      <w:r w:rsidRPr="005E1290">
        <w:rPr>
          <w:rFonts w:ascii="Times New Roman" w:hAnsi="Times New Roman" w:cs="Times New Roman"/>
          <w:sz w:val="24"/>
          <w:szCs w:val="24"/>
        </w:rPr>
        <w:t>American College of Education</w:t>
      </w:r>
    </w:p>
    <w:p w14:paraId="70B8B8DF" w14:textId="77777777" w:rsidR="005E1290" w:rsidRPr="005E1290" w:rsidRDefault="005E1290" w:rsidP="005E1290">
      <w:pPr>
        <w:jc w:val="center"/>
        <w:rPr>
          <w:rFonts w:ascii="Times New Roman" w:hAnsi="Times New Roman" w:cs="Times New Roman"/>
          <w:sz w:val="24"/>
          <w:szCs w:val="24"/>
        </w:rPr>
      </w:pPr>
      <w:r w:rsidRPr="005E1290">
        <w:rPr>
          <w:rFonts w:ascii="Times New Roman" w:hAnsi="Times New Roman" w:cs="Times New Roman"/>
          <w:sz w:val="24"/>
          <w:szCs w:val="24"/>
        </w:rPr>
        <w:t>CI5033 – Creating Safe and Supportive Classroom</w:t>
      </w:r>
    </w:p>
    <w:p w14:paraId="79992743" w14:textId="77777777" w:rsidR="005E1290" w:rsidRPr="005E1290" w:rsidRDefault="005E1290" w:rsidP="005E1290">
      <w:pPr>
        <w:jc w:val="center"/>
        <w:rPr>
          <w:rFonts w:ascii="Times New Roman" w:hAnsi="Times New Roman" w:cs="Times New Roman"/>
          <w:sz w:val="24"/>
          <w:szCs w:val="24"/>
        </w:rPr>
      </w:pPr>
    </w:p>
    <w:p w14:paraId="0384370B" w14:textId="491FABCA" w:rsidR="005E1290" w:rsidRPr="005E1290" w:rsidRDefault="005E1290" w:rsidP="005E1290">
      <w:pPr>
        <w:jc w:val="center"/>
        <w:rPr>
          <w:rFonts w:ascii="Times New Roman" w:hAnsi="Times New Roman" w:cs="Times New Roman"/>
          <w:sz w:val="24"/>
          <w:szCs w:val="24"/>
        </w:rPr>
      </w:pPr>
      <w:r w:rsidRPr="005E1290">
        <w:rPr>
          <w:rFonts w:ascii="Times New Roman" w:hAnsi="Times New Roman" w:cs="Times New Roman"/>
          <w:sz w:val="24"/>
          <w:szCs w:val="24"/>
        </w:rPr>
        <w:t>Dr</w:t>
      </w:r>
      <w:r w:rsidR="0008194F">
        <w:rPr>
          <w:rFonts w:ascii="Times New Roman" w:hAnsi="Times New Roman" w:cs="Times New Roman"/>
          <w:sz w:val="24"/>
          <w:szCs w:val="24"/>
        </w:rPr>
        <w:t>.</w:t>
      </w:r>
      <w:r w:rsidRPr="005E1290">
        <w:rPr>
          <w:rFonts w:ascii="Times New Roman" w:hAnsi="Times New Roman" w:cs="Times New Roman"/>
          <w:sz w:val="24"/>
          <w:szCs w:val="24"/>
        </w:rPr>
        <w:t xml:space="preserve"> D</w:t>
      </w:r>
    </w:p>
    <w:p w14:paraId="024064A9" w14:textId="77777777" w:rsidR="005E1290" w:rsidRPr="005E1290" w:rsidRDefault="005E1290" w:rsidP="005E1290">
      <w:pPr>
        <w:jc w:val="center"/>
        <w:rPr>
          <w:rFonts w:ascii="Times New Roman" w:hAnsi="Times New Roman" w:cs="Times New Roman"/>
          <w:sz w:val="24"/>
          <w:szCs w:val="24"/>
        </w:rPr>
      </w:pPr>
    </w:p>
    <w:p w14:paraId="5E628DCE" w14:textId="3936E3C1" w:rsidR="00B868ED" w:rsidRDefault="005E1290" w:rsidP="005E1290">
      <w:pPr>
        <w:jc w:val="center"/>
        <w:rPr>
          <w:rFonts w:ascii="Times New Roman" w:hAnsi="Times New Roman" w:cs="Times New Roman"/>
          <w:sz w:val="24"/>
          <w:szCs w:val="24"/>
        </w:rPr>
      </w:pPr>
      <w:r>
        <w:rPr>
          <w:rFonts w:ascii="Times New Roman" w:hAnsi="Times New Roman" w:cs="Times New Roman"/>
          <w:sz w:val="24"/>
          <w:szCs w:val="24"/>
        </w:rPr>
        <w:t>May 7</w:t>
      </w:r>
      <w:r w:rsidRPr="005E1290">
        <w:rPr>
          <w:rFonts w:ascii="Times New Roman" w:hAnsi="Times New Roman" w:cs="Times New Roman"/>
          <w:sz w:val="24"/>
          <w:szCs w:val="24"/>
          <w:vertAlign w:val="superscript"/>
        </w:rPr>
        <w:t>th</w:t>
      </w:r>
      <w:r>
        <w:rPr>
          <w:rFonts w:ascii="Times New Roman" w:hAnsi="Times New Roman" w:cs="Times New Roman"/>
          <w:sz w:val="24"/>
          <w:szCs w:val="24"/>
        </w:rPr>
        <w:t>, 2021</w:t>
      </w:r>
    </w:p>
    <w:p w14:paraId="05E70D07" w14:textId="77777777" w:rsidR="00B868ED" w:rsidRDefault="00B868ED" w:rsidP="00B868ED">
      <w:pPr>
        <w:rPr>
          <w:rFonts w:ascii="Times New Roman" w:hAnsi="Times New Roman" w:cs="Times New Roman"/>
          <w:sz w:val="24"/>
          <w:szCs w:val="24"/>
        </w:rPr>
      </w:pPr>
    </w:p>
    <w:p w14:paraId="0BEB7C52" w14:textId="77777777" w:rsidR="00B868ED" w:rsidRDefault="00B868ED" w:rsidP="00B868ED">
      <w:pPr>
        <w:rPr>
          <w:rFonts w:ascii="Times New Roman" w:hAnsi="Times New Roman" w:cs="Times New Roman"/>
          <w:sz w:val="24"/>
          <w:szCs w:val="24"/>
        </w:rPr>
      </w:pPr>
    </w:p>
    <w:p w14:paraId="640D00CC" w14:textId="77777777" w:rsidR="00B868ED" w:rsidRDefault="00B868ED" w:rsidP="00B868ED">
      <w:pPr>
        <w:rPr>
          <w:rFonts w:ascii="Times New Roman" w:hAnsi="Times New Roman" w:cs="Times New Roman"/>
          <w:sz w:val="24"/>
          <w:szCs w:val="24"/>
        </w:rPr>
      </w:pPr>
    </w:p>
    <w:p w14:paraId="61E475FD" w14:textId="77777777" w:rsidR="00B868ED" w:rsidRDefault="00B868ED" w:rsidP="00B868ED">
      <w:pPr>
        <w:rPr>
          <w:rFonts w:ascii="Times New Roman" w:hAnsi="Times New Roman" w:cs="Times New Roman"/>
          <w:sz w:val="24"/>
          <w:szCs w:val="24"/>
        </w:rPr>
      </w:pPr>
    </w:p>
    <w:p w14:paraId="148F499F" w14:textId="77777777" w:rsidR="00B868ED" w:rsidRDefault="00B868ED" w:rsidP="00B868ED">
      <w:pPr>
        <w:rPr>
          <w:rFonts w:ascii="Times New Roman" w:hAnsi="Times New Roman" w:cs="Times New Roman"/>
          <w:sz w:val="24"/>
          <w:szCs w:val="24"/>
        </w:rPr>
      </w:pPr>
    </w:p>
    <w:p w14:paraId="58082304" w14:textId="77777777" w:rsidR="00B868ED" w:rsidRDefault="00B868ED" w:rsidP="00B868ED">
      <w:pPr>
        <w:rPr>
          <w:rFonts w:ascii="Times New Roman" w:hAnsi="Times New Roman" w:cs="Times New Roman"/>
          <w:sz w:val="24"/>
          <w:szCs w:val="24"/>
        </w:rPr>
      </w:pPr>
    </w:p>
    <w:p w14:paraId="4B342A84" w14:textId="77777777" w:rsidR="00B868ED" w:rsidRDefault="00B868ED" w:rsidP="00B868ED">
      <w:pPr>
        <w:rPr>
          <w:rFonts w:ascii="Times New Roman" w:hAnsi="Times New Roman" w:cs="Times New Roman"/>
          <w:sz w:val="24"/>
          <w:szCs w:val="24"/>
        </w:rPr>
      </w:pPr>
    </w:p>
    <w:p w14:paraId="0DB1890A" w14:textId="77777777" w:rsidR="00B868ED" w:rsidRPr="00B868ED" w:rsidRDefault="00B868ED" w:rsidP="0079324A">
      <w:pPr>
        <w:spacing w:after="0"/>
        <w:rPr>
          <w:rFonts w:ascii="Times New Roman" w:hAnsi="Times New Roman" w:cs="Times New Roman"/>
          <w:b/>
          <w:sz w:val="24"/>
          <w:szCs w:val="24"/>
        </w:rPr>
      </w:pPr>
      <w:r w:rsidRPr="00B868ED">
        <w:rPr>
          <w:rFonts w:ascii="Times New Roman" w:hAnsi="Times New Roman" w:cs="Times New Roman"/>
          <w:b/>
          <w:sz w:val="24"/>
          <w:szCs w:val="24"/>
        </w:rPr>
        <w:lastRenderedPageBreak/>
        <w:t>Reflection</w:t>
      </w:r>
    </w:p>
    <w:p w14:paraId="6EE2F94E" w14:textId="77777777" w:rsidR="00B868ED" w:rsidRPr="00B868ED" w:rsidRDefault="00B868ED" w:rsidP="0079324A">
      <w:pPr>
        <w:spacing w:after="0" w:line="480" w:lineRule="auto"/>
        <w:ind w:firstLine="720"/>
        <w:rPr>
          <w:rFonts w:ascii="Times New Roman" w:hAnsi="Times New Roman" w:cs="Times New Roman"/>
          <w:sz w:val="24"/>
          <w:szCs w:val="24"/>
        </w:rPr>
      </w:pPr>
      <w:r w:rsidRPr="00B868ED">
        <w:rPr>
          <w:rFonts w:ascii="Times New Roman" w:hAnsi="Times New Roman" w:cs="Times New Roman"/>
          <w:sz w:val="24"/>
          <w:szCs w:val="24"/>
        </w:rPr>
        <w:t>Prince George's county is the third county with the most significant school absenteeism rates in America. In the 2019-2020 academic year, the county recorded 35% chronically absent students, and a further 52% of the county's students had missed more than two weeks of school within the academic year (</w:t>
      </w:r>
      <w:proofErr w:type="spellStart"/>
      <w:r w:rsidRPr="00B868ED">
        <w:rPr>
          <w:rFonts w:ascii="Times New Roman" w:hAnsi="Times New Roman" w:cs="Times New Roman"/>
          <w:sz w:val="24"/>
          <w:szCs w:val="24"/>
        </w:rPr>
        <w:t>Conry</w:t>
      </w:r>
      <w:proofErr w:type="spellEnd"/>
      <w:r w:rsidRPr="00B868ED">
        <w:rPr>
          <w:rFonts w:ascii="Times New Roman" w:hAnsi="Times New Roman" w:cs="Times New Roman"/>
          <w:sz w:val="24"/>
          <w:szCs w:val="24"/>
        </w:rPr>
        <w:t xml:space="preserve"> &amp; Richards, 2018). With data from 2010-2019 showing an average of 40% of students were chronically absent, it has become essential to determine the level of absenteeism in the county and mitigate it (Bowie, 2019). In my research project, I investigated how the variables of performance, student engagement, and truancy contributed to the high student absence. Numerous studies have linked high absenteeism to student disengagement, criminal activities, and poor performance (Bowie, 2019; </w:t>
      </w:r>
      <w:proofErr w:type="spellStart"/>
      <w:r w:rsidRPr="00B868ED">
        <w:rPr>
          <w:rFonts w:ascii="Times New Roman" w:hAnsi="Times New Roman" w:cs="Times New Roman"/>
          <w:sz w:val="24"/>
          <w:szCs w:val="24"/>
        </w:rPr>
        <w:t>Conry</w:t>
      </w:r>
      <w:proofErr w:type="spellEnd"/>
      <w:r w:rsidRPr="00B868ED">
        <w:rPr>
          <w:rFonts w:ascii="Times New Roman" w:hAnsi="Times New Roman" w:cs="Times New Roman"/>
          <w:sz w:val="24"/>
          <w:szCs w:val="24"/>
        </w:rPr>
        <w:t xml:space="preserve"> &amp; Richards, 2018 &amp; </w:t>
      </w:r>
      <w:proofErr w:type="spellStart"/>
      <w:r w:rsidRPr="00B868ED">
        <w:rPr>
          <w:rFonts w:ascii="Times New Roman" w:hAnsi="Times New Roman" w:cs="Times New Roman"/>
          <w:sz w:val="24"/>
          <w:szCs w:val="24"/>
        </w:rPr>
        <w:t>Kweon</w:t>
      </w:r>
      <w:proofErr w:type="spellEnd"/>
      <w:r w:rsidRPr="00B868ED">
        <w:rPr>
          <w:rFonts w:ascii="Times New Roman" w:hAnsi="Times New Roman" w:cs="Times New Roman"/>
          <w:sz w:val="24"/>
          <w:szCs w:val="24"/>
        </w:rPr>
        <w:t xml:space="preserve">, Ellis, Lee &amp; Jacobs, 2017).  </w:t>
      </w:r>
    </w:p>
    <w:p w14:paraId="148319C7" w14:textId="77777777" w:rsidR="00B868ED" w:rsidRPr="00B868ED" w:rsidRDefault="00B868ED" w:rsidP="0079324A">
      <w:pPr>
        <w:spacing w:after="0" w:line="480" w:lineRule="auto"/>
        <w:ind w:firstLine="720"/>
        <w:rPr>
          <w:rFonts w:ascii="Times New Roman" w:hAnsi="Times New Roman" w:cs="Times New Roman"/>
          <w:sz w:val="24"/>
          <w:szCs w:val="24"/>
        </w:rPr>
      </w:pPr>
      <w:r w:rsidRPr="00B868ED">
        <w:rPr>
          <w:rFonts w:ascii="Times New Roman" w:hAnsi="Times New Roman" w:cs="Times New Roman"/>
          <w:sz w:val="24"/>
          <w:szCs w:val="24"/>
        </w:rPr>
        <w:t>In the study, I used a descriptive methodology to collect data from 90 school-going students from Prince George's tertiary and elementary schools. The participants were aged between 10 and 26 years of age and had to school within the county. The participants and schools included in the study were randomly selected to eliminate bias and increase the integrity of its results. The dependent variable for the study was absenteeism, while the independent variables were engagement, truancy, and performance. Using the method, I only collected qualitative data for all four variables (</w:t>
      </w:r>
      <w:proofErr w:type="spellStart"/>
      <w:r w:rsidRPr="00B868ED">
        <w:rPr>
          <w:rFonts w:ascii="Times New Roman" w:hAnsi="Times New Roman" w:cs="Times New Roman"/>
          <w:sz w:val="24"/>
          <w:szCs w:val="24"/>
        </w:rPr>
        <w:t>Kweon</w:t>
      </w:r>
      <w:proofErr w:type="spellEnd"/>
      <w:r w:rsidRPr="00B868ED">
        <w:rPr>
          <w:rFonts w:ascii="Times New Roman" w:hAnsi="Times New Roman" w:cs="Times New Roman"/>
          <w:sz w:val="24"/>
          <w:szCs w:val="24"/>
        </w:rPr>
        <w:t xml:space="preserve">, Ellis, Lee, &amp; Jacobs, 2017). Performance and absenteeism data was collected directly from the school, while truancy data were obtained from local police records. Participants filled a closed-ended questionnaire to measure the level of student engagement. </w:t>
      </w:r>
    </w:p>
    <w:p w14:paraId="2AF1A455" w14:textId="77777777" w:rsidR="0005286D" w:rsidRDefault="0005286D" w:rsidP="0079324A">
      <w:pPr>
        <w:spacing w:after="0"/>
        <w:rPr>
          <w:rFonts w:ascii="Times New Roman" w:hAnsi="Times New Roman" w:cs="Times New Roman"/>
          <w:sz w:val="24"/>
          <w:szCs w:val="24"/>
        </w:rPr>
      </w:pPr>
      <w:r>
        <w:rPr>
          <w:rFonts w:ascii="Times New Roman" w:hAnsi="Times New Roman" w:cs="Times New Roman"/>
          <w:sz w:val="24"/>
          <w:szCs w:val="24"/>
        </w:rPr>
        <w:br w:type="page"/>
      </w:r>
    </w:p>
    <w:p w14:paraId="718E6B3D" w14:textId="062DED34" w:rsidR="00B868ED" w:rsidRPr="00B868ED" w:rsidRDefault="00B868ED" w:rsidP="0079324A">
      <w:pPr>
        <w:spacing w:after="0" w:line="480" w:lineRule="auto"/>
        <w:jc w:val="center"/>
        <w:rPr>
          <w:rFonts w:ascii="Times New Roman" w:hAnsi="Times New Roman" w:cs="Times New Roman"/>
          <w:sz w:val="24"/>
          <w:szCs w:val="24"/>
        </w:rPr>
      </w:pPr>
      <w:r w:rsidRPr="00B868ED">
        <w:rPr>
          <w:rFonts w:ascii="Times New Roman" w:hAnsi="Times New Roman" w:cs="Times New Roman"/>
          <w:sz w:val="24"/>
          <w:szCs w:val="24"/>
        </w:rPr>
        <w:lastRenderedPageBreak/>
        <w:t>References</w:t>
      </w:r>
    </w:p>
    <w:p w14:paraId="7FB505D5" w14:textId="77777777" w:rsidR="00B868ED" w:rsidRPr="005E1290" w:rsidRDefault="00B868ED" w:rsidP="0079324A">
      <w:pPr>
        <w:spacing w:after="0" w:line="480" w:lineRule="auto"/>
        <w:ind w:left="720" w:hanging="720"/>
        <w:rPr>
          <w:rFonts w:ascii="Times New Roman" w:hAnsi="Times New Roman" w:cs="Times New Roman"/>
          <w:sz w:val="24"/>
          <w:szCs w:val="24"/>
        </w:rPr>
      </w:pPr>
      <w:r w:rsidRPr="005E1290">
        <w:rPr>
          <w:rFonts w:ascii="Times New Roman" w:hAnsi="Times New Roman" w:cs="Times New Roman"/>
          <w:sz w:val="24"/>
          <w:szCs w:val="24"/>
        </w:rPr>
        <w:t xml:space="preserve">Bowie, L. (2019). Maryland's rate of chronic student absence isn't as alarming as first reported. The Baltimore Sun. Retrieved from: </w:t>
      </w:r>
      <w:hyperlink r:id="rId6" w:history="1">
        <w:r w:rsidRPr="005E1290">
          <w:rPr>
            <w:rStyle w:val="Hyperlink"/>
            <w:rFonts w:ascii="Times New Roman" w:hAnsi="Times New Roman" w:cs="Times New Roman"/>
            <w:color w:val="auto"/>
            <w:sz w:val="24"/>
            <w:szCs w:val="24"/>
            <w:u w:val="none"/>
          </w:rPr>
          <w:t>https://www.baltimoresun.com/education/bs-md-chronic-absentee-rate-change-20190110-story.html</w:t>
        </w:r>
      </w:hyperlink>
    </w:p>
    <w:p w14:paraId="5EADB430" w14:textId="77777777" w:rsidR="00B868ED" w:rsidRPr="005E1290" w:rsidRDefault="00B868ED" w:rsidP="0079324A">
      <w:pPr>
        <w:spacing w:after="0" w:line="480" w:lineRule="auto"/>
        <w:ind w:left="720" w:hanging="720"/>
        <w:rPr>
          <w:rFonts w:ascii="Times New Roman" w:hAnsi="Times New Roman" w:cs="Times New Roman"/>
          <w:sz w:val="24"/>
          <w:szCs w:val="24"/>
        </w:rPr>
      </w:pPr>
      <w:proofErr w:type="spellStart"/>
      <w:r w:rsidRPr="005E1290">
        <w:rPr>
          <w:rFonts w:ascii="Times New Roman" w:hAnsi="Times New Roman" w:cs="Times New Roman"/>
          <w:sz w:val="24"/>
          <w:szCs w:val="24"/>
        </w:rPr>
        <w:t>Conry</w:t>
      </w:r>
      <w:proofErr w:type="spellEnd"/>
      <w:r w:rsidRPr="005E1290">
        <w:rPr>
          <w:rFonts w:ascii="Times New Roman" w:hAnsi="Times New Roman" w:cs="Times New Roman"/>
          <w:sz w:val="24"/>
          <w:szCs w:val="24"/>
        </w:rPr>
        <w:t>, J. M., &amp; Richards, M. P. (2018). The severity of state truancy policies and chronic absenteeism. Journal of Education for Students Placed at Risk (JESPER), 23(1-2), 187-203.</w:t>
      </w:r>
    </w:p>
    <w:p w14:paraId="48E6805C" w14:textId="77777777" w:rsidR="00A76FB4" w:rsidRPr="005E1290" w:rsidRDefault="00B868ED" w:rsidP="0079324A">
      <w:pPr>
        <w:spacing w:after="0" w:line="480" w:lineRule="auto"/>
        <w:ind w:left="720" w:hanging="720"/>
        <w:rPr>
          <w:rFonts w:ascii="Times New Roman" w:hAnsi="Times New Roman" w:cs="Times New Roman"/>
          <w:sz w:val="24"/>
          <w:szCs w:val="24"/>
        </w:rPr>
      </w:pPr>
      <w:proofErr w:type="spellStart"/>
      <w:r w:rsidRPr="005E1290">
        <w:rPr>
          <w:rFonts w:ascii="Times New Roman" w:hAnsi="Times New Roman" w:cs="Times New Roman"/>
          <w:sz w:val="24"/>
          <w:szCs w:val="24"/>
        </w:rPr>
        <w:t>Kweon</w:t>
      </w:r>
      <w:proofErr w:type="spellEnd"/>
      <w:r w:rsidRPr="005E1290">
        <w:rPr>
          <w:rFonts w:ascii="Times New Roman" w:hAnsi="Times New Roman" w:cs="Times New Roman"/>
          <w:sz w:val="24"/>
          <w:szCs w:val="24"/>
        </w:rPr>
        <w:t>, B. S., Ellis, C. D., Lee, J., &amp; Jacobs, K. (2017). The link between school environments and student academic performance. Urban Forestry &amp; Urban Greening, 23, 35-43.</w:t>
      </w:r>
    </w:p>
    <w:sectPr w:rsidR="00A76FB4" w:rsidRPr="005E1290" w:rsidSect="00831875">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3B77F" w14:textId="77777777" w:rsidR="00883E3C" w:rsidRDefault="00883E3C" w:rsidP="00B868ED">
      <w:pPr>
        <w:spacing w:after="0" w:line="240" w:lineRule="auto"/>
      </w:pPr>
      <w:r>
        <w:separator/>
      </w:r>
    </w:p>
  </w:endnote>
  <w:endnote w:type="continuationSeparator" w:id="0">
    <w:p w14:paraId="0A05BFE0" w14:textId="77777777" w:rsidR="00883E3C" w:rsidRDefault="00883E3C" w:rsidP="00B86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BBEE" w14:textId="77777777" w:rsidR="00883E3C" w:rsidRDefault="00883E3C" w:rsidP="00B868ED">
      <w:pPr>
        <w:spacing w:after="0" w:line="240" w:lineRule="auto"/>
      </w:pPr>
      <w:r>
        <w:separator/>
      </w:r>
    </w:p>
  </w:footnote>
  <w:footnote w:type="continuationSeparator" w:id="0">
    <w:p w14:paraId="1199BF19" w14:textId="77777777" w:rsidR="00883E3C" w:rsidRDefault="00883E3C" w:rsidP="00B86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8F25" w14:textId="687CCCF4" w:rsidR="00B868ED" w:rsidRPr="00831875" w:rsidRDefault="0008194F" w:rsidP="00831875">
    <w:pPr>
      <w:pStyle w:val="Header"/>
      <w:spacing w:line="480" w:lineRule="auto"/>
      <w:jc w:val="right"/>
      <w:rPr>
        <w:rFonts w:ascii="Times New Roman" w:hAnsi="Times New Roman" w:cs="Times New Roman"/>
        <w:sz w:val="24"/>
        <w:szCs w:val="24"/>
      </w:rPr>
    </w:pPr>
    <w:sdt>
      <w:sdtPr>
        <w:rPr>
          <w:rFonts w:ascii="Times New Roman" w:hAnsi="Times New Roman" w:cs="Times New Roman"/>
          <w:sz w:val="24"/>
          <w:szCs w:val="24"/>
        </w:rPr>
        <w:id w:val="17666891"/>
        <w:docPartObj>
          <w:docPartGallery w:val="Page Numbers (Top of Page)"/>
          <w:docPartUnique/>
        </w:docPartObj>
      </w:sdtPr>
      <w:sdtEndPr>
        <w:rPr>
          <w:noProof/>
        </w:rPr>
      </w:sdtEndPr>
      <w:sdtContent>
        <w:r w:rsidR="00B868ED" w:rsidRPr="00831875">
          <w:rPr>
            <w:rFonts w:ascii="Times New Roman" w:hAnsi="Times New Roman" w:cs="Times New Roman"/>
            <w:sz w:val="24"/>
            <w:szCs w:val="24"/>
          </w:rPr>
          <w:fldChar w:fldCharType="begin"/>
        </w:r>
        <w:r w:rsidR="00B868ED" w:rsidRPr="00831875">
          <w:rPr>
            <w:rFonts w:ascii="Times New Roman" w:hAnsi="Times New Roman" w:cs="Times New Roman"/>
            <w:sz w:val="24"/>
            <w:szCs w:val="24"/>
          </w:rPr>
          <w:instrText xml:space="preserve"> PAGE   \* MERGEFORMAT </w:instrText>
        </w:r>
        <w:r w:rsidR="00B868ED" w:rsidRPr="00831875">
          <w:rPr>
            <w:rFonts w:ascii="Times New Roman" w:hAnsi="Times New Roman" w:cs="Times New Roman"/>
            <w:sz w:val="24"/>
            <w:szCs w:val="24"/>
          </w:rPr>
          <w:fldChar w:fldCharType="separate"/>
        </w:r>
        <w:r w:rsidR="00831875">
          <w:rPr>
            <w:rFonts w:ascii="Times New Roman" w:hAnsi="Times New Roman" w:cs="Times New Roman"/>
            <w:noProof/>
            <w:sz w:val="24"/>
            <w:szCs w:val="24"/>
          </w:rPr>
          <w:t>3</w:t>
        </w:r>
        <w:r w:rsidR="00B868ED" w:rsidRPr="00831875">
          <w:rPr>
            <w:rFonts w:ascii="Times New Roman" w:hAnsi="Times New Roman" w:cs="Times New Roman"/>
            <w:noProof/>
            <w:sz w:val="24"/>
            <w:szCs w:val="24"/>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6AFC4" w14:textId="357491D8" w:rsidR="00831875" w:rsidRPr="00831875" w:rsidRDefault="0008194F" w:rsidP="00831875">
    <w:pPr>
      <w:pStyle w:val="Header"/>
      <w:spacing w:line="480" w:lineRule="auto"/>
      <w:jc w:val="right"/>
      <w:rPr>
        <w:rFonts w:ascii="Times New Roman" w:hAnsi="Times New Roman" w:cs="Times New Roman"/>
        <w:sz w:val="24"/>
        <w:szCs w:val="24"/>
      </w:rPr>
    </w:pPr>
    <w:sdt>
      <w:sdtPr>
        <w:rPr>
          <w:rFonts w:ascii="Times New Roman" w:hAnsi="Times New Roman" w:cs="Times New Roman"/>
          <w:sz w:val="24"/>
          <w:szCs w:val="24"/>
        </w:rPr>
        <w:id w:val="-902598929"/>
        <w:docPartObj>
          <w:docPartGallery w:val="Page Numbers (Top of Page)"/>
          <w:docPartUnique/>
        </w:docPartObj>
      </w:sdtPr>
      <w:sdtEndPr>
        <w:rPr>
          <w:noProof/>
        </w:rPr>
      </w:sdtEndPr>
      <w:sdtContent>
        <w:r w:rsidR="00831875" w:rsidRPr="00831875">
          <w:rPr>
            <w:rFonts w:ascii="Times New Roman" w:hAnsi="Times New Roman" w:cs="Times New Roman"/>
            <w:sz w:val="24"/>
            <w:szCs w:val="24"/>
          </w:rPr>
          <w:fldChar w:fldCharType="begin"/>
        </w:r>
        <w:r w:rsidR="00831875" w:rsidRPr="00831875">
          <w:rPr>
            <w:rFonts w:ascii="Times New Roman" w:hAnsi="Times New Roman" w:cs="Times New Roman"/>
            <w:sz w:val="24"/>
            <w:szCs w:val="24"/>
          </w:rPr>
          <w:instrText xml:space="preserve"> PAGE   \* MERGEFORMAT </w:instrText>
        </w:r>
        <w:r w:rsidR="00831875" w:rsidRPr="00831875">
          <w:rPr>
            <w:rFonts w:ascii="Times New Roman" w:hAnsi="Times New Roman" w:cs="Times New Roman"/>
            <w:sz w:val="24"/>
            <w:szCs w:val="24"/>
          </w:rPr>
          <w:fldChar w:fldCharType="separate"/>
        </w:r>
        <w:r w:rsidR="00831875">
          <w:rPr>
            <w:rFonts w:ascii="Times New Roman" w:hAnsi="Times New Roman" w:cs="Times New Roman"/>
            <w:noProof/>
            <w:sz w:val="24"/>
            <w:szCs w:val="24"/>
          </w:rPr>
          <w:t>1</w:t>
        </w:r>
        <w:r w:rsidR="00831875" w:rsidRPr="00831875">
          <w:rPr>
            <w:rFonts w:ascii="Times New Roman" w:hAnsi="Times New Roman" w:cs="Times New Roman"/>
            <w:noProof/>
            <w:sz w:val="24"/>
            <w:szCs w:val="24"/>
          </w:rPr>
          <w:fldChar w:fldCharType="end"/>
        </w:r>
      </w:sdtContent>
    </w:sdt>
  </w:p>
  <w:p w14:paraId="4EE1AD05" w14:textId="77777777" w:rsidR="00831875" w:rsidRDefault="008318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wtTA0MzI1szQxMzVX0lEKTi0uzszPAykwqgUAze7TTSwAAAA="/>
  </w:docVars>
  <w:rsids>
    <w:rsidRoot w:val="00B868ED"/>
    <w:rsid w:val="0005286D"/>
    <w:rsid w:val="0008194F"/>
    <w:rsid w:val="001B14B9"/>
    <w:rsid w:val="005E1290"/>
    <w:rsid w:val="0079324A"/>
    <w:rsid w:val="00831875"/>
    <w:rsid w:val="00883E3C"/>
    <w:rsid w:val="00A76FB4"/>
    <w:rsid w:val="00B868ED"/>
    <w:rsid w:val="00D11DD7"/>
    <w:rsid w:val="00D60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805EA"/>
  <w15:chartTrackingRefBased/>
  <w15:docId w15:val="{51E69489-D011-4A88-BA71-7C7EA394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68ED"/>
    <w:rPr>
      <w:color w:val="0563C1" w:themeColor="hyperlink"/>
      <w:u w:val="single"/>
    </w:rPr>
  </w:style>
  <w:style w:type="paragraph" w:styleId="Header">
    <w:name w:val="header"/>
    <w:basedOn w:val="Normal"/>
    <w:link w:val="HeaderChar"/>
    <w:uiPriority w:val="99"/>
    <w:unhideWhenUsed/>
    <w:rsid w:val="00B868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68ED"/>
  </w:style>
  <w:style w:type="paragraph" w:styleId="Footer">
    <w:name w:val="footer"/>
    <w:basedOn w:val="Normal"/>
    <w:link w:val="FooterChar"/>
    <w:uiPriority w:val="99"/>
    <w:unhideWhenUsed/>
    <w:rsid w:val="00B868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6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altimoresun.com/education/bs-md-chronic-absentee-rate-change-20190110-story.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KIMIKA</dc:creator>
  <cp:keywords/>
  <dc:description/>
  <cp:lastModifiedBy>Windows User</cp:lastModifiedBy>
  <cp:revision>6</cp:revision>
  <dcterms:created xsi:type="dcterms:W3CDTF">2021-05-07T08:48:00Z</dcterms:created>
  <dcterms:modified xsi:type="dcterms:W3CDTF">2021-05-07T11:19:00Z</dcterms:modified>
</cp:coreProperties>
</file>