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BFD61" w14:textId="77777777" w:rsidR="00BF2901" w:rsidRPr="00BF2901" w:rsidRDefault="00BF2901" w:rsidP="00BF2901">
      <w:pPr>
        <w:spacing w:after="0" w:line="480" w:lineRule="auto"/>
        <w:jc w:val="center"/>
        <w:rPr>
          <w:rFonts w:cs="Times New Roman"/>
          <w:b/>
          <w:bCs/>
          <w:szCs w:val="24"/>
        </w:rPr>
      </w:pPr>
    </w:p>
    <w:p w14:paraId="774E14E1" w14:textId="77777777" w:rsidR="00BF2901" w:rsidRPr="00BF2901" w:rsidRDefault="00BF2901" w:rsidP="00BF2901">
      <w:pPr>
        <w:spacing w:after="0" w:line="480" w:lineRule="auto"/>
        <w:jc w:val="center"/>
        <w:rPr>
          <w:rFonts w:cs="Times New Roman"/>
          <w:b/>
          <w:bCs/>
          <w:szCs w:val="24"/>
        </w:rPr>
      </w:pPr>
    </w:p>
    <w:p w14:paraId="27709DC8" w14:textId="77777777" w:rsidR="00BF2901" w:rsidRPr="00BF2901" w:rsidRDefault="00BF2901" w:rsidP="00BF2901">
      <w:pPr>
        <w:spacing w:after="0" w:line="480" w:lineRule="auto"/>
        <w:jc w:val="center"/>
        <w:rPr>
          <w:rFonts w:cs="Times New Roman"/>
          <w:b/>
          <w:bCs/>
          <w:szCs w:val="24"/>
        </w:rPr>
      </w:pPr>
    </w:p>
    <w:p w14:paraId="11B01A03" w14:textId="77777777" w:rsidR="00BF2901" w:rsidRPr="00BF2901" w:rsidRDefault="00BF2901" w:rsidP="00BF2901">
      <w:pPr>
        <w:spacing w:after="0" w:line="480" w:lineRule="auto"/>
        <w:jc w:val="center"/>
        <w:rPr>
          <w:rFonts w:cs="Times New Roman"/>
          <w:b/>
          <w:bCs/>
          <w:szCs w:val="24"/>
        </w:rPr>
      </w:pPr>
    </w:p>
    <w:p w14:paraId="36956DD6" w14:textId="2661D188" w:rsidR="002235E2" w:rsidRPr="00BF2901" w:rsidRDefault="002235E2" w:rsidP="00BF2901">
      <w:pPr>
        <w:spacing w:after="0" w:line="480" w:lineRule="auto"/>
        <w:jc w:val="center"/>
        <w:rPr>
          <w:rFonts w:cs="Times New Roman"/>
          <w:b/>
          <w:bCs/>
          <w:szCs w:val="24"/>
        </w:rPr>
      </w:pPr>
      <w:r w:rsidRPr="00BF2901">
        <w:rPr>
          <w:rFonts w:cs="Times New Roman"/>
          <w:b/>
          <w:bCs/>
          <w:szCs w:val="24"/>
        </w:rPr>
        <w:t>Milestone TWO</w:t>
      </w:r>
    </w:p>
    <w:p w14:paraId="6A1FA790" w14:textId="5B6C25F7" w:rsidR="00BF2901" w:rsidRPr="00BF2901" w:rsidRDefault="00BF2901" w:rsidP="00BF2901">
      <w:pPr>
        <w:spacing w:after="0" w:line="480" w:lineRule="auto"/>
        <w:jc w:val="center"/>
        <w:rPr>
          <w:rFonts w:cs="Times New Roman"/>
          <w:b/>
          <w:bCs/>
          <w:szCs w:val="24"/>
        </w:rPr>
      </w:pPr>
    </w:p>
    <w:p w14:paraId="1C67D2CD" w14:textId="77777777" w:rsidR="00BF2901" w:rsidRPr="00BF2901" w:rsidRDefault="00BF2901" w:rsidP="00BF2901">
      <w:pPr>
        <w:spacing w:after="0" w:line="480" w:lineRule="auto"/>
        <w:jc w:val="center"/>
        <w:rPr>
          <w:rFonts w:cs="Times New Roman"/>
          <w:szCs w:val="24"/>
        </w:rPr>
      </w:pPr>
      <w:r w:rsidRPr="00BF2901">
        <w:rPr>
          <w:rFonts w:cs="Times New Roman"/>
          <w:szCs w:val="24"/>
        </w:rPr>
        <w:t>&lt;Author name&gt;</w:t>
      </w:r>
    </w:p>
    <w:p w14:paraId="560EC409" w14:textId="77777777" w:rsidR="00BF2901" w:rsidRPr="00BF2901" w:rsidRDefault="00BF2901" w:rsidP="00BF2901">
      <w:pPr>
        <w:spacing w:after="0" w:line="480" w:lineRule="auto"/>
        <w:jc w:val="center"/>
        <w:rPr>
          <w:rFonts w:cs="Times New Roman"/>
          <w:szCs w:val="24"/>
        </w:rPr>
      </w:pPr>
      <w:r w:rsidRPr="00BF2901">
        <w:rPr>
          <w:rFonts w:cs="Times New Roman"/>
          <w:szCs w:val="24"/>
        </w:rPr>
        <w:t>&lt;Institutional affiliation&gt;</w:t>
      </w:r>
    </w:p>
    <w:p w14:paraId="0F8364A4" w14:textId="77777777" w:rsidR="00BF2901" w:rsidRPr="00BF2901" w:rsidRDefault="00BF2901" w:rsidP="00BF2901">
      <w:pPr>
        <w:spacing w:after="0" w:line="480" w:lineRule="auto"/>
        <w:jc w:val="center"/>
        <w:rPr>
          <w:rFonts w:cs="Times New Roman"/>
          <w:szCs w:val="24"/>
        </w:rPr>
      </w:pPr>
      <w:r w:rsidRPr="00BF2901">
        <w:rPr>
          <w:rFonts w:cs="Times New Roman"/>
          <w:szCs w:val="24"/>
        </w:rPr>
        <w:t>&lt;Course number and name&gt;</w:t>
      </w:r>
    </w:p>
    <w:p w14:paraId="3EB8931D" w14:textId="77777777" w:rsidR="00BF2901" w:rsidRPr="00BF2901" w:rsidRDefault="00BF2901" w:rsidP="00BF2901">
      <w:pPr>
        <w:spacing w:after="0" w:line="480" w:lineRule="auto"/>
        <w:jc w:val="center"/>
        <w:rPr>
          <w:rFonts w:cs="Times New Roman"/>
          <w:szCs w:val="24"/>
        </w:rPr>
      </w:pPr>
      <w:r w:rsidRPr="00BF2901">
        <w:rPr>
          <w:rFonts w:cs="Times New Roman"/>
          <w:szCs w:val="24"/>
        </w:rPr>
        <w:t>&lt;Instructor name&gt;</w:t>
      </w:r>
    </w:p>
    <w:p w14:paraId="49F08777" w14:textId="77777777" w:rsidR="00BF2901" w:rsidRPr="00BF2901" w:rsidRDefault="00BF2901" w:rsidP="00BF2901">
      <w:pPr>
        <w:spacing w:after="0" w:line="480" w:lineRule="auto"/>
        <w:jc w:val="center"/>
        <w:rPr>
          <w:rFonts w:cs="Times New Roman"/>
          <w:szCs w:val="24"/>
        </w:rPr>
      </w:pPr>
      <w:r w:rsidRPr="00BF2901">
        <w:rPr>
          <w:rFonts w:cs="Times New Roman"/>
          <w:szCs w:val="24"/>
        </w:rPr>
        <w:t>&lt;Assignment due date&gt;</w:t>
      </w:r>
    </w:p>
    <w:p w14:paraId="5EF948B9" w14:textId="77777777" w:rsidR="00BF2901" w:rsidRPr="00BF2901" w:rsidRDefault="00BF2901" w:rsidP="00BF2901">
      <w:pPr>
        <w:spacing w:after="0" w:line="480" w:lineRule="auto"/>
        <w:jc w:val="center"/>
        <w:rPr>
          <w:rFonts w:cs="Times New Roman"/>
          <w:b/>
          <w:bCs/>
          <w:szCs w:val="24"/>
        </w:rPr>
      </w:pPr>
    </w:p>
    <w:p w14:paraId="4F276D35" w14:textId="1DA36D95" w:rsidR="002235E2" w:rsidRPr="00BF2901" w:rsidRDefault="002235E2" w:rsidP="00BF2901">
      <w:pPr>
        <w:spacing w:after="0" w:line="480" w:lineRule="auto"/>
        <w:rPr>
          <w:rFonts w:cs="Times New Roman"/>
          <w:b/>
          <w:bCs/>
          <w:szCs w:val="24"/>
        </w:rPr>
      </w:pPr>
      <w:r w:rsidRPr="00BF2901">
        <w:rPr>
          <w:rFonts w:cs="Times New Roman"/>
          <w:b/>
          <w:bCs/>
          <w:szCs w:val="24"/>
        </w:rPr>
        <w:br w:type="page"/>
      </w:r>
    </w:p>
    <w:p w14:paraId="533BCB4F" w14:textId="7F432D22" w:rsidR="0040137D" w:rsidRPr="00BF2901" w:rsidRDefault="003B3287" w:rsidP="00BF2901">
      <w:pPr>
        <w:spacing w:after="0" w:line="480" w:lineRule="auto"/>
        <w:jc w:val="center"/>
        <w:rPr>
          <w:rFonts w:cs="Times New Roman"/>
          <w:b/>
          <w:bCs/>
          <w:szCs w:val="24"/>
        </w:rPr>
      </w:pPr>
      <w:r w:rsidRPr="00BF2901">
        <w:rPr>
          <w:rFonts w:cs="Times New Roman"/>
          <w:b/>
          <w:bCs/>
          <w:szCs w:val="24"/>
        </w:rPr>
        <w:lastRenderedPageBreak/>
        <w:t>Milestone TWO</w:t>
      </w:r>
    </w:p>
    <w:p w14:paraId="7E683B43" w14:textId="41850DC7" w:rsidR="00D178AA" w:rsidRPr="00BF2901" w:rsidRDefault="00D178AA" w:rsidP="00BF2901">
      <w:pPr>
        <w:spacing w:after="0" w:line="480" w:lineRule="auto"/>
        <w:jc w:val="center"/>
        <w:rPr>
          <w:rFonts w:cs="Times New Roman"/>
          <w:b/>
          <w:bCs/>
          <w:szCs w:val="24"/>
        </w:rPr>
      </w:pPr>
      <w:r w:rsidRPr="00BF2901">
        <w:rPr>
          <w:rFonts w:cs="Times New Roman"/>
          <w:b/>
          <w:bCs/>
          <w:szCs w:val="24"/>
        </w:rPr>
        <w:t>Stock Analysis</w:t>
      </w:r>
    </w:p>
    <w:p w14:paraId="0EB84C58" w14:textId="6D33839E" w:rsidR="006F659F" w:rsidRPr="00BF2901" w:rsidRDefault="006F659F" w:rsidP="00BF2901">
      <w:pPr>
        <w:spacing w:after="0" w:line="480" w:lineRule="auto"/>
        <w:ind w:firstLine="720"/>
        <w:rPr>
          <w:rFonts w:cs="Times New Roman"/>
          <w:szCs w:val="24"/>
        </w:rPr>
      </w:pPr>
      <w:r w:rsidRPr="00BF2901">
        <w:rPr>
          <w:rFonts w:cs="Times New Roman"/>
          <w:szCs w:val="24"/>
        </w:rPr>
        <w:t>The five stocks are the IBM stock, Netflix Inc. (NFLX) stock, Oracle Corporation</w:t>
      </w:r>
      <w:r w:rsidR="00417AC6" w:rsidRPr="00BF2901">
        <w:rPr>
          <w:rFonts w:cs="Times New Roman"/>
          <w:szCs w:val="24"/>
        </w:rPr>
        <w:t xml:space="preserve"> (ORCL), iShares Russell 200 ETF (IWM)</w:t>
      </w:r>
      <w:r w:rsidR="00606BC2">
        <w:rPr>
          <w:rFonts w:cs="Times New Roman"/>
          <w:szCs w:val="24"/>
        </w:rPr>
        <w:t>,</w:t>
      </w:r>
      <w:r w:rsidR="00417AC6" w:rsidRPr="00BF2901">
        <w:rPr>
          <w:rFonts w:cs="Times New Roman"/>
          <w:szCs w:val="24"/>
        </w:rPr>
        <w:t xml:space="preserve"> and iShares MCSI EAFE EFT (EFA). </w:t>
      </w:r>
      <w:r w:rsidR="00F3442E" w:rsidRPr="00BF2901">
        <w:rPr>
          <w:rFonts w:cs="Times New Roman"/>
          <w:szCs w:val="24"/>
        </w:rPr>
        <w:t xml:space="preserve">The </w:t>
      </w:r>
      <w:r w:rsidR="00606BC2">
        <w:rPr>
          <w:rFonts w:cs="Times New Roman"/>
          <w:szCs w:val="24"/>
        </w:rPr>
        <w:t>free cash flow valuation model can determine the IBM value</w:t>
      </w:r>
      <w:r w:rsidR="00F3442E" w:rsidRPr="00BF2901">
        <w:rPr>
          <w:rFonts w:cs="Times New Roman"/>
          <w:szCs w:val="24"/>
        </w:rPr>
        <w:t xml:space="preserve"> in various approaches. </w:t>
      </w:r>
      <w:r w:rsidR="00754C4C" w:rsidRPr="00BF2901">
        <w:rPr>
          <w:rFonts w:cs="Times New Roman"/>
          <w:szCs w:val="24"/>
        </w:rPr>
        <w:t>It usually estimates the firm’s stock value using free cash flo</w:t>
      </w:r>
      <w:r w:rsidR="00606BC2">
        <w:rPr>
          <w:rFonts w:cs="Times New Roman"/>
          <w:szCs w:val="24"/>
        </w:rPr>
        <w:t>w</w:t>
      </w:r>
      <w:r w:rsidR="00754C4C" w:rsidRPr="00BF2901">
        <w:rPr>
          <w:rFonts w:cs="Times New Roman"/>
          <w:szCs w:val="24"/>
        </w:rPr>
        <w:t>s per stake divided by recent market prices per stake</w:t>
      </w:r>
      <w:r w:rsidR="00657434" w:rsidRPr="00BF2901">
        <w:rPr>
          <w:rFonts w:cs="Times New Roman"/>
          <w:szCs w:val="24"/>
        </w:rPr>
        <w:t xml:space="preserve"> (</w:t>
      </w:r>
      <w:r w:rsidR="00657434" w:rsidRPr="00657434">
        <w:rPr>
          <w:rFonts w:eastAsia="Times New Roman" w:cs="Times New Roman"/>
          <w:szCs w:val="24"/>
        </w:rPr>
        <w:t>Yardeni, 2003)</w:t>
      </w:r>
      <w:r w:rsidR="00754C4C" w:rsidRPr="00BF2901">
        <w:rPr>
          <w:rFonts w:cs="Times New Roman"/>
          <w:szCs w:val="24"/>
        </w:rPr>
        <w:t xml:space="preserve">. </w:t>
      </w:r>
      <w:r w:rsidR="002E2B8B" w:rsidRPr="00BF2901">
        <w:rPr>
          <w:rFonts w:cs="Times New Roman"/>
          <w:szCs w:val="24"/>
        </w:rPr>
        <w:t xml:space="preserve">The market capitalization is divided by free cash flows value. Thus, a lower value for prices to free cash slows indicate that the IBM stock relatively cheap and undervalued. On the other hand, higher values for prices to free cash flows denote an overvalued stock value. </w:t>
      </w:r>
      <w:r w:rsidR="002E063A" w:rsidRPr="00BF2901">
        <w:rPr>
          <w:rFonts w:cs="Times New Roman"/>
          <w:szCs w:val="24"/>
        </w:rPr>
        <w:t xml:space="preserve">For example, </w:t>
      </w:r>
      <w:r w:rsidR="00616196" w:rsidRPr="00BF2901">
        <w:rPr>
          <w:rFonts w:cs="Times New Roman"/>
          <w:szCs w:val="24"/>
        </w:rPr>
        <w:t xml:space="preserve">table 1.1 illustrates stock market breakdown </w:t>
      </w:r>
      <w:r w:rsidR="00606BC2">
        <w:rPr>
          <w:rFonts w:cs="Times New Roman"/>
          <w:szCs w:val="24"/>
        </w:rPr>
        <w:t>using disbursements per stake, transaction per share, projected beta and earnings per share.</w:t>
      </w:r>
    </w:p>
    <w:p w14:paraId="66758DE6" w14:textId="53375CFF" w:rsidR="00616196" w:rsidRPr="00BF2901" w:rsidRDefault="00616196" w:rsidP="00BF2901">
      <w:pPr>
        <w:spacing w:after="0" w:line="480" w:lineRule="auto"/>
        <w:rPr>
          <w:rFonts w:cs="Times New Roman"/>
          <w:szCs w:val="24"/>
        </w:rPr>
      </w:pPr>
      <w:r w:rsidRPr="00BF2901">
        <w:rPr>
          <w:rFonts w:eastAsia="Times New Roman" w:cs="Times New Roman"/>
          <w:b/>
          <w:noProof/>
          <w:szCs w:val="24"/>
          <w:lang w:val="en-GB" w:eastAsia="en-GB"/>
        </w:rPr>
        <w:drawing>
          <wp:inline distT="0" distB="0" distL="0" distR="0" wp14:anchorId="728B75C5" wp14:editId="379466C5">
            <wp:extent cx="5943600" cy="295148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4.png"/>
                    <pic:cNvPicPr/>
                  </pic:nvPicPr>
                  <pic:blipFill>
                    <a:blip r:embed="rId6">
                      <a:extLst>
                        <a:ext uri="{28A0092B-C50C-407E-A947-70E740481C1C}">
                          <a14:useLocalDpi xmlns:a14="http://schemas.microsoft.com/office/drawing/2010/main" val="0"/>
                        </a:ext>
                      </a:extLst>
                    </a:blip>
                    <a:stretch>
                      <a:fillRect/>
                    </a:stretch>
                  </pic:blipFill>
                  <pic:spPr>
                    <a:xfrm>
                      <a:off x="0" y="0"/>
                      <a:ext cx="5943600" cy="2951480"/>
                    </a:xfrm>
                    <a:prstGeom prst="rect">
                      <a:avLst/>
                    </a:prstGeom>
                  </pic:spPr>
                </pic:pic>
              </a:graphicData>
            </a:graphic>
          </wp:inline>
        </w:drawing>
      </w:r>
    </w:p>
    <w:p w14:paraId="0DF77CC7" w14:textId="1FE9180F" w:rsidR="00616196" w:rsidRPr="00BF2901" w:rsidRDefault="00616196" w:rsidP="00BF2901">
      <w:pPr>
        <w:spacing w:after="0" w:line="480" w:lineRule="auto"/>
        <w:rPr>
          <w:rFonts w:cs="Times New Roman"/>
          <w:szCs w:val="24"/>
        </w:rPr>
      </w:pPr>
      <w:r w:rsidRPr="00BF2901">
        <w:rPr>
          <w:rFonts w:cs="Times New Roman"/>
          <w:szCs w:val="24"/>
        </w:rPr>
        <w:t xml:space="preserve">Table 1.1 Stock market breakdown </w:t>
      </w:r>
    </w:p>
    <w:p w14:paraId="1B39CA6F" w14:textId="1E1590CD" w:rsidR="00616196" w:rsidRPr="00BF2901" w:rsidRDefault="00616196" w:rsidP="00BF2901">
      <w:pPr>
        <w:spacing w:after="0" w:line="480" w:lineRule="auto"/>
        <w:rPr>
          <w:rFonts w:cs="Times New Roman"/>
          <w:szCs w:val="24"/>
        </w:rPr>
      </w:pPr>
      <w:r w:rsidRPr="00BF2901">
        <w:rPr>
          <w:rFonts w:cs="Times New Roman"/>
          <w:szCs w:val="24"/>
        </w:rPr>
        <w:t>Based on figures in table 1.1, the IBM stock value using valuation model of free cash flow is determined by; Free cash flows per stake divided by Recent market prices per stake = 1336/1</w:t>
      </w:r>
      <w:r w:rsidR="00F71BD0" w:rsidRPr="00BF2901">
        <w:rPr>
          <w:rFonts w:cs="Times New Roman"/>
          <w:szCs w:val="24"/>
        </w:rPr>
        <w:t xml:space="preserve">53.83 = </w:t>
      </w:r>
      <w:r w:rsidR="00F71BD0" w:rsidRPr="00BF2901">
        <w:rPr>
          <w:rFonts w:cs="Times New Roman"/>
          <w:b/>
          <w:bCs/>
          <w:szCs w:val="24"/>
        </w:rPr>
        <w:t xml:space="preserve">8.68%. </w:t>
      </w:r>
      <w:r w:rsidR="00F71BD0" w:rsidRPr="00BF2901">
        <w:rPr>
          <w:rFonts w:cs="Times New Roman"/>
          <w:szCs w:val="24"/>
        </w:rPr>
        <w:t xml:space="preserve">Additionally, the </w:t>
      </w:r>
      <w:r w:rsidR="004D29EA" w:rsidRPr="00BF2901">
        <w:rPr>
          <w:rFonts w:cs="Times New Roman"/>
          <w:szCs w:val="24"/>
        </w:rPr>
        <w:t xml:space="preserve">expected return </w:t>
      </w:r>
      <w:r w:rsidR="00F71BD0" w:rsidRPr="00BF2901">
        <w:rPr>
          <w:rFonts w:cs="Times New Roman"/>
          <w:szCs w:val="24"/>
        </w:rPr>
        <w:t xml:space="preserve">will be 0.75% + (0.86 x 9%) = </w:t>
      </w:r>
      <w:r w:rsidR="00F71BD0" w:rsidRPr="00BF2901">
        <w:rPr>
          <w:rFonts w:cs="Times New Roman"/>
          <w:b/>
          <w:bCs/>
          <w:szCs w:val="24"/>
        </w:rPr>
        <w:t>8.49%.</w:t>
      </w:r>
      <w:r w:rsidR="00F71BD0" w:rsidRPr="00BF2901">
        <w:rPr>
          <w:rFonts w:cs="Times New Roman"/>
          <w:szCs w:val="24"/>
        </w:rPr>
        <w:t xml:space="preserve"> </w:t>
      </w:r>
      <w:r w:rsidR="00F71BD0" w:rsidRPr="00BF2901">
        <w:rPr>
          <w:rFonts w:cs="Times New Roman"/>
          <w:szCs w:val="24"/>
        </w:rPr>
        <w:lastRenderedPageBreak/>
        <w:t xml:space="preserve">Hence, the IBM stock value is undervalued due to the lower value for price to free cash flows. </w:t>
      </w:r>
      <w:r w:rsidR="00606BC2">
        <w:rPr>
          <w:rFonts w:cs="Times New Roman"/>
          <w:szCs w:val="24"/>
        </w:rPr>
        <w:t>Standard deviations and expected returns are frequently used to analyze the client portfolio. Expected return is the projected amount of returns that portfolio generates, making it the average of the client portfolio’s possible return distributions.</w:t>
      </w:r>
    </w:p>
    <w:p w14:paraId="001DCECA" w14:textId="4DF0007E" w:rsidR="00B96BE1" w:rsidRPr="00BF2901" w:rsidRDefault="00B96BE1" w:rsidP="00BF2901">
      <w:pPr>
        <w:spacing w:after="0" w:line="480" w:lineRule="auto"/>
        <w:ind w:firstLine="720"/>
        <w:rPr>
          <w:rFonts w:cs="Times New Roman"/>
          <w:szCs w:val="24"/>
        </w:rPr>
      </w:pPr>
      <w:r w:rsidRPr="00BF2901">
        <w:rPr>
          <w:rFonts w:cs="Times New Roman"/>
          <w:szCs w:val="24"/>
        </w:rPr>
        <w:t>Furthermore, dividend valuation model can be used to determine ORCL stock value in various approaches.</w:t>
      </w:r>
      <w:r w:rsidR="002E0B49" w:rsidRPr="00BF2901">
        <w:rPr>
          <w:rFonts w:cs="Times New Roman"/>
          <w:szCs w:val="24"/>
        </w:rPr>
        <w:t xml:space="preserve"> The final results will suggest whether the present-day prices for stocks are worth the sum of all of its future dividend payment when all discounted back to their present values.</w:t>
      </w:r>
      <w:r w:rsidR="0052202B" w:rsidRPr="00BF2901">
        <w:rPr>
          <w:rFonts w:cs="Times New Roman"/>
          <w:szCs w:val="24"/>
        </w:rPr>
        <w:t xml:space="preserve"> F</w:t>
      </w:r>
      <w:r w:rsidR="00E15306" w:rsidRPr="00BF2901">
        <w:rPr>
          <w:rFonts w:cs="Times New Roman"/>
          <w:szCs w:val="24"/>
        </w:rPr>
        <w:t>uture value is determined by; present stock value * (1 + interest rates%), for a single year</w:t>
      </w:r>
      <w:r w:rsidR="0052202B" w:rsidRPr="00BF2901">
        <w:rPr>
          <w:rFonts w:cs="Times New Roman"/>
          <w:szCs w:val="24"/>
        </w:rPr>
        <w:t xml:space="preserve">. Hence, the stock value is EDPS/(CCE-DRG), EDPS is expected dividends per share, CCE is costs of capital equity and DGR is dividends growth rate. From figure 1.1 the stock value using dividend valuation model will be disbursement/ 1 + g = 0.6/1.211 = </w:t>
      </w:r>
      <w:r w:rsidR="0052202B" w:rsidRPr="00BF2901">
        <w:rPr>
          <w:rFonts w:cs="Times New Roman"/>
          <w:b/>
          <w:bCs/>
          <w:szCs w:val="24"/>
        </w:rPr>
        <w:t>$49.55</w:t>
      </w:r>
      <w:r w:rsidR="0052202B" w:rsidRPr="00BF2901">
        <w:rPr>
          <w:rFonts w:cs="Times New Roman"/>
          <w:szCs w:val="24"/>
        </w:rPr>
        <w:t xml:space="preserve">. </w:t>
      </w:r>
    </w:p>
    <w:p w14:paraId="0B4FD23F" w14:textId="31EB97FB" w:rsidR="00403931" w:rsidRPr="00BF2901" w:rsidRDefault="00403931" w:rsidP="00606BC2">
      <w:pPr>
        <w:spacing w:after="0" w:line="480" w:lineRule="auto"/>
        <w:ind w:firstLine="720"/>
        <w:rPr>
          <w:rFonts w:cs="Times New Roman"/>
          <w:szCs w:val="24"/>
        </w:rPr>
      </w:pPr>
      <w:r w:rsidRPr="00BF2901">
        <w:rPr>
          <w:rFonts w:cs="Times New Roman"/>
          <w:szCs w:val="24"/>
        </w:rPr>
        <w:t xml:space="preserve">Further, the free flow cash valuation model can be used to </w:t>
      </w:r>
      <w:r w:rsidR="00073B08" w:rsidRPr="00BF2901">
        <w:rPr>
          <w:rFonts w:cs="Times New Roman"/>
          <w:szCs w:val="24"/>
        </w:rPr>
        <w:t>identify</w:t>
      </w:r>
      <w:r w:rsidRPr="00BF2901">
        <w:rPr>
          <w:rFonts w:cs="Times New Roman"/>
          <w:szCs w:val="24"/>
        </w:rPr>
        <w:t xml:space="preserve"> MMM value. </w:t>
      </w:r>
      <w:r w:rsidR="00073B08" w:rsidRPr="00BF2901">
        <w:rPr>
          <w:rFonts w:cs="Times New Roman"/>
          <w:szCs w:val="24"/>
        </w:rPr>
        <w:t xml:space="preserve">The main step us dividing free cash flows per shares by current market prices per share. </w:t>
      </w:r>
      <w:r w:rsidR="00D1498E" w:rsidRPr="00BF2901">
        <w:rPr>
          <w:rFonts w:cs="Times New Roman"/>
          <w:szCs w:val="24"/>
        </w:rPr>
        <w:t xml:space="preserve">Based on the figures in the table, the MMM value will be 7.78/208.19 = </w:t>
      </w:r>
      <w:r w:rsidR="00D1498E" w:rsidRPr="00BF2901">
        <w:rPr>
          <w:rFonts w:cs="Times New Roman"/>
          <w:b/>
          <w:bCs/>
          <w:szCs w:val="24"/>
        </w:rPr>
        <w:t>3.74%</w:t>
      </w:r>
      <w:r w:rsidR="00D1498E" w:rsidRPr="00BF2901">
        <w:rPr>
          <w:rFonts w:cs="Times New Roman"/>
          <w:szCs w:val="24"/>
        </w:rPr>
        <w:t xml:space="preserve">. This also implies that the organization has exemplary free cash flow performances per stake. Thus, the </w:t>
      </w:r>
      <w:r w:rsidR="004D29EA" w:rsidRPr="00BF2901">
        <w:rPr>
          <w:rFonts w:cs="Times New Roman"/>
          <w:szCs w:val="24"/>
        </w:rPr>
        <w:t xml:space="preserve">expected return </w:t>
      </w:r>
      <w:r w:rsidR="00D1498E" w:rsidRPr="00BF2901">
        <w:rPr>
          <w:rFonts w:cs="Times New Roman"/>
          <w:szCs w:val="24"/>
        </w:rPr>
        <w:t xml:space="preserve">will be 0.75% + ().98 x 9%) = </w:t>
      </w:r>
      <w:r w:rsidR="00D1498E" w:rsidRPr="00BF2901">
        <w:rPr>
          <w:rFonts w:cs="Times New Roman"/>
          <w:b/>
          <w:bCs/>
          <w:szCs w:val="24"/>
        </w:rPr>
        <w:t>9.57%.</w:t>
      </w:r>
    </w:p>
    <w:p w14:paraId="6F4E97A8" w14:textId="52C55B01" w:rsidR="00824C6E" w:rsidRPr="00BF2901" w:rsidRDefault="00D1498E" w:rsidP="00BF2901">
      <w:pPr>
        <w:spacing w:after="0" w:line="480" w:lineRule="auto"/>
        <w:ind w:firstLine="720"/>
        <w:rPr>
          <w:rFonts w:cs="Times New Roman"/>
          <w:szCs w:val="24"/>
        </w:rPr>
      </w:pPr>
      <w:r w:rsidRPr="00BF2901">
        <w:rPr>
          <w:rFonts w:cs="Times New Roman"/>
          <w:szCs w:val="24"/>
        </w:rPr>
        <w:t xml:space="preserve">Also, Netflix Share value can be determined using share price multiples valuation approach. In this scenario, price is divided by sales per share. </w:t>
      </w:r>
      <w:r w:rsidR="00606BC2">
        <w:rPr>
          <w:rFonts w:cs="Times New Roman"/>
          <w:szCs w:val="24"/>
        </w:rPr>
        <w:t>It states that similar stocks are sold similar prices. Thus, ratios such as cash flows or operating margins within the company is the same across same organizations. As such, it is estimated by dividing price and sales per shares. T</w:t>
      </w:r>
      <w:r w:rsidR="00432346" w:rsidRPr="00BF2901">
        <w:rPr>
          <w:rFonts w:cs="Times New Roman"/>
          <w:szCs w:val="24"/>
        </w:rPr>
        <w:t xml:space="preserve">he price is 149.41 and sales per share is 22.14, giving 149.41/22.14 = </w:t>
      </w:r>
      <w:r w:rsidR="00432346" w:rsidRPr="00BF2901">
        <w:rPr>
          <w:rFonts w:cs="Times New Roman"/>
          <w:b/>
          <w:bCs/>
          <w:szCs w:val="24"/>
        </w:rPr>
        <w:t>6.74</w:t>
      </w:r>
      <w:r w:rsidR="00432346" w:rsidRPr="00BF2901">
        <w:rPr>
          <w:rFonts w:cs="Times New Roman"/>
          <w:szCs w:val="24"/>
        </w:rPr>
        <w:t xml:space="preserve">. </w:t>
      </w:r>
      <w:r w:rsidR="00366BC6" w:rsidRPr="00BF2901">
        <w:rPr>
          <w:rFonts w:cs="Times New Roman"/>
          <w:szCs w:val="24"/>
        </w:rPr>
        <w:t xml:space="preserve">This approach relates total market values of all sources of a firm’s share to measures of fundamental values for the entire firm. </w:t>
      </w:r>
      <w:r w:rsidR="00023535" w:rsidRPr="00BF2901">
        <w:rPr>
          <w:rFonts w:cs="Times New Roman"/>
          <w:szCs w:val="24"/>
        </w:rPr>
        <w:t xml:space="preserve">According to the results using figures from table 1.1, the business does not </w:t>
      </w:r>
      <w:r w:rsidR="00023535" w:rsidRPr="00BF2901">
        <w:rPr>
          <w:rFonts w:cs="Times New Roman"/>
          <w:szCs w:val="24"/>
        </w:rPr>
        <w:lastRenderedPageBreak/>
        <w:t xml:space="preserve">distribute dividends and it is advisable </w:t>
      </w:r>
      <w:r w:rsidR="00824C6E" w:rsidRPr="00BF2901">
        <w:rPr>
          <w:rFonts w:cs="Times New Roman"/>
          <w:szCs w:val="24"/>
        </w:rPr>
        <w:t xml:space="preserve">not to apply dividend growth method. When the organization’s free cash flow is in red, it prohibits the use of free cash flow valuation technique. Hence, the </w:t>
      </w:r>
      <w:r w:rsidR="004D29EA" w:rsidRPr="00BF2901">
        <w:rPr>
          <w:rFonts w:cs="Times New Roman"/>
          <w:szCs w:val="24"/>
        </w:rPr>
        <w:t xml:space="preserve">expected return </w:t>
      </w:r>
      <w:r w:rsidR="00824C6E" w:rsidRPr="00BF2901">
        <w:rPr>
          <w:rFonts w:cs="Times New Roman"/>
          <w:szCs w:val="24"/>
        </w:rPr>
        <w:t xml:space="preserve">will be 0.75% + (1.57 ÷ 9%) = </w:t>
      </w:r>
      <w:r w:rsidR="00824C6E" w:rsidRPr="00BF2901">
        <w:rPr>
          <w:rFonts w:cs="Times New Roman"/>
          <w:b/>
          <w:bCs/>
          <w:szCs w:val="24"/>
        </w:rPr>
        <w:t>14.88%</w:t>
      </w:r>
      <w:r w:rsidR="002235E2" w:rsidRPr="00BF2901">
        <w:rPr>
          <w:rFonts w:cs="Times New Roman"/>
          <w:b/>
          <w:bCs/>
          <w:szCs w:val="24"/>
        </w:rPr>
        <w:t xml:space="preserve"> (</w:t>
      </w:r>
      <w:r w:rsidR="002235E2" w:rsidRPr="002235E2">
        <w:rPr>
          <w:rFonts w:eastAsia="Times New Roman" w:cs="Times New Roman"/>
          <w:szCs w:val="24"/>
        </w:rPr>
        <w:t>Edwards</w:t>
      </w:r>
      <w:r w:rsidR="002235E2" w:rsidRPr="00BF2901">
        <w:rPr>
          <w:rFonts w:eastAsia="Times New Roman" w:cs="Times New Roman"/>
          <w:szCs w:val="24"/>
        </w:rPr>
        <w:t xml:space="preserve"> et al., 2018)</w:t>
      </w:r>
      <w:r w:rsidR="004D29EA" w:rsidRPr="00BF2901">
        <w:rPr>
          <w:rFonts w:cs="Times New Roman"/>
          <w:b/>
          <w:bCs/>
          <w:szCs w:val="24"/>
        </w:rPr>
        <w:t>.</w:t>
      </w:r>
    </w:p>
    <w:p w14:paraId="4BDE8858" w14:textId="47DB46CC" w:rsidR="00824C6E" w:rsidRPr="00BF2901" w:rsidRDefault="00824C6E" w:rsidP="00BF2901">
      <w:pPr>
        <w:spacing w:after="0" w:line="480" w:lineRule="auto"/>
        <w:ind w:firstLine="720"/>
        <w:rPr>
          <w:rFonts w:cs="Times New Roman"/>
          <w:szCs w:val="24"/>
        </w:rPr>
      </w:pPr>
      <w:r w:rsidRPr="00BF2901">
        <w:rPr>
          <w:rFonts w:cs="Times New Roman"/>
          <w:szCs w:val="24"/>
        </w:rPr>
        <w:t xml:space="preserve">Lastly, </w:t>
      </w:r>
      <w:bookmarkStart w:id="0" w:name="_Hlk99910616"/>
      <w:r w:rsidR="002117CE" w:rsidRPr="00BF2901">
        <w:rPr>
          <w:rFonts w:cs="Times New Roman"/>
          <w:szCs w:val="24"/>
        </w:rPr>
        <w:t xml:space="preserve">GE value </w:t>
      </w:r>
      <w:bookmarkEnd w:id="0"/>
      <w:r w:rsidR="002117CE" w:rsidRPr="00BF2901">
        <w:rPr>
          <w:rFonts w:cs="Times New Roman"/>
          <w:szCs w:val="24"/>
        </w:rPr>
        <w:t xml:space="preserve">can be identified using share price multiples valuation by dividing price and earnings per share. This gives 27.01/0.89 = </w:t>
      </w:r>
      <w:r w:rsidR="002117CE" w:rsidRPr="00BF2901">
        <w:rPr>
          <w:rFonts w:cs="Times New Roman"/>
          <w:b/>
          <w:bCs/>
          <w:szCs w:val="24"/>
        </w:rPr>
        <w:t>30.35</w:t>
      </w:r>
      <w:r w:rsidR="002117CE" w:rsidRPr="00BF2901">
        <w:rPr>
          <w:rFonts w:cs="Times New Roman"/>
          <w:szCs w:val="24"/>
        </w:rPr>
        <w:t xml:space="preserve">. In most cases when GE has negative free cash flows because, its stock value is underestimated when free cash flow is utilized. The higher figure (30.35) denotes that the company has higher capital expenditures compared to the operating cash flows. Thus, </w:t>
      </w:r>
      <w:r w:rsidR="004D29EA" w:rsidRPr="00BF2901">
        <w:rPr>
          <w:rFonts w:cs="Times New Roman"/>
          <w:szCs w:val="24"/>
        </w:rPr>
        <w:t xml:space="preserve">expected return will be (1.12 × 9%) + 0.75% = </w:t>
      </w:r>
      <w:r w:rsidR="004D29EA" w:rsidRPr="00BF2901">
        <w:rPr>
          <w:rFonts w:cs="Times New Roman"/>
          <w:b/>
          <w:bCs/>
          <w:szCs w:val="24"/>
        </w:rPr>
        <w:t>10.83%.</w:t>
      </w:r>
      <w:r w:rsidR="004D29EA" w:rsidRPr="00BF2901">
        <w:rPr>
          <w:rFonts w:cs="Times New Roman"/>
          <w:szCs w:val="24"/>
        </w:rPr>
        <w:t xml:space="preserve"> </w:t>
      </w:r>
      <w:r w:rsidR="005E19ED" w:rsidRPr="00BF2901">
        <w:rPr>
          <w:rFonts w:cs="Times New Roman"/>
          <w:szCs w:val="24"/>
        </w:rPr>
        <w:t xml:space="preserve">In summary, even though the expected return cannot be guaranteed, it is often estimated by multiplying potential outcome by the odd of them occurring and then summing the results. </w:t>
      </w:r>
    </w:p>
    <w:p w14:paraId="4237E20A" w14:textId="79CCC83B" w:rsidR="005E19ED" w:rsidRPr="002260F7" w:rsidRDefault="005E19ED" w:rsidP="002260F7">
      <w:pPr>
        <w:spacing w:after="0" w:line="480" w:lineRule="auto"/>
        <w:jc w:val="center"/>
        <w:rPr>
          <w:rFonts w:cs="Times New Roman"/>
          <w:b/>
          <w:bCs/>
          <w:szCs w:val="24"/>
        </w:rPr>
      </w:pPr>
      <w:bookmarkStart w:id="1" w:name="_Hlk99910694"/>
      <w:r w:rsidRPr="002260F7">
        <w:rPr>
          <w:rFonts w:cs="Times New Roman"/>
          <w:b/>
          <w:bCs/>
          <w:szCs w:val="24"/>
        </w:rPr>
        <w:t>Portfolio Development</w:t>
      </w:r>
    </w:p>
    <w:bookmarkEnd w:id="1"/>
    <w:p w14:paraId="77D1547E" w14:textId="48E8585A" w:rsidR="005E19ED" w:rsidRPr="00BF2901" w:rsidRDefault="00606BC2" w:rsidP="00BF2901">
      <w:pPr>
        <w:spacing w:after="0" w:line="480" w:lineRule="auto"/>
        <w:rPr>
          <w:rFonts w:cs="Times New Roman"/>
          <w:szCs w:val="24"/>
        </w:rPr>
      </w:pPr>
      <w:r>
        <w:rPr>
          <w:rFonts w:cs="Times New Roman"/>
          <w:szCs w:val="24"/>
        </w:rPr>
        <w:t xml:space="preserve">It is essential to assess the prospect by reviewing the client’s investment and risk tolerance. The next step is evaluating the current asset by illustrating the client allocation and weight. </w:t>
      </w:r>
      <w:r w:rsidR="00F62B87" w:rsidRPr="00BF2901">
        <w:rPr>
          <w:rFonts w:cs="Times New Roman"/>
          <w:szCs w:val="24"/>
        </w:rPr>
        <w:t>The client is Ezra and table 1.2 shows his portfolio</w:t>
      </w:r>
      <w:r w:rsidR="00E413B7" w:rsidRPr="00BF2901">
        <w:rPr>
          <w:rFonts w:cs="Times New Roman"/>
          <w:szCs w:val="24"/>
        </w:rPr>
        <w:t xml:space="preserve"> based on the calculated figures from table 1.1. </w:t>
      </w:r>
    </w:p>
    <w:tbl>
      <w:tblPr>
        <w:tblW w:w="8779" w:type="dxa"/>
        <w:tblBorders>
          <w:insideH w:val="nil"/>
          <w:insideV w:val="nil"/>
        </w:tblBorders>
        <w:tblLayout w:type="fixed"/>
        <w:tblLook w:val="0600" w:firstRow="0" w:lastRow="0" w:firstColumn="0" w:lastColumn="0" w:noHBand="1" w:noVBand="1"/>
      </w:tblPr>
      <w:tblGrid>
        <w:gridCol w:w="5761"/>
        <w:gridCol w:w="1864"/>
        <w:gridCol w:w="1154"/>
      </w:tblGrid>
      <w:tr w:rsidR="006B17B0" w:rsidRPr="00BF2901" w14:paraId="4ACE857E" w14:textId="77777777" w:rsidTr="00A55441">
        <w:trPr>
          <w:trHeight w:val="483"/>
        </w:trPr>
        <w:tc>
          <w:tcPr>
            <w:tcW w:w="57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6D3B10" w14:textId="77777777" w:rsidR="006B17B0" w:rsidRPr="00BF2901" w:rsidRDefault="006B17B0" w:rsidP="00BF2901">
            <w:pPr>
              <w:widowControl w:val="0"/>
              <w:spacing w:after="0" w:line="480" w:lineRule="auto"/>
              <w:rPr>
                <w:rFonts w:eastAsia="Calibri" w:cs="Times New Roman"/>
                <w:b/>
                <w:color w:val="000000"/>
                <w:szCs w:val="24"/>
              </w:rPr>
            </w:pPr>
            <w:r w:rsidRPr="00BF2901">
              <w:rPr>
                <w:rFonts w:eastAsia="Calibri" w:cs="Times New Roman"/>
                <w:b/>
                <w:szCs w:val="24"/>
              </w:rPr>
              <w:t>Ticker</w:t>
            </w:r>
          </w:p>
        </w:tc>
        <w:tc>
          <w:tcPr>
            <w:tcW w:w="18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7F9255" w14:textId="77777777" w:rsidR="006B17B0" w:rsidRPr="00BF2901" w:rsidRDefault="006B17B0" w:rsidP="00BF2901">
            <w:pPr>
              <w:widowControl w:val="0"/>
              <w:spacing w:after="0" w:line="480" w:lineRule="auto"/>
              <w:rPr>
                <w:rFonts w:eastAsia="Calibri" w:cs="Times New Roman"/>
                <w:b/>
                <w:color w:val="000000"/>
                <w:szCs w:val="24"/>
              </w:rPr>
            </w:pPr>
            <w:r w:rsidRPr="00BF2901">
              <w:rPr>
                <w:rFonts w:eastAsia="Calibri" w:cs="Times New Roman"/>
                <w:b/>
                <w:szCs w:val="24"/>
              </w:rPr>
              <w:t>Retained gains</w:t>
            </w:r>
          </w:p>
        </w:tc>
        <w:tc>
          <w:tcPr>
            <w:tcW w:w="11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1D8D9D" w14:textId="77777777" w:rsidR="006B17B0" w:rsidRPr="00BF2901" w:rsidRDefault="006B17B0" w:rsidP="00BF2901">
            <w:pPr>
              <w:widowControl w:val="0"/>
              <w:spacing w:after="0" w:line="480" w:lineRule="auto"/>
              <w:rPr>
                <w:rFonts w:eastAsia="Calibri" w:cs="Times New Roman"/>
                <w:b/>
                <w:color w:val="000000"/>
                <w:szCs w:val="24"/>
              </w:rPr>
            </w:pPr>
            <w:r w:rsidRPr="00BF2901">
              <w:rPr>
                <w:rFonts w:eastAsia="Calibri" w:cs="Times New Roman"/>
                <w:b/>
                <w:szCs w:val="24"/>
              </w:rPr>
              <w:t>Variance</w:t>
            </w:r>
          </w:p>
        </w:tc>
      </w:tr>
      <w:tr w:rsidR="006B17B0" w:rsidRPr="00BF2901" w14:paraId="74071A13" w14:textId="77777777" w:rsidTr="00A55441">
        <w:trPr>
          <w:trHeight w:val="589"/>
        </w:trPr>
        <w:tc>
          <w:tcPr>
            <w:tcW w:w="57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E41B39" w14:textId="77777777" w:rsidR="006B17B0" w:rsidRPr="00BF2901" w:rsidRDefault="006B17B0" w:rsidP="00BF2901">
            <w:pPr>
              <w:widowControl w:val="0"/>
              <w:spacing w:after="0" w:line="480" w:lineRule="auto"/>
              <w:rPr>
                <w:rFonts w:eastAsia="Calibri" w:cs="Times New Roman"/>
                <w:szCs w:val="24"/>
              </w:rPr>
            </w:pPr>
            <w:r w:rsidRPr="00BF2901">
              <w:rPr>
                <w:rFonts w:eastAsia="Calibri" w:cs="Times New Roman"/>
                <w:szCs w:val="24"/>
              </w:rPr>
              <w:t>Oracle Corporation (ORCL.)</w:t>
            </w:r>
          </w:p>
        </w:tc>
        <w:tc>
          <w:tcPr>
            <w:tcW w:w="18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F53B7E" w14:textId="77777777" w:rsidR="006B17B0" w:rsidRPr="00BF2901" w:rsidRDefault="006B17B0" w:rsidP="00BF2901">
            <w:pPr>
              <w:widowControl w:val="0"/>
              <w:spacing w:after="0" w:line="480" w:lineRule="auto"/>
              <w:jc w:val="right"/>
              <w:rPr>
                <w:rFonts w:eastAsia="Calibri" w:cs="Times New Roman"/>
                <w:szCs w:val="24"/>
              </w:rPr>
            </w:pPr>
            <w:r w:rsidRPr="00BF2901">
              <w:rPr>
                <w:rFonts w:eastAsia="Calibri" w:cs="Times New Roman"/>
                <w:szCs w:val="24"/>
              </w:rPr>
              <w:t>2%</w:t>
            </w:r>
          </w:p>
        </w:tc>
        <w:tc>
          <w:tcPr>
            <w:tcW w:w="11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F805E7" w14:textId="77777777" w:rsidR="006B17B0" w:rsidRPr="00BF2901" w:rsidRDefault="006B17B0" w:rsidP="00BF2901">
            <w:pPr>
              <w:widowControl w:val="0"/>
              <w:spacing w:after="0" w:line="480" w:lineRule="auto"/>
              <w:jc w:val="right"/>
              <w:rPr>
                <w:rFonts w:eastAsia="Calibri" w:cs="Times New Roman"/>
                <w:szCs w:val="24"/>
              </w:rPr>
            </w:pPr>
            <w:r w:rsidRPr="00BF2901">
              <w:rPr>
                <w:rFonts w:eastAsia="Calibri" w:cs="Times New Roman"/>
                <w:szCs w:val="24"/>
              </w:rPr>
              <w:t>16%</w:t>
            </w:r>
          </w:p>
        </w:tc>
      </w:tr>
      <w:tr w:rsidR="006B17B0" w:rsidRPr="00BF2901" w14:paraId="3EA70E16" w14:textId="77777777" w:rsidTr="00A55441">
        <w:trPr>
          <w:trHeight w:val="564"/>
        </w:trPr>
        <w:tc>
          <w:tcPr>
            <w:tcW w:w="57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803CB8" w14:textId="77777777" w:rsidR="006B17B0" w:rsidRPr="00BF2901" w:rsidRDefault="006B17B0" w:rsidP="00BF2901">
            <w:pPr>
              <w:widowControl w:val="0"/>
              <w:spacing w:after="0" w:line="480" w:lineRule="auto"/>
              <w:rPr>
                <w:rFonts w:eastAsia="Calibri" w:cs="Times New Roman"/>
                <w:szCs w:val="24"/>
              </w:rPr>
            </w:pPr>
            <w:r w:rsidRPr="00BF2901">
              <w:rPr>
                <w:rFonts w:cs="Times New Roman"/>
                <w:szCs w:val="24"/>
              </w:rPr>
              <w:t>Netflix Inc. (NFLX.)</w:t>
            </w:r>
          </w:p>
        </w:tc>
        <w:tc>
          <w:tcPr>
            <w:tcW w:w="18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A63564" w14:textId="77777777" w:rsidR="006B17B0" w:rsidRPr="00BF2901" w:rsidRDefault="006B17B0" w:rsidP="00BF2901">
            <w:pPr>
              <w:widowControl w:val="0"/>
              <w:spacing w:after="0" w:line="480" w:lineRule="auto"/>
              <w:jc w:val="right"/>
              <w:rPr>
                <w:rFonts w:eastAsia="Calibri" w:cs="Times New Roman"/>
                <w:szCs w:val="24"/>
              </w:rPr>
            </w:pPr>
            <w:r w:rsidRPr="00BF2901">
              <w:rPr>
                <w:rFonts w:eastAsia="Calibri" w:cs="Times New Roman"/>
                <w:szCs w:val="24"/>
              </w:rPr>
              <w:t>18%</w:t>
            </w:r>
          </w:p>
        </w:tc>
        <w:tc>
          <w:tcPr>
            <w:tcW w:w="115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5AE8EF" w14:textId="77777777" w:rsidR="006B17B0" w:rsidRPr="00BF2901" w:rsidRDefault="006B17B0" w:rsidP="00BF2901">
            <w:pPr>
              <w:widowControl w:val="0"/>
              <w:spacing w:after="0" w:line="480" w:lineRule="auto"/>
              <w:jc w:val="right"/>
              <w:rPr>
                <w:rFonts w:eastAsia="Calibri" w:cs="Times New Roman"/>
                <w:szCs w:val="24"/>
              </w:rPr>
            </w:pPr>
            <w:r w:rsidRPr="00BF2901">
              <w:rPr>
                <w:rFonts w:eastAsia="Calibri" w:cs="Times New Roman"/>
                <w:szCs w:val="24"/>
              </w:rPr>
              <w:t>45%</w:t>
            </w:r>
          </w:p>
        </w:tc>
      </w:tr>
      <w:tr w:rsidR="006B17B0" w:rsidRPr="00BF2901" w14:paraId="0676BA8B" w14:textId="77777777" w:rsidTr="00A55441">
        <w:trPr>
          <w:trHeight w:val="587"/>
        </w:trPr>
        <w:tc>
          <w:tcPr>
            <w:tcW w:w="5761" w:type="dxa"/>
            <w:tcBorders>
              <w:top w:val="single" w:sz="8" w:space="0" w:color="000000"/>
              <w:left w:val="single" w:sz="8" w:space="0" w:color="000000"/>
              <w:bottom w:val="single" w:sz="8" w:space="0" w:color="000000"/>
              <w:right w:val="single" w:sz="8" w:space="0" w:color="000000"/>
            </w:tcBorders>
            <w:tcMar>
              <w:top w:w="28" w:type="dxa"/>
              <w:left w:w="28" w:type="dxa"/>
              <w:bottom w:w="28" w:type="dxa"/>
              <w:right w:w="28" w:type="dxa"/>
            </w:tcMar>
            <w:hideMark/>
          </w:tcPr>
          <w:p w14:paraId="29D44619" w14:textId="77777777" w:rsidR="006B17B0" w:rsidRPr="00BF2901" w:rsidRDefault="006B17B0" w:rsidP="00BF2901">
            <w:pPr>
              <w:widowControl w:val="0"/>
              <w:spacing w:after="0" w:line="480" w:lineRule="auto"/>
              <w:rPr>
                <w:rFonts w:eastAsia="Calibri" w:cs="Times New Roman"/>
                <w:color w:val="000000"/>
                <w:szCs w:val="24"/>
              </w:rPr>
            </w:pPr>
            <w:r w:rsidRPr="00BF2901">
              <w:rPr>
                <w:rFonts w:eastAsia="Calibri" w:cs="Times New Roman"/>
                <w:szCs w:val="24"/>
              </w:rPr>
              <w:t>iShares Russell 2000 ETF. (IWM.)</w:t>
            </w:r>
          </w:p>
        </w:tc>
        <w:tc>
          <w:tcPr>
            <w:tcW w:w="1864" w:type="dxa"/>
            <w:tcBorders>
              <w:top w:val="single" w:sz="8" w:space="0" w:color="000000"/>
              <w:left w:val="single" w:sz="8" w:space="0" w:color="000000"/>
              <w:bottom w:val="single" w:sz="8" w:space="0" w:color="000000"/>
              <w:right w:val="single" w:sz="8" w:space="0" w:color="000000"/>
            </w:tcBorders>
            <w:tcMar>
              <w:top w:w="28" w:type="dxa"/>
              <w:left w:w="28" w:type="dxa"/>
              <w:bottom w:w="28" w:type="dxa"/>
              <w:right w:w="28" w:type="dxa"/>
            </w:tcMar>
            <w:hideMark/>
          </w:tcPr>
          <w:p w14:paraId="4F91FA55" w14:textId="77777777" w:rsidR="006B17B0" w:rsidRPr="00BF2901" w:rsidRDefault="006B17B0" w:rsidP="00BF2901">
            <w:pPr>
              <w:widowControl w:val="0"/>
              <w:spacing w:after="0" w:line="480" w:lineRule="auto"/>
              <w:jc w:val="right"/>
              <w:rPr>
                <w:rFonts w:eastAsia="Calibri" w:cs="Times New Roman"/>
                <w:color w:val="000000"/>
                <w:szCs w:val="24"/>
              </w:rPr>
            </w:pPr>
            <w:r w:rsidRPr="00BF2901">
              <w:rPr>
                <w:rFonts w:eastAsia="Calibri" w:cs="Times New Roman"/>
                <w:szCs w:val="24"/>
              </w:rPr>
              <w:t>14%</w:t>
            </w:r>
          </w:p>
        </w:tc>
        <w:tc>
          <w:tcPr>
            <w:tcW w:w="1154" w:type="dxa"/>
            <w:tcBorders>
              <w:top w:val="single" w:sz="8" w:space="0" w:color="000000"/>
              <w:left w:val="single" w:sz="8" w:space="0" w:color="000000"/>
              <w:bottom w:val="single" w:sz="8" w:space="0" w:color="000000"/>
              <w:right w:val="single" w:sz="8" w:space="0" w:color="000000"/>
            </w:tcBorders>
            <w:tcMar>
              <w:top w:w="28" w:type="dxa"/>
              <w:left w:w="28" w:type="dxa"/>
              <w:bottom w:w="28" w:type="dxa"/>
              <w:right w:w="28" w:type="dxa"/>
            </w:tcMar>
            <w:hideMark/>
          </w:tcPr>
          <w:p w14:paraId="2E3D7322" w14:textId="77777777" w:rsidR="006B17B0" w:rsidRPr="00BF2901" w:rsidRDefault="006B17B0" w:rsidP="00BF2901">
            <w:pPr>
              <w:widowControl w:val="0"/>
              <w:spacing w:after="0" w:line="480" w:lineRule="auto"/>
              <w:jc w:val="right"/>
              <w:rPr>
                <w:rFonts w:eastAsia="Calibri" w:cs="Times New Roman"/>
                <w:color w:val="000000"/>
                <w:szCs w:val="24"/>
              </w:rPr>
            </w:pPr>
            <w:r w:rsidRPr="00BF2901">
              <w:rPr>
                <w:rFonts w:eastAsia="Calibri" w:cs="Times New Roman"/>
                <w:szCs w:val="24"/>
              </w:rPr>
              <w:t>18%</w:t>
            </w:r>
          </w:p>
        </w:tc>
      </w:tr>
      <w:tr w:rsidR="006B17B0" w:rsidRPr="00BF2901" w14:paraId="79B35B7E" w14:textId="77777777" w:rsidTr="00A55441">
        <w:trPr>
          <w:trHeight w:val="587"/>
        </w:trPr>
        <w:tc>
          <w:tcPr>
            <w:tcW w:w="5761" w:type="dxa"/>
            <w:tcBorders>
              <w:top w:val="single" w:sz="8" w:space="0" w:color="000000"/>
              <w:left w:val="single" w:sz="8" w:space="0" w:color="000000"/>
              <w:bottom w:val="single" w:sz="8" w:space="0" w:color="000000"/>
              <w:right w:val="single" w:sz="8" w:space="0" w:color="000000"/>
            </w:tcBorders>
            <w:tcMar>
              <w:top w:w="28" w:type="dxa"/>
              <w:left w:w="28" w:type="dxa"/>
              <w:bottom w:w="28" w:type="dxa"/>
              <w:right w:w="28" w:type="dxa"/>
            </w:tcMar>
            <w:hideMark/>
          </w:tcPr>
          <w:p w14:paraId="13DF1C26" w14:textId="77777777" w:rsidR="006B17B0" w:rsidRPr="00BF2901" w:rsidRDefault="006B17B0" w:rsidP="00BF2901">
            <w:pPr>
              <w:widowControl w:val="0"/>
              <w:spacing w:after="0" w:line="480" w:lineRule="auto"/>
              <w:rPr>
                <w:rFonts w:eastAsia="Calibri" w:cs="Times New Roman"/>
                <w:color w:val="000000"/>
                <w:szCs w:val="24"/>
              </w:rPr>
            </w:pPr>
            <w:r w:rsidRPr="00BF2901">
              <w:rPr>
                <w:rFonts w:eastAsia="Calibri" w:cs="Times New Roman"/>
                <w:szCs w:val="24"/>
              </w:rPr>
              <w:t>iShares MSCI Emerging Markets ETF. (EEM.)</w:t>
            </w:r>
          </w:p>
        </w:tc>
        <w:tc>
          <w:tcPr>
            <w:tcW w:w="1864" w:type="dxa"/>
            <w:tcBorders>
              <w:top w:val="single" w:sz="8" w:space="0" w:color="000000"/>
              <w:left w:val="single" w:sz="8" w:space="0" w:color="000000"/>
              <w:bottom w:val="single" w:sz="8" w:space="0" w:color="000000"/>
              <w:right w:val="single" w:sz="8" w:space="0" w:color="000000"/>
            </w:tcBorders>
            <w:tcMar>
              <w:top w:w="28" w:type="dxa"/>
              <w:left w:w="28" w:type="dxa"/>
              <w:bottom w:w="28" w:type="dxa"/>
              <w:right w:w="28" w:type="dxa"/>
            </w:tcMar>
            <w:hideMark/>
          </w:tcPr>
          <w:p w14:paraId="71479360" w14:textId="77777777" w:rsidR="006B17B0" w:rsidRPr="00BF2901" w:rsidRDefault="006B17B0" w:rsidP="00BF2901">
            <w:pPr>
              <w:widowControl w:val="0"/>
              <w:spacing w:after="0" w:line="480" w:lineRule="auto"/>
              <w:jc w:val="right"/>
              <w:rPr>
                <w:rFonts w:eastAsia="Calibri" w:cs="Times New Roman"/>
                <w:color w:val="000000"/>
                <w:szCs w:val="24"/>
              </w:rPr>
            </w:pPr>
            <w:r w:rsidRPr="00BF2901">
              <w:rPr>
                <w:rFonts w:eastAsia="Calibri" w:cs="Times New Roman"/>
                <w:szCs w:val="24"/>
              </w:rPr>
              <w:t>-1%</w:t>
            </w:r>
          </w:p>
        </w:tc>
        <w:tc>
          <w:tcPr>
            <w:tcW w:w="1154" w:type="dxa"/>
            <w:tcBorders>
              <w:top w:val="single" w:sz="8" w:space="0" w:color="000000"/>
              <w:left w:val="single" w:sz="8" w:space="0" w:color="000000"/>
              <w:bottom w:val="single" w:sz="8" w:space="0" w:color="000000"/>
              <w:right w:val="single" w:sz="8" w:space="0" w:color="000000"/>
            </w:tcBorders>
            <w:tcMar>
              <w:top w:w="28" w:type="dxa"/>
              <w:left w:w="28" w:type="dxa"/>
              <w:bottom w:w="28" w:type="dxa"/>
              <w:right w:w="28" w:type="dxa"/>
            </w:tcMar>
            <w:hideMark/>
          </w:tcPr>
          <w:p w14:paraId="61EDC535" w14:textId="77777777" w:rsidR="006B17B0" w:rsidRPr="00BF2901" w:rsidRDefault="006B17B0" w:rsidP="00BF2901">
            <w:pPr>
              <w:widowControl w:val="0"/>
              <w:spacing w:after="0" w:line="480" w:lineRule="auto"/>
              <w:jc w:val="right"/>
              <w:rPr>
                <w:rFonts w:eastAsia="Calibri" w:cs="Times New Roman"/>
                <w:color w:val="000000"/>
                <w:szCs w:val="24"/>
              </w:rPr>
            </w:pPr>
            <w:r w:rsidRPr="00BF2901">
              <w:rPr>
                <w:rFonts w:eastAsia="Calibri" w:cs="Times New Roman"/>
                <w:szCs w:val="24"/>
              </w:rPr>
              <w:t>19%</w:t>
            </w:r>
          </w:p>
        </w:tc>
      </w:tr>
      <w:tr w:rsidR="006B17B0" w:rsidRPr="00BF2901" w14:paraId="1C591EFE" w14:textId="77777777" w:rsidTr="00A55441">
        <w:trPr>
          <w:trHeight w:val="587"/>
        </w:trPr>
        <w:tc>
          <w:tcPr>
            <w:tcW w:w="5761" w:type="dxa"/>
            <w:tcBorders>
              <w:top w:val="single" w:sz="8" w:space="0" w:color="000000"/>
              <w:left w:val="single" w:sz="8" w:space="0" w:color="000000"/>
              <w:bottom w:val="single" w:sz="8" w:space="0" w:color="000000"/>
              <w:right w:val="single" w:sz="8" w:space="0" w:color="000000"/>
            </w:tcBorders>
            <w:tcMar>
              <w:top w:w="28" w:type="dxa"/>
              <w:left w:w="28" w:type="dxa"/>
              <w:bottom w:w="28" w:type="dxa"/>
              <w:right w:w="28" w:type="dxa"/>
            </w:tcMar>
          </w:tcPr>
          <w:p w14:paraId="70C9D76C" w14:textId="77777777" w:rsidR="006B17B0" w:rsidRPr="00BF2901" w:rsidRDefault="006B17B0" w:rsidP="00BF2901">
            <w:pPr>
              <w:widowControl w:val="0"/>
              <w:spacing w:after="0" w:line="480" w:lineRule="auto"/>
              <w:rPr>
                <w:rFonts w:eastAsia="Calibri" w:cs="Times New Roman"/>
                <w:szCs w:val="24"/>
              </w:rPr>
            </w:pPr>
            <w:r w:rsidRPr="00BF2901">
              <w:rPr>
                <w:rFonts w:eastAsia="Calibri" w:cs="Times New Roman"/>
                <w:szCs w:val="24"/>
              </w:rPr>
              <w:t>iShares MSCI EAFE ETF. (EFA.)</w:t>
            </w:r>
          </w:p>
        </w:tc>
        <w:tc>
          <w:tcPr>
            <w:tcW w:w="1864" w:type="dxa"/>
            <w:tcBorders>
              <w:top w:val="single" w:sz="8" w:space="0" w:color="000000"/>
              <w:left w:val="single" w:sz="8" w:space="0" w:color="000000"/>
              <w:bottom w:val="single" w:sz="8" w:space="0" w:color="000000"/>
              <w:right w:val="single" w:sz="8" w:space="0" w:color="000000"/>
            </w:tcBorders>
            <w:tcMar>
              <w:top w:w="28" w:type="dxa"/>
              <w:left w:w="28" w:type="dxa"/>
              <w:bottom w:w="28" w:type="dxa"/>
              <w:right w:w="28" w:type="dxa"/>
            </w:tcMar>
          </w:tcPr>
          <w:p w14:paraId="0A5A44BF" w14:textId="77777777" w:rsidR="006B17B0" w:rsidRPr="00BF2901" w:rsidRDefault="006B17B0" w:rsidP="00BF2901">
            <w:pPr>
              <w:widowControl w:val="0"/>
              <w:spacing w:after="0" w:line="480" w:lineRule="auto"/>
              <w:jc w:val="right"/>
              <w:rPr>
                <w:rFonts w:eastAsia="Calibri" w:cs="Times New Roman"/>
                <w:szCs w:val="24"/>
              </w:rPr>
            </w:pPr>
            <w:r w:rsidRPr="00BF2901">
              <w:rPr>
                <w:rFonts w:eastAsia="Calibri" w:cs="Times New Roman"/>
                <w:szCs w:val="24"/>
              </w:rPr>
              <w:t>9%</w:t>
            </w:r>
          </w:p>
        </w:tc>
        <w:tc>
          <w:tcPr>
            <w:tcW w:w="1154" w:type="dxa"/>
            <w:tcBorders>
              <w:top w:val="single" w:sz="8" w:space="0" w:color="000000"/>
              <w:left w:val="single" w:sz="8" w:space="0" w:color="000000"/>
              <w:bottom w:val="single" w:sz="8" w:space="0" w:color="000000"/>
              <w:right w:val="single" w:sz="8" w:space="0" w:color="000000"/>
            </w:tcBorders>
            <w:tcMar>
              <w:top w:w="28" w:type="dxa"/>
              <w:left w:w="28" w:type="dxa"/>
              <w:bottom w:w="28" w:type="dxa"/>
              <w:right w:w="28" w:type="dxa"/>
            </w:tcMar>
          </w:tcPr>
          <w:p w14:paraId="440C0643" w14:textId="77777777" w:rsidR="006B17B0" w:rsidRPr="00BF2901" w:rsidRDefault="006B17B0" w:rsidP="00BF2901">
            <w:pPr>
              <w:widowControl w:val="0"/>
              <w:spacing w:after="0" w:line="480" w:lineRule="auto"/>
              <w:jc w:val="right"/>
              <w:rPr>
                <w:rFonts w:eastAsia="Calibri" w:cs="Times New Roman"/>
                <w:szCs w:val="24"/>
              </w:rPr>
            </w:pPr>
            <w:r w:rsidRPr="00BF2901">
              <w:rPr>
                <w:rFonts w:eastAsia="Calibri" w:cs="Times New Roman"/>
                <w:szCs w:val="24"/>
              </w:rPr>
              <w:t>15%</w:t>
            </w:r>
          </w:p>
        </w:tc>
      </w:tr>
    </w:tbl>
    <w:p w14:paraId="00321571" w14:textId="2EB27942" w:rsidR="006B17B0" w:rsidRPr="00BF2901" w:rsidRDefault="006B17B0" w:rsidP="00BF2901">
      <w:pPr>
        <w:spacing w:after="0" w:line="480" w:lineRule="auto"/>
        <w:rPr>
          <w:rFonts w:cs="Times New Roman"/>
          <w:szCs w:val="24"/>
        </w:rPr>
      </w:pPr>
      <w:r w:rsidRPr="00BF2901">
        <w:rPr>
          <w:rFonts w:cs="Times New Roman"/>
          <w:szCs w:val="24"/>
        </w:rPr>
        <w:t xml:space="preserve">Table 1.2 The Client’s Portfolio </w:t>
      </w:r>
    </w:p>
    <w:p w14:paraId="0FE2AA34" w14:textId="5DE6A0CF" w:rsidR="006B17B0" w:rsidRPr="00BF2901" w:rsidRDefault="006B17B0" w:rsidP="00BF2901">
      <w:pPr>
        <w:spacing w:after="0" w:line="480" w:lineRule="auto"/>
        <w:rPr>
          <w:rFonts w:cs="Times New Roman"/>
          <w:szCs w:val="24"/>
        </w:rPr>
      </w:pPr>
      <w:r w:rsidRPr="00BF2901">
        <w:rPr>
          <w:rFonts w:cs="Times New Roman"/>
          <w:szCs w:val="24"/>
        </w:rPr>
        <w:t xml:space="preserve">The portfolio variance is </w:t>
      </w:r>
      <w:r w:rsidR="00EF6036" w:rsidRPr="00BF2901">
        <w:rPr>
          <w:rFonts w:cs="Times New Roman"/>
          <w:szCs w:val="24"/>
        </w:rPr>
        <w:t xml:space="preserve">22.6% and the average retained gains is 8%. </w:t>
      </w:r>
    </w:p>
    <w:p w14:paraId="424F13CA" w14:textId="77777777" w:rsidR="0053309B" w:rsidRPr="00BF2901" w:rsidRDefault="00EF6036" w:rsidP="00BF2901">
      <w:pPr>
        <w:spacing w:after="0" w:line="480" w:lineRule="auto"/>
        <w:rPr>
          <w:rFonts w:cs="Times New Roman"/>
          <w:b/>
          <w:szCs w:val="24"/>
        </w:rPr>
      </w:pPr>
      <w:r w:rsidRPr="00BF2901">
        <w:rPr>
          <w:rFonts w:cs="Times New Roman"/>
          <w:szCs w:val="24"/>
        </w:rPr>
        <w:lastRenderedPageBreak/>
        <w:t xml:space="preserve">Additionally, the expected portfolio return is estimated as: </w:t>
      </w:r>
      <w:r w:rsidR="0053309B" w:rsidRPr="00BF2901">
        <w:rPr>
          <w:rFonts w:cs="Times New Roman"/>
          <w:szCs w:val="24"/>
        </w:rPr>
        <w:t xml:space="preserve">RFR + (Bet x Market Risks Premium). The market yield is 9% and the RFR is 0.75%. Therefore, the expected portfolio return will be [(1.09 × 9 %) + 0.75% + (1.03 × 9%) + 0.75% + (1.15 × 9%) + 0.75% + 14.88%] = 10.65% + 10.56% + 10.02% + 11.10% + 14.88% = </w:t>
      </w:r>
      <w:r w:rsidR="0053309B" w:rsidRPr="00BF2901">
        <w:rPr>
          <w:rFonts w:cs="Times New Roman"/>
          <w:b/>
          <w:szCs w:val="24"/>
        </w:rPr>
        <w:t>11.44%</w:t>
      </w:r>
    </w:p>
    <w:p w14:paraId="7CE76C2C" w14:textId="35B69472" w:rsidR="00D6405A" w:rsidRPr="00BF2901" w:rsidRDefault="00085678" w:rsidP="00BF2901">
      <w:pPr>
        <w:spacing w:after="0" w:line="480" w:lineRule="auto"/>
        <w:rPr>
          <w:rFonts w:cs="Times New Roman"/>
          <w:szCs w:val="24"/>
        </w:rPr>
      </w:pPr>
      <w:r w:rsidRPr="00BF2901">
        <w:rPr>
          <w:rFonts w:cs="Times New Roman"/>
          <w:szCs w:val="24"/>
        </w:rPr>
        <w:t xml:space="preserve">The recommendation is that a high beta translates to investments that has greater risks in relation to markets and hence, are projected to enhance more retained gains. </w:t>
      </w:r>
      <w:r w:rsidR="00102E1E" w:rsidRPr="00BF2901">
        <w:rPr>
          <w:rFonts w:cs="Times New Roman"/>
          <w:szCs w:val="24"/>
        </w:rPr>
        <w:t>On the other hand, low beta investment makes lower retained gains</w:t>
      </w:r>
      <w:r w:rsidR="002235E2" w:rsidRPr="00BF2901">
        <w:rPr>
          <w:rFonts w:cs="Times New Roman"/>
          <w:szCs w:val="24"/>
        </w:rPr>
        <w:t xml:space="preserve"> (</w:t>
      </w:r>
      <w:r w:rsidR="002235E2" w:rsidRPr="002235E2">
        <w:rPr>
          <w:rFonts w:eastAsia="Times New Roman" w:cs="Times New Roman"/>
          <w:szCs w:val="24"/>
        </w:rPr>
        <w:t>Morgan &amp; Stocken, 2003)</w:t>
      </w:r>
      <w:r w:rsidR="00102E1E" w:rsidRPr="00BF2901">
        <w:rPr>
          <w:rFonts w:cs="Times New Roman"/>
          <w:szCs w:val="24"/>
        </w:rPr>
        <w:t xml:space="preserve">. </w:t>
      </w:r>
      <w:r w:rsidR="00D6405A" w:rsidRPr="00BF2901">
        <w:rPr>
          <w:rFonts w:cs="Times New Roman"/>
          <w:szCs w:val="24"/>
        </w:rPr>
        <w:br w:type="page"/>
      </w:r>
    </w:p>
    <w:p w14:paraId="20178A32" w14:textId="739B1417" w:rsidR="00EF6036" w:rsidRPr="00BF2901" w:rsidRDefault="00D6405A" w:rsidP="00BF2901">
      <w:pPr>
        <w:spacing w:after="0" w:line="480" w:lineRule="auto"/>
        <w:jc w:val="center"/>
        <w:rPr>
          <w:rFonts w:cs="Times New Roman"/>
          <w:b/>
          <w:bCs/>
          <w:szCs w:val="24"/>
        </w:rPr>
      </w:pPr>
      <w:r w:rsidRPr="00BF2901">
        <w:rPr>
          <w:rFonts w:cs="Times New Roman"/>
          <w:b/>
          <w:bCs/>
          <w:szCs w:val="24"/>
        </w:rPr>
        <w:lastRenderedPageBreak/>
        <w:t>References</w:t>
      </w:r>
    </w:p>
    <w:p w14:paraId="4E288E45" w14:textId="77777777" w:rsidR="002235E2" w:rsidRPr="002235E2" w:rsidRDefault="002235E2" w:rsidP="00BF2901">
      <w:pPr>
        <w:spacing w:after="0" w:line="480" w:lineRule="auto"/>
        <w:ind w:left="720" w:hanging="720"/>
        <w:rPr>
          <w:rFonts w:eastAsia="Times New Roman" w:cs="Times New Roman"/>
          <w:szCs w:val="24"/>
        </w:rPr>
      </w:pPr>
      <w:r w:rsidRPr="002235E2">
        <w:rPr>
          <w:rFonts w:eastAsia="Times New Roman" w:cs="Times New Roman"/>
          <w:szCs w:val="24"/>
        </w:rPr>
        <w:t xml:space="preserve">Edwards, R. D., Magee, J., &amp; Bassetti, W. C. (2018). </w:t>
      </w:r>
      <w:r w:rsidRPr="002235E2">
        <w:rPr>
          <w:rFonts w:eastAsia="Times New Roman" w:cs="Times New Roman"/>
          <w:i/>
          <w:iCs/>
          <w:szCs w:val="24"/>
        </w:rPr>
        <w:t>Technical analysis of stock trends</w:t>
      </w:r>
      <w:r w:rsidRPr="002235E2">
        <w:rPr>
          <w:rFonts w:eastAsia="Times New Roman" w:cs="Times New Roman"/>
          <w:szCs w:val="24"/>
        </w:rPr>
        <w:t>. CRC press.</w:t>
      </w:r>
    </w:p>
    <w:p w14:paraId="7DA99FAD" w14:textId="77777777" w:rsidR="002235E2" w:rsidRPr="002235E2" w:rsidRDefault="002235E2" w:rsidP="00BF2901">
      <w:pPr>
        <w:spacing w:after="0" w:line="480" w:lineRule="auto"/>
        <w:ind w:left="720" w:hanging="720"/>
        <w:rPr>
          <w:rFonts w:eastAsia="Times New Roman" w:cs="Times New Roman"/>
          <w:szCs w:val="24"/>
        </w:rPr>
      </w:pPr>
      <w:r w:rsidRPr="002235E2">
        <w:rPr>
          <w:rFonts w:eastAsia="Times New Roman" w:cs="Times New Roman"/>
          <w:szCs w:val="24"/>
        </w:rPr>
        <w:t xml:space="preserve">Morgan, J., &amp; Stocken, P. C. (2003). An analysis of stock recommendations. </w:t>
      </w:r>
      <w:r w:rsidRPr="002235E2">
        <w:rPr>
          <w:rFonts w:eastAsia="Times New Roman" w:cs="Times New Roman"/>
          <w:i/>
          <w:iCs/>
          <w:szCs w:val="24"/>
        </w:rPr>
        <w:t>RAND Journal of economics</w:t>
      </w:r>
      <w:r w:rsidRPr="002235E2">
        <w:rPr>
          <w:rFonts w:eastAsia="Times New Roman" w:cs="Times New Roman"/>
          <w:szCs w:val="24"/>
        </w:rPr>
        <w:t>, 183-203.</w:t>
      </w:r>
    </w:p>
    <w:p w14:paraId="49FD7E36" w14:textId="286E6E6D" w:rsidR="00657434" w:rsidRPr="00BF2901" w:rsidRDefault="00657434" w:rsidP="00BF2901">
      <w:pPr>
        <w:spacing w:after="0" w:line="480" w:lineRule="auto"/>
        <w:ind w:left="720" w:hanging="720"/>
        <w:rPr>
          <w:rFonts w:eastAsia="Times New Roman" w:cs="Times New Roman"/>
          <w:szCs w:val="24"/>
        </w:rPr>
      </w:pPr>
      <w:r w:rsidRPr="00657434">
        <w:rPr>
          <w:rFonts w:eastAsia="Times New Roman" w:cs="Times New Roman"/>
          <w:szCs w:val="24"/>
        </w:rPr>
        <w:t xml:space="preserve">Yardeni, E. (2003). Stock valuation models (4.1). </w:t>
      </w:r>
      <w:r w:rsidRPr="00657434">
        <w:rPr>
          <w:rFonts w:eastAsia="Times New Roman" w:cs="Times New Roman"/>
          <w:i/>
          <w:iCs/>
          <w:szCs w:val="24"/>
        </w:rPr>
        <w:t>Prudential Financial Research</w:t>
      </w:r>
      <w:r w:rsidRPr="00657434">
        <w:rPr>
          <w:rFonts w:eastAsia="Times New Roman" w:cs="Times New Roman"/>
          <w:szCs w:val="24"/>
        </w:rPr>
        <w:t xml:space="preserve">, </w:t>
      </w:r>
      <w:r w:rsidRPr="00657434">
        <w:rPr>
          <w:rFonts w:eastAsia="Times New Roman" w:cs="Times New Roman"/>
          <w:i/>
          <w:iCs/>
          <w:szCs w:val="24"/>
        </w:rPr>
        <w:t>58</w:t>
      </w:r>
      <w:r w:rsidRPr="00657434">
        <w:rPr>
          <w:rFonts w:eastAsia="Times New Roman" w:cs="Times New Roman"/>
          <w:szCs w:val="24"/>
        </w:rPr>
        <w:t>(212), 1-31.</w:t>
      </w:r>
    </w:p>
    <w:p w14:paraId="2F8F0AFD" w14:textId="77777777" w:rsidR="002235E2" w:rsidRPr="00657434" w:rsidRDefault="002235E2" w:rsidP="00BF2901">
      <w:pPr>
        <w:spacing w:after="0" w:line="480" w:lineRule="auto"/>
        <w:ind w:left="720" w:hanging="720"/>
        <w:rPr>
          <w:rFonts w:eastAsia="Times New Roman" w:cs="Times New Roman"/>
          <w:szCs w:val="24"/>
        </w:rPr>
      </w:pPr>
    </w:p>
    <w:p w14:paraId="3621EABD" w14:textId="77777777" w:rsidR="00D6405A" w:rsidRPr="00BF2901" w:rsidRDefault="00D6405A" w:rsidP="00BF2901">
      <w:pPr>
        <w:spacing w:after="0" w:line="480" w:lineRule="auto"/>
        <w:rPr>
          <w:rFonts w:cs="Times New Roman"/>
          <w:szCs w:val="24"/>
        </w:rPr>
      </w:pPr>
    </w:p>
    <w:p w14:paraId="43BD8444" w14:textId="351CF773" w:rsidR="00D1498E" w:rsidRPr="00BF2901" w:rsidRDefault="00D1498E" w:rsidP="00BF2901">
      <w:pPr>
        <w:spacing w:after="0" w:line="480" w:lineRule="auto"/>
        <w:rPr>
          <w:rFonts w:cs="Times New Roman"/>
          <w:szCs w:val="24"/>
        </w:rPr>
      </w:pPr>
    </w:p>
    <w:sectPr w:rsidR="00D1498E" w:rsidRPr="00BF290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0289E2" w14:textId="77777777" w:rsidR="008E463C" w:rsidRDefault="008E463C" w:rsidP="00BF2901">
      <w:pPr>
        <w:spacing w:after="0" w:line="240" w:lineRule="auto"/>
      </w:pPr>
      <w:r>
        <w:separator/>
      </w:r>
    </w:p>
  </w:endnote>
  <w:endnote w:type="continuationSeparator" w:id="0">
    <w:p w14:paraId="6BDB44BC" w14:textId="77777777" w:rsidR="008E463C" w:rsidRDefault="008E463C" w:rsidP="00BF29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6D308C" w14:textId="77777777" w:rsidR="008E463C" w:rsidRDefault="008E463C" w:rsidP="00BF2901">
      <w:pPr>
        <w:spacing w:after="0" w:line="240" w:lineRule="auto"/>
      </w:pPr>
      <w:r>
        <w:separator/>
      </w:r>
    </w:p>
  </w:footnote>
  <w:footnote w:type="continuationSeparator" w:id="0">
    <w:p w14:paraId="7E76C257" w14:textId="77777777" w:rsidR="008E463C" w:rsidRDefault="008E463C" w:rsidP="00BF29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7427116"/>
      <w:docPartObj>
        <w:docPartGallery w:val="Page Numbers (Top of Page)"/>
        <w:docPartUnique/>
      </w:docPartObj>
    </w:sdtPr>
    <w:sdtEndPr>
      <w:rPr>
        <w:noProof/>
      </w:rPr>
    </w:sdtEndPr>
    <w:sdtContent>
      <w:p w14:paraId="35E1D498" w14:textId="71B7A4C7" w:rsidR="00972541" w:rsidRDefault="0097254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9F6513D" w14:textId="77777777" w:rsidR="00972541" w:rsidRDefault="009725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YxN7A0NDQ1MzS2NLJU0lEKTi0uzszPAykwqgUAbKNmeywAAAA="/>
  </w:docVars>
  <w:rsids>
    <w:rsidRoot w:val="003B3287"/>
    <w:rsid w:val="00023535"/>
    <w:rsid w:val="00073B08"/>
    <w:rsid w:val="00085678"/>
    <w:rsid w:val="00102E1E"/>
    <w:rsid w:val="002117CE"/>
    <w:rsid w:val="002235E2"/>
    <w:rsid w:val="002260F7"/>
    <w:rsid w:val="002E063A"/>
    <w:rsid w:val="002E0B49"/>
    <w:rsid w:val="002E2B8B"/>
    <w:rsid w:val="00366BC6"/>
    <w:rsid w:val="003B3287"/>
    <w:rsid w:val="0040137D"/>
    <w:rsid w:val="00403931"/>
    <w:rsid w:val="00417AC6"/>
    <w:rsid w:val="00432346"/>
    <w:rsid w:val="004D29EA"/>
    <w:rsid w:val="0052202B"/>
    <w:rsid w:val="0053309B"/>
    <w:rsid w:val="005E19ED"/>
    <w:rsid w:val="00606BC2"/>
    <w:rsid w:val="00616196"/>
    <w:rsid w:val="00657434"/>
    <w:rsid w:val="006B17B0"/>
    <w:rsid w:val="006F659F"/>
    <w:rsid w:val="00754C4C"/>
    <w:rsid w:val="00770D1D"/>
    <w:rsid w:val="007F45D9"/>
    <w:rsid w:val="00824C6E"/>
    <w:rsid w:val="008E463C"/>
    <w:rsid w:val="00972541"/>
    <w:rsid w:val="00B96BE1"/>
    <w:rsid w:val="00BF2901"/>
    <w:rsid w:val="00D1498E"/>
    <w:rsid w:val="00D178AA"/>
    <w:rsid w:val="00D6405A"/>
    <w:rsid w:val="00DC2E1B"/>
    <w:rsid w:val="00E15306"/>
    <w:rsid w:val="00E413B7"/>
    <w:rsid w:val="00EF6036"/>
    <w:rsid w:val="00F3442E"/>
    <w:rsid w:val="00F62B87"/>
    <w:rsid w:val="00F71B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9D40B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29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2901"/>
  </w:style>
  <w:style w:type="paragraph" w:styleId="Footer">
    <w:name w:val="footer"/>
    <w:basedOn w:val="Normal"/>
    <w:link w:val="FooterChar"/>
    <w:uiPriority w:val="99"/>
    <w:unhideWhenUsed/>
    <w:rsid w:val="00BF29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29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603603">
      <w:bodyDiv w:val="1"/>
      <w:marLeft w:val="0"/>
      <w:marRight w:val="0"/>
      <w:marTop w:val="0"/>
      <w:marBottom w:val="0"/>
      <w:divBdr>
        <w:top w:val="none" w:sz="0" w:space="0" w:color="auto"/>
        <w:left w:val="none" w:sz="0" w:space="0" w:color="auto"/>
        <w:bottom w:val="none" w:sz="0" w:space="0" w:color="auto"/>
        <w:right w:val="none" w:sz="0" w:space="0" w:color="auto"/>
      </w:divBdr>
      <w:divsChild>
        <w:div w:id="676155001">
          <w:marLeft w:val="0"/>
          <w:marRight w:val="0"/>
          <w:marTop w:val="0"/>
          <w:marBottom w:val="0"/>
          <w:divBdr>
            <w:top w:val="none" w:sz="0" w:space="0" w:color="auto"/>
            <w:left w:val="none" w:sz="0" w:space="0" w:color="auto"/>
            <w:bottom w:val="none" w:sz="0" w:space="0" w:color="auto"/>
            <w:right w:val="none" w:sz="0" w:space="0" w:color="auto"/>
          </w:divBdr>
        </w:div>
      </w:divsChild>
    </w:div>
    <w:div w:id="463624127">
      <w:bodyDiv w:val="1"/>
      <w:marLeft w:val="0"/>
      <w:marRight w:val="0"/>
      <w:marTop w:val="0"/>
      <w:marBottom w:val="0"/>
      <w:divBdr>
        <w:top w:val="none" w:sz="0" w:space="0" w:color="auto"/>
        <w:left w:val="none" w:sz="0" w:space="0" w:color="auto"/>
        <w:bottom w:val="none" w:sz="0" w:space="0" w:color="auto"/>
        <w:right w:val="none" w:sz="0" w:space="0" w:color="auto"/>
      </w:divBdr>
      <w:divsChild>
        <w:div w:id="980842201">
          <w:marLeft w:val="0"/>
          <w:marRight w:val="0"/>
          <w:marTop w:val="0"/>
          <w:marBottom w:val="0"/>
          <w:divBdr>
            <w:top w:val="none" w:sz="0" w:space="0" w:color="auto"/>
            <w:left w:val="none" w:sz="0" w:space="0" w:color="auto"/>
            <w:bottom w:val="none" w:sz="0" w:space="0" w:color="auto"/>
            <w:right w:val="none" w:sz="0" w:space="0" w:color="auto"/>
          </w:divBdr>
        </w:div>
      </w:divsChild>
    </w:div>
    <w:div w:id="1048915411">
      <w:bodyDiv w:val="1"/>
      <w:marLeft w:val="0"/>
      <w:marRight w:val="0"/>
      <w:marTop w:val="0"/>
      <w:marBottom w:val="0"/>
      <w:divBdr>
        <w:top w:val="none" w:sz="0" w:space="0" w:color="auto"/>
        <w:left w:val="none" w:sz="0" w:space="0" w:color="auto"/>
        <w:bottom w:val="none" w:sz="0" w:space="0" w:color="auto"/>
        <w:right w:val="none" w:sz="0" w:space="0" w:color="auto"/>
      </w:divBdr>
      <w:divsChild>
        <w:div w:id="2051804166">
          <w:marLeft w:val="0"/>
          <w:marRight w:val="0"/>
          <w:marTop w:val="0"/>
          <w:marBottom w:val="0"/>
          <w:divBdr>
            <w:top w:val="none" w:sz="0" w:space="0" w:color="auto"/>
            <w:left w:val="none" w:sz="0" w:space="0" w:color="auto"/>
            <w:bottom w:val="none" w:sz="0" w:space="0" w:color="auto"/>
            <w:right w:val="none" w:sz="0" w:space="0" w:color="auto"/>
          </w:divBdr>
        </w:div>
      </w:divsChild>
    </w:div>
    <w:div w:id="1886215500">
      <w:bodyDiv w:val="1"/>
      <w:marLeft w:val="0"/>
      <w:marRight w:val="0"/>
      <w:marTop w:val="0"/>
      <w:marBottom w:val="0"/>
      <w:divBdr>
        <w:top w:val="none" w:sz="0" w:space="0" w:color="auto"/>
        <w:left w:val="none" w:sz="0" w:space="0" w:color="auto"/>
        <w:bottom w:val="none" w:sz="0" w:space="0" w:color="auto"/>
        <w:right w:val="none" w:sz="0" w:space="0" w:color="auto"/>
      </w:divBdr>
      <w:divsChild>
        <w:div w:id="17187779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861</Words>
  <Characters>4911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2022-04-03T17:31:00Z</dcterms:created>
  <dcterms:modified xsi:type="dcterms:W3CDTF">2022-04-03T18:12:00Z</dcterms:modified>
</cp:coreProperties>
</file>