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75A98" w14:textId="77777777" w:rsid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p>
    <w:p w14:paraId="355981B1" w14:textId="77777777" w:rsid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p>
    <w:p w14:paraId="06C763E4" w14:textId="77777777" w:rsid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p>
    <w:p w14:paraId="562986D0" w14:textId="77777777" w:rsid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p>
    <w:p w14:paraId="4EA7A253" w14:textId="77777777" w:rsid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p>
    <w:p w14:paraId="1A02AFD3" w14:textId="77777777" w:rsid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p>
    <w:p w14:paraId="05A9000B" w14:textId="77777777" w:rsid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p>
    <w:p w14:paraId="49CBAB24" w14:textId="77777777" w:rsid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p>
    <w:p w14:paraId="2CABBC2F" w14:textId="77777777" w:rsidR="009C7DD8" w:rsidRDefault="009C7DD8" w:rsidP="00D87C44">
      <w:pPr>
        <w:widowControl w:val="0"/>
        <w:spacing w:after="0" w:line="480" w:lineRule="auto"/>
        <w:contextualSpacing/>
        <w:jc w:val="center"/>
        <w:rPr>
          <w:rFonts w:ascii="Times New Roman" w:eastAsia="Times New Roman" w:hAnsi="Times New Roman" w:cs="Times New Roman"/>
          <w:sz w:val="24"/>
          <w:szCs w:val="24"/>
        </w:rPr>
      </w:pPr>
    </w:p>
    <w:p w14:paraId="0243DC75" w14:textId="77777777" w:rsidR="009C7DD8" w:rsidRDefault="009C7DD8" w:rsidP="00D87C44">
      <w:pPr>
        <w:widowControl w:val="0"/>
        <w:spacing w:after="0" w:line="480" w:lineRule="auto"/>
        <w:contextualSpacing/>
        <w:jc w:val="center"/>
        <w:rPr>
          <w:rFonts w:ascii="Times New Roman" w:eastAsia="Times New Roman" w:hAnsi="Times New Roman" w:cs="Times New Roman"/>
          <w:sz w:val="24"/>
          <w:szCs w:val="24"/>
        </w:rPr>
      </w:pPr>
    </w:p>
    <w:p w14:paraId="74D4CEAD" w14:textId="77777777" w:rsidR="009C7DD8" w:rsidRDefault="009C7DD8" w:rsidP="00D87C44">
      <w:pPr>
        <w:widowControl w:val="0"/>
        <w:spacing w:after="0" w:line="480" w:lineRule="auto"/>
        <w:contextualSpacing/>
        <w:jc w:val="center"/>
        <w:rPr>
          <w:rFonts w:ascii="Times New Roman" w:eastAsia="Times New Roman" w:hAnsi="Times New Roman" w:cs="Times New Roman"/>
          <w:sz w:val="24"/>
          <w:szCs w:val="24"/>
        </w:rPr>
      </w:pPr>
    </w:p>
    <w:p w14:paraId="1AE89E62" w14:textId="006D1BEC" w:rsid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Goodwill Impairment Testing</w:t>
      </w:r>
    </w:p>
    <w:p w14:paraId="0C06F133" w14:textId="72D952F6" w:rsid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Student Name</w:t>
      </w:r>
    </w:p>
    <w:p w14:paraId="16509F1B" w14:textId="59BCDFC6" w:rsidR="00D87C44" w:rsidRP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Name of Institution</w:t>
      </w:r>
    </w:p>
    <w:p w14:paraId="7513FD48" w14:textId="77777777" w:rsidR="00D87C44" w:rsidRDefault="00D87C44">
      <w:pPr>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E883DEB" w14:textId="729C6678" w:rsidR="00D87C44" w:rsidRPr="00D87C44" w:rsidRDefault="00D87C44" w:rsidP="00D87C44">
      <w:pPr>
        <w:widowControl w:val="0"/>
        <w:spacing w:after="0" w:line="48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Goodwill Impairment Testing</w:t>
      </w:r>
    </w:p>
    <w:p w14:paraId="02C0D230" w14:textId="0A8795BE" w:rsidR="00DF501B" w:rsidRPr="009973F5" w:rsidRDefault="00DF501B" w:rsidP="005A7634">
      <w:pPr>
        <w:widowControl w:val="0"/>
        <w:spacing w:after="0" w:line="480" w:lineRule="auto"/>
        <w:contextualSpacing/>
        <w:rPr>
          <w:rFonts w:ascii="Times New Roman" w:eastAsia="Times New Roman" w:hAnsi="Times New Roman" w:cs="Times New Roman"/>
          <w:b/>
          <w:bCs/>
          <w:sz w:val="24"/>
          <w:szCs w:val="24"/>
        </w:rPr>
      </w:pPr>
      <w:r w:rsidRPr="009973F5">
        <w:rPr>
          <w:rFonts w:ascii="Times New Roman" w:eastAsia="Times New Roman" w:hAnsi="Times New Roman" w:cs="Times New Roman"/>
          <w:b/>
          <w:bCs/>
          <w:sz w:val="24"/>
          <w:szCs w:val="24"/>
        </w:rPr>
        <w:t xml:space="preserve">Goodwill Impairment </w:t>
      </w:r>
      <w:r w:rsidR="00AE146F" w:rsidRPr="009973F5">
        <w:rPr>
          <w:rFonts w:ascii="Times New Roman" w:eastAsia="Times New Roman" w:hAnsi="Times New Roman" w:cs="Times New Roman"/>
          <w:b/>
          <w:bCs/>
          <w:sz w:val="24"/>
          <w:szCs w:val="24"/>
        </w:rPr>
        <w:t>W</w:t>
      </w:r>
      <w:r w:rsidRPr="009973F5">
        <w:rPr>
          <w:rFonts w:ascii="Times New Roman" w:eastAsia="Times New Roman" w:hAnsi="Times New Roman" w:cs="Times New Roman"/>
          <w:b/>
          <w:bCs/>
          <w:sz w:val="24"/>
          <w:szCs w:val="24"/>
        </w:rPr>
        <w:t>hen Company has Similar Economic Characteristics</w:t>
      </w:r>
    </w:p>
    <w:p w14:paraId="4BA64704" w14:textId="44FF34DA" w:rsidR="00E0333D" w:rsidRDefault="00E075CE" w:rsidP="00E0333D">
      <w:pPr>
        <w:widowControl w:val="0"/>
        <w:spacing w:after="0" w:line="480" w:lineRule="auto"/>
        <w:ind w:firstLine="720"/>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Accounting standards prohibit entities not subject to the accounting alternative from amortizing goodwill; rather, </w:t>
      </w:r>
      <w:r w:rsidR="004F7680">
        <w:rPr>
          <w:rFonts w:ascii="Times New Roman" w:eastAsia="Times New Roman" w:hAnsi="Times New Roman" w:cs="Times New Roman"/>
          <w:sz w:val="24"/>
          <w:szCs w:val="24"/>
        </w:rPr>
        <w:t xml:space="preserve">they must conduct goodwill impairment tests </w:t>
      </w:r>
      <w:r w:rsidRPr="009973F5">
        <w:rPr>
          <w:rFonts w:ascii="Times New Roman" w:eastAsia="Times New Roman" w:hAnsi="Times New Roman" w:cs="Times New Roman"/>
          <w:sz w:val="24"/>
          <w:szCs w:val="24"/>
        </w:rPr>
        <w:t>at the reporting unit level on an annual basis or when a triggering event occurs (ASC 350-20-35-1</w:t>
      </w:r>
      <w:r w:rsidR="007B7498">
        <w:rPr>
          <w:rFonts w:ascii="Times New Roman" w:eastAsia="Times New Roman" w:hAnsi="Times New Roman" w:cs="Times New Roman"/>
          <w:sz w:val="24"/>
          <w:szCs w:val="24"/>
        </w:rPr>
        <w:t>; ASC 350-20-35-28 FASB n.d. a</w:t>
      </w:r>
      <w:r w:rsidRPr="009973F5">
        <w:rPr>
          <w:rFonts w:ascii="Times New Roman" w:eastAsia="Times New Roman" w:hAnsi="Times New Roman" w:cs="Times New Roman"/>
          <w:sz w:val="24"/>
          <w:szCs w:val="24"/>
        </w:rPr>
        <w:t>).</w:t>
      </w:r>
      <w:r w:rsidR="000D76FC">
        <w:rPr>
          <w:rFonts w:ascii="Times New Roman" w:eastAsia="Times New Roman" w:hAnsi="Times New Roman" w:cs="Times New Roman"/>
          <w:sz w:val="24"/>
          <w:szCs w:val="24"/>
        </w:rPr>
        <w:t xml:space="preserve"> </w:t>
      </w:r>
      <w:r w:rsidR="002E7335" w:rsidRPr="009973F5">
        <w:rPr>
          <w:rFonts w:ascii="Times New Roman" w:eastAsia="Times New Roman" w:hAnsi="Times New Roman" w:cs="Times New Roman"/>
          <w:sz w:val="24"/>
          <w:szCs w:val="24"/>
        </w:rPr>
        <w:t xml:space="preserve">ASC 350-20-35-35 permits business entities to aggregate two or more components of an operating segment into a single reporting unit if the components share similar economic characteristics </w:t>
      </w:r>
      <w:r w:rsidR="00050EF0">
        <w:rPr>
          <w:rFonts w:ascii="Times New Roman" w:eastAsia="Times New Roman" w:hAnsi="Times New Roman" w:cs="Times New Roman"/>
          <w:sz w:val="24"/>
          <w:szCs w:val="24"/>
        </w:rPr>
        <w:t>as defined under ASC</w:t>
      </w:r>
      <w:r w:rsidR="002E7335" w:rsidRPr="009973F5">
        <w:rPr>
          <w:rFonts w:ascii="Times New Roman" w:eastAsia="Times New Roman" w:hAnsi="Times New Roman" w:cs="Times New Roman"/>
          <w:sz w:val="24"/>
          <w:szCs w:val="24"/>
        </w:rPr>
        <w:t xml:space="preserve"> 280-10-50-11</w:t>
      </w:r>
      <w:r w:rsidR="00050EF0">
        <w:rPr>
          <w:rFonts w:ascii="Times New Roman" w:eastAsia="Times New Roman" w:hAnsi="Times New Roman" w:cs="Times New Roman"/>
          <w:sz w:val="24"/>
          <w:szCs w:val="24"/>
        </w:rPr>
        <w:t xml:space="preserve"> (FASB, n.d. b</w:t>
      </w:r>
      <w:r w:rsidR="002E7335" w:rsidRPr="009973F5">
        <w:rPr>
          <w:rFonts w:ascii="Times New Roman" w:eastAsia="Times New Roman" w:hAnsi="Times New Roman" w:cs="Times New Roman"/>
          <w:sz w:val="24"/>
          <w:szCs w:val="24"/>
        </w:rPr>
        <w:t xml:space="preserve">). </w:t>
      </w:r>
      <w:r w:rsidR="00050EF0">
        <w:rPr>
          <w:rFonts w:ascii="Times New Roman" w:eastAsia="Times New Roman" w:hAnsi="Times New Roman" w:cs="Times New Roman"/>
          <w:sz w:val="24"/>
          <w:szCs w:val="24"/>
        </w:rPr>
        <w:t>Thus, the reporting unit for goodwill impairment purposes is the same as the operating segment when the components in the segment share similar operating characteristics (PWC, 2021). Companies are required to assign</w:t>
      </w:r>
      <w:r w:rsidR="002E7335" w:rsidRPr="009973F5">
        <w:rPr>
          <w:rFonts w:ascii="Times New Roman" w:eastAsia="Times New Roman" w:hAnsi="Times New Roman" w:cs="Times New Roman"/>
          <w:sz w:val="24"/>
          <w:szCs w:val="24"/>
        </w:rPr>
        <w:t xml:space="preserve"> assets and liabilities to the reporting </w:t>
      </w:r>
      <w:r w:rsidR="00050EF0">
        <w:rPr>
          <w:rFonts w:ascii="Times New Roman" w:eastAsia="Times New Roman" w:hAnsi="Times New Roman" w:cs="Times New Roman"/>
          <w:sz w:val="24"/>
          <w:szCs w:val="24"/>
        </w:rPr>
        <w:t>unit</w:t>
      </w:r>
      <w:r w:rsidR="002E7335" w:rsidRPr="009973F5">
        <w:rPr>
          <w:rFonts w:ascii="Times New Roman" w:eastAsia="Times New Roman" w:hAnsi="Times New Roman" w:cs="Times New Roman"/>
          <w:sz w:val="24"/>
          <w:szCs w:val="24"/>
        </w:rPr>
        <w:t xml:space="preserve"> at the point of acquisition</w:t>
      </w:r>
      <w:r w:rsidR="003700BB">
        <w:rPr>
          <w:rFonts w:ascii="Times New Roman" w:eastAsia="Times New Roman" w:hAnsi="Times New Roman" w:cs="Times New Roman"/>
          <w:sz w:val="24"/>
          <w:szCs w:val="24"/>
        </w:rPr>
        <w:t xml:space="preserve"> (ASC 350-20-35-39 FASB, n.d. b)</w:t>
      </w:r>
      <w:r w:rsidR="002E7335" w:rsidRPr="009973F5">
        <w:rPr>
          <w:rFonts w:ascii="Times New Roman" w:eastAsia="Times New Roman" w:hAnsi="Times New Roman" w:cs="Times New Roman"/>
          <w:sz w:val="24"/>
          <w:szCs w:val="24"/>
        </w:rPr>
        <w:t xml:space="preserve">. If the </w:t>
      </w:r>
      <w:r w:rsidR="00BF7EB1">
        <w:rPr>
          <w:rFonts w:ascii="Times New Roman" w:eastAsia="Times New Roman" w:hAnsi="Times New Roman" w:cs="Times New Roman"/>
          <w:sz w:val="24"/>
          <w:szCs w:val="24"/>
        </w:rPr>
        <w:t>companies</w:t>
      </w:r>
      <w:r w:rsidR="002E7335" w:rsidRPr="009973F5">
        <w:rPr>
          <w:rFonts w:ascii="Times New Roman" w:eastAsia="Times New Roman" w:hAnsi="Times New Roman" w:cs="Times New Roman"/>
          <w:sz w:val="24"/>
          <w:szCs w:val="24"/>
        </w:rPr>
        <w:t xml:space="preserve"> share similar economic characteristics, the assets and liabilities acquired will be accounted for in the financial statements of the single reporting unit. The acquired goodwill is calculated as the acquired subsidiary’s fair value less the fair value of the individual assets acquired net the assumed liabilities </w:t>
      </w:r>
      <w:r w:rsidRPr="009973F5">
        <w:rPr>
          <w:rFonts w:ascii="Times New Roman" w:eastAsia="Times New Roman" w:hAnsi="Times New Roman" w:cs="Times New Roman"/>
          <w:sz w:val="24"/>
          <w:szCs w:val="24"/>
        </w:rPr>
        <w:t xml:space="preserve">and is accounted for within the reporting unit </w:t>
      </w:r>
      <w:r w:rsidR="002E7335" w:rsidRPr="009973F5">
        <w:rPr>
          <w:rFonts w:ascii="Times New Roman" w:eastAsia="Times New Roman" w:hAnsi="Times New Roman" w:cs="Times New Roman"/>
          <w:sz w:val="24"/>
          <w:szCs w:val="24"/>
        </w:rPr>
        <w:t xml:space="preserve">(ASC 350-20-35-42). </w:t>
      </w:r>
    </w:p>
    <w:p w14:paraId="450BEF6F" w14:textId="7A4F6868" w:rsidR="00E0333D" w:rsidRDefault="003700BB" w:rsidP="009973F5">
      <w:pPr>
        <w:widowControl w:val="0"/>
        <w:spacing w:after="0" w:line="480" w:lineRule="auto"/>
        <w:ind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E0333D">
        <w:rPr>
          <w:rFonts w:ascii="Times New Roman" w:eastAsia="Times New Roman" w:hAnsi="Times New Roman" w:cs="Times New Roman"/>
          <w:sz w:val="24"/>
          <w:szCs w:val="24"/>
        </w:rPr>
        <w:t>preliminary step in</w:t>
      </w:r>
      <w:r>
        <w:rPr>
          <w:rFonts w:ascii="Times New Roman" w:eastAsia="Times New Roman" w:hAnsi="Times New Roman" w:cs="Times New Roman"/>
          <w:sz w:val="24"/>
          <w:szCs w:val="24"/>
        </w:rPr>
        <w:t xml:space="preserve"> goodwill impairment testing is performing the qualitative assessment to determine whether it is more likely than not that the reporting unit’s fair value is less than its goodwill-inclusive carrying amount (ASC 350-20-35-3A). However, the entity can elect to bypass the qualitative assessment and proceed straight to the quantitative assessment </w:t>
      </w:r>
      <w:r w:rsidR="00E0333D">
        <w:rPr>
          <w:rFonts w:ascii="Times New Roman" w:eastAsia="Times New Roman" w:hAnsi="Times New Roman" w:cs="Times New Roman"/>
          <w:sz w:val="24"/>
          <w:szCs w:val="24"/>
        </w:rPr>
        <w:t xml:space="preserve">in a given period and resume qualitative evaluations in later periods (ASC 350-20-35-3B). If the entity determines that goodwill is unlikely to be impairment, impairment testing is considered completed for the period provided that no triggering event occurs. Otherwise, the reporting unit </w:t>
      </w:r>
      <w:r w:rsidR="00E0333D">
        <w:rPr>
          <w:rFonts w:ascii="Times New Roman" w:eastAsia="Times New Roman" w:hAnsi="Times New Roman" w:cs="Times New Roman"/>
          <w:sz w:val="24"/>
          <w:szCs w:val="24"/>
        </w:rPr>
        <w:lastRenderedPageBreak/>
        <w:t>will proceed to step 1 of goodwill impairment testing: comparing the unit’s fair value to its goodwill-inclusive carrying amount (ASC 350-20-35-04)</w:t>
      </w:r>
      <w:r w:rsidR="000327EB">
        <w:rPr>
          <w:rFonts w:ascii="Times New Roman" w:eastAsia="Times New Roman" w:hAnsi="Times New Roman" w:cs="Times New Roman"/>
          <w:sz w:val="24"/>
          <w:szCs w:val="24"/>
        </w:rPr>
        <w:t>. If the reporting unit has a positive carrying amount and its fair value is higher than the carrying value, goodwill is unimpaired and the second step is deemed unnecessary (ASC 350-20-35-04).</w:t>
      </w:r>
      <w:r w:rsidR="00B85C5E">
        <w:rPr>
          <w:rFonts w:ascii="Times New Roman" w:eastAsia="Times New Roman" w:hAnsi="Times New Roman" w:cs="Times New Roman"/>
          <w:sz w:val="24"/>
          <w:szCs w:val="24"/>
        </w:rPr>
        <w:t xml:space="preserve"> If the carrying value is higher than the fair value, the unit conducts step 2 of impairment testing to determine the impairment loss as the difference between the implied fair value of its goodwill (as determined in step 1) and its goodwill carrying value, restricted to the latter (ASC </w:t>
      </w:r>
      <w:r w:rsidR="00F7650C">
        <w:rPr>
          <w:rFonts w:ascii="Times New Roman" w:eastAsia="Times New Roman" w:hAnsi="Times New Roman" w:cs="Times New Roman"/>
          <w:sz w:val="24"/>
          <w:szCs w:val="24"/>
        </w:rPr>
        <w:t>350-20-35-11).</w:t>
      </w:r>
    </w:p>
    <w:p w14:paraId="6CD660BF" w14:textId="75ED60D8" w:rsidR="00AE146F" w:rsidRPr="009973F5" w:rsidRDefault="00AE146F" w:rsidP="00E0333D">
      <w:pPr>
        <w:widowControl w:val="0"/>
        <w:spacing w:after="0" w:line="480" w:lineRule="auto"/>
        <w:contextualSpacing/>
        <w:rPr>
          <w:rFonts w:ascii="Times New Roman" w:eastAsia="Times New Roman" w:hAnsi="Times New Roman" w:cs="Times New Roman"/>
          <w:b/>
          <w:bCs/>
          <w:sz w:val="24"/>
          <w:szCs w:val="24"/>
        </w:rPr>
      </w:pPr>
      <w:r w:rsidRPr="009973F5">
        <w:rPr>
          <w:rFonts w:ascii="Times New Roman" w:eastAsia="Times New Roman" w:hAnsi="Times New Roman" w:cs="Times New Roman"/>
          <w:b/>
          <w:bCs/>
          <w:sz w:val="24"/>
          <w:szCs w:val="24"/>
        </w:rPr>
        <w:t>Goodwill Impairment When Company Does Not Have Similar Economic Characteristics</w:t>
      </w:r>
    </w:p>
    <w:p w14:paraId="1645B2F5" w14:textId="36672308" w:rsidR="002E7335" w:rsidRPr="009973F5" w:rsidRDefault="00F7650C" w:rsidP="00F7650C">
      <w:pPr>
        <w:widowControl w:val="0"/>
        <w:spacing w:after="0" w:line="480" w:lineRule="auto"/>
        <w:ind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steps followed if goodwill impairment testing when the company does not have similar economic characteristics is similar to the steps described above expect that the companies are considered separate reporting entities for purposes of goodwill impairment. </w:t>
      </w:r>
      <w:r w:rsidR="002E7335" w:rsidRPr="009973F5">
        <w:rPr>
          <w:rFonts w:ascii="Times New Roman" w:eastAsia="Times New Roman" w:hAnsi="Times New Roman" w:cs="Times New Roman"/>
          <w:sz w:val="24"/>
          <w:szCs w:val="24"/>
        </w:rPr>
        <w:t>In the assignment of assets and liabilities to various reporting entities at the acquisition date, only assets and liabilities that will be employed in the units operations will be assigned to the unit (ASC 350-20-35-39). The accounting standards code further restricts the assignment of only those assets and liabilities that will be included in the calculation of the reported unit’s fair value to the unit (ASC 350-20-35-39).</w:t>
      </w:r>
      <w:r>
        <w:rPr>
          <w:rFonts w:ascii="Times New Roman" w:eastAsia="Times New Roman" w:hAnsi="Times New Roman" w:cs="Times New Roman"/>
          <w:sz w:val="24"/>
          <w:szCs w:val="24"/>
        </w:rPr>
        <w:t xml:space="preserve"> W</w:t>
      </w:r>
      <w:r w:rsidR="002E7335" w:rsidRPr="009973F5">
        <w:rPr>
          <w:rFonts w:ascii="Times New Roman" w:eastAsia="Times New Roman" w:hAnsi="Times New Roman" w:cs="Times New Roman"/>
          <w:sz w:val="24"/>
          <w:szCs w:val="24"/>
        </w:rPr>
        <w:t>hen a company has multiple reporting units, its assets and liabilities may be employed in the operations of more than one unit. In such cases, accounting standards require that the assets and liabilities be split between the units using a reasonable, supportable, and consistent methodology. The code provides proportional allocation based on the fair value of the reporting units and proportional benefits received from the resource as examples of reasonable methodologies for the assignment of shared assets and liabilities among reporting units (ASC 350-20-35-40).</w:t>
      </w:r>
      <w:r>
        <w:rPr>
          <w:rFonts w:ascii="Times New Roman" w:eastAsia="Times New Roman" w:hAnsi="Times New Roman" w:cs="Times New Roman"/>
          <w:sz w:val="24"/>
          <w:szCs w:val="24"/>
        </w:rPr>
        <w:t xml:space="preserve"> </w:t>
      </w:r>
      <w:r w:rsidR="002E7335" w:rsidRPr="009973F5">
        <w:rPr>
          <w:rFonts w:ascii="Times New Roman" w:eastAsia="Times New Roman" w:hAnsi="Times New Roman" w:cs="Times New Roman"/>
          <w:sz w:val="24"/>
          <w:szCs w:val="24"/>
        </w:rPr>
        <w:t xml:space="preserve">The acquired goodwill is then allocated to companies based on the extent to which the reporting unit is expected to benefit from the synergies of the acquisition regardless of </w:t>
      </w:r>
      <w:r w:rsidR="002E7335" w:rsidRPr="009973F5">
        <w:rPr>
          <w:rFonts w:ascii="Times New Roman" w:eastAsia="Times New Roman" w:hAnsi="Times New Roman" w:cs="Times New Roman"/>
          <w:sz w:val="24"/>
          <w:szCs w:val="24"/>
        </w:rPr>
        <w:lastRenderedPageBreak/>
        <w:t>whether other assets and liabilities of the acquiree were assigned to the unit (ASC 350-20-35-41)</w:t>
      </w:r>
    </w:p>
    <w:p w14:paraId="0AEF0FFD" w14:textId="77777777" w:rsidR="002E7335" w:rsidRPr="009973F5" w:rsidRDefault="002E7335" w:rsidP="009973F5">
      <w:pPr>
        <w:widowControl w:val="0"/>
        <w:spacing w:after="0" w:line="480" w:lineRule="auto"/>
        <w:ind w:firstLine="720"/>
        <w:contextualSpacing/>
        <w:rPr>
          <w:rFonts w:ascii="Times New Roman" w:eastAsia="Times New Roman" w:hAnsi="Times New Roman" w:cs="Times New Roman"/>
          <w:sz w:val="24"/>
          <w:szCs w:val="24"/>
        </w:rPr>
      </w:pPr>
    </w:p>
    <w:p w14:paraId="10450C1E" w14:textId="3260FC3E" w:rsidR="002E7335" w:rsidRPr="009973F5" w:rsidRDefault="00AE146F" w:rsidP="00DA070C">
      <w:pPr>
        <w:widowControl w:val="0"/>
        <w:spacing w:after="0" w:line="480" w:lineRule="auto"/>
        <w:contextualSpacing/>
        <w:rPr>
          <w:rFonts w:ascii="Times New Roman" w:eastAsia="Times New Roman" w:hAnsi="Times New Roman" w:cs="Times New Roman"/>
          <w:b/>
          <w:bCs/>
          <w:sz w:val="24"/>
          <w:szCs w:val="24"/>
        </w:rPr>
      </w:pPr>
      <w:r w:rsidRPr="009973F5">
        <w:rPr>
          <w:rFonts w:ascii="Times New Roman" w:eastAsia="Times New Roman" w:hAnsi="Times New Roman" w:cs="Times New Roman"/>
          <w:b/>
          <w:bCs/>
          <w:sz w:val="24"/>
          <w:szCs w:val="24"/>
        </w:rPr>
        <w:t>Goodwill Impairment for a Public Company</w:t>
      </w:r>
    </w:p>
    <w:p w14:paraId="3456EDD6" w14:textId="2B67A7B1" w:rsidR="002E7335" w:rsidRPr="009973F5" w:rsidRDefault="002E7335" w:rsidP="009973F5">
      <w:pPr>
        <w:widowControl w:val="0"/>
        <w:spacing w:after="0" w:line="480" w:lineRule="auto"/>
        <w:ind w:firstLine="720"/>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Public companies are required to conduct tests for goodwill impairment on an annual basis (ASC 350-20-35-28). Furthermore, the companies’ reporting units must perform an impairment test between the annual tests if there occurs an event or change in circumstances that suggests that the reporting unit’s fair value is less than its carrying value (ASC 350-20-35-28)</w:t>
      </w:r>
      <w:r w:rsidR="00DA070C">
        <w:rPr>
          <w:rFonts w:ascii="Times New Roman" w:eastAsia="Times New Roman" w:hAnsi="Times New Roman" w:cs="Times New Roman"/>
          <w:sz w:val="24"/>
          <w:szCs w:val="24"/>
        </w:rPr>
        <w:t>. Such an event is referred to as a triggering event</w:t>
      </w:r>
    </w:p>
    <w:p w14:paraId="14EAFD12" w14:textId="4298FB2E" w:rsidR="00AE146F" w:rsidRDefault="00AE146F" w:rsidP="00DA070C">
      <w:pPr>
        <w:widowControl w:val="0"/>
        <w:spacing w:after="0" w:line="480" w:lineRule="auto"/>
        <w:contextualSpacing/>
        <w:rPr>
          <w:rFonts w:ascii="Times New Roman" w:eastAsia="Times New Roman" w:hAnsi="Times New Roman" w:cs="Times New Roman"/>
          <w:b/>
          <w:bCs/>
          <w:sz w:val="24"/>
          <w:szCs w:val="24"/>
        </w:rPr>
      </w:pPr>
      <w:r w:rsidRPr="009973F5">
        <w:rPr>
          <w:rFonts w:ascii="Times New Roman" w:eastAsia="Times New Roman" w:hAnsi="Times New Roman" w:cs="Times New Roman"/>
          <w:b/>
          <w:bCs/>
          <w:sz w:val="24"/>
          <w:szCs w:val="24"/>
        </w:rPr>
        <w:t>Goodwill Impairment for a Private Company</w:t>
      </w:r>
    </w:p>
    <w:p w14:paraId="01E8F14D" w14:textId="5320DCCB" w:rsidR="00DA070C" w:rsidRPr="00DA070C" w:rsidRDefault="00DA070C" w:rsidP="00DA070C">
      <w:pPr>
        <w:widowControl w:val="0"/>
        <w:spacing w:after="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b/>
      </w:r>
      <w:r>
        <w:rPr>
          <w:rFonts w:ascii="Times New Roman" w:eastAsia="Times New Roman" w:hAnsi="Times New Roman" w:cs="Times New Roman"/>
          <w:sz w:val="24"/>
          <w:szCs w:val="24"/>
        </w:rPr>
        <w:t xml:space="preserve">Private companies can follow the same procedure as public companies in accounting for goodwill or could elect to use the accounting alternative for goodwill (described below), as permitted under </w:t>
      </w:r>
      <w:r w:rsidR="00ED7946">
        <w:rPr>
          <w:rFonts w:ascii="Times New Roman" w:eastAsia="Times New Roman" w:hAnsi="Times New Roman" w:cs="Times New Roman"/>
          <w:sz w:val="24"/>
          <w:szCs w:val="24"/>
        </w:rPr>
        <w:t>ASC 350-20-15-4 (FASB, n.d. a)</w:t>
      </w:r>
    </w:p>
    <w:p w14:paraId="4CD9EEFD" w14:textId="6B98123C" w:rsidR="002E7335" w:rsidRPr="009973F5" w:rsidRDefault="00AE146F" w:rsidP="00ED7946">
      <w:pPr>
        <w:widowControl w:val="0"/>
        <w:spacing w:after="0" w:line="480" w:lineRule="auto"/>
        <w:contextualSpacing/>
        <w:rPr>
          <w:rFonts w:ascii="Times New Roman" w:eastAsia="Times New Roman" w:hAnsi="Times New Roman" w:cs="Times New Roman"/>
          <w:b/>
          <w:bCs/>
          <w:sz w:val="24"/>
          <w:szCs w:val="24"/>
        </w:rPr>
      </w:pPr>
      <w:r w:rsidRPr="009973F5">
        <w:rPr>
          <w:rFonts w:ascii="Times New Roman" w:eastAsia="Times New Roman" w:hAnsi="Times New Roman" w:cs="Times New Roman"/>
          <w:b/>
          <w:bCs/>
          <w:sz w:val="24"/>
          <w:szCs w:val="24"/>
        </w:rPr>
        <w:t xml:space="preserve">Goodwill Impairment </w:t>
      </w:r>
      <w:r w:rsidR="002B387D" w:rsidRPr="009973F5">
        <w:rPr>
          <w:rFonts w:ascii="Times New Roman" w:eastAsia="Times New Roman" w:hAnsi="Times New Roman" w:cs="Times New Roman"/>
          <w:b/>
          <w:bCs/>
          <w:sz w:val="24"/>
          <w:szCs w:val="24"/>
        </w:rPr>
        <w:t>with Election of</w:t>
      </w:r>
      <w:r w:rsidRPr="009973F5">
        <w:rPr>
          <w:rFonts w:ascii="Times New Roman" w:eastAsia="Times New Roman" w:hAnsi="Times New Roman" w:cs="Times New Roman"/>
          <w:b/>
          <w:bCs/>
          <w:sz w:val="24"/>
          <w:szCs w:val="24"/>
        </w:rPr>
        <w:t xml:space="preserve"> Accounting</w:t>
      </w:r>
      <w:r w:rsidR="002B387D" w:rsidRPr="009973F5">
        <w:rPr>
          <w:rFonts w:ascii="Times New Roman" w:eastAsia="Times New Roman" w:hAnsi="Times New Roman" w:cs="Times New Roman"/>
          <w:b/>
          <w:bCs/>
          <w:sz w:val="24"/>
          <w:szCs w:val="24"/>
        </w:rPr>
        <w:t xml:space="preserve"> Alternative</w:t>
      </w:r>
    </w:p>
    <w:p w14:paraId="55AB91E9" w14:textId="44FB2CD0" w:rsidR="002E7335" w:rsidRPr="009973F5" w:rsidRDefault="00C03262" w:rsidP="00ED7946">
      <w:pPr>
        <w:widowControl w:val="0"/>
        <w:spacing w:after="0" w:line="480" w:lineRule="auto"/>
        <w:ind w:firstLine="720"/>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Private companies and not-for-profit </w:t>
      </w:r>
      <w:r w:rsidR="00ED7946" w:rsidRPr="009973F5">
        <w:rPr>
          <w:rFonts w:ascii="Times New Roman" w:eastAsia="Times New Roman" w:hAnsi="Times New Roman" w:cs="Times New Roman"/>
          <w:sz w:val="24"/>
          <w:szCs w:val="24"/>
        </w:rPr>
        <w:t>entities</w:t>
      </w:r>
      <w:r w:rsidRPr="009973F5">
        <w:rPr>
          <w:rFonts w:ascii="Times New Roman" w:eastAsia="Times New Roman" w:hAnsi="Times New Roman" w:cs="Times New Roman"/>
          <w:sz w:val="24"/>
          <w:szCs w:val="24"/>
        </w:rPr>
        <w:t xml:space="preserve"> may elect to apply the accounting alternative in </w:t>
      </w:r>
      <w:r w:rsidR="00A22273" w:rsidRPr="009973F5">
        <w:rPr>
          <w:rFonts w:ascii="Times New Roman" w:eastAsia="Times New Roman" w:hAnsi="Times New Roman" w:cs="Times New Roman"/>
          <w:sz w:val="24"/>
          <w:szCs w:val="24"/>
        </w:rPr>
        <w:t>the subsequent accounting for goodwill acquired in a business combination or in an acquisition by an NFP following for initial recognition of goodwill (ASC 350-20-15-4)</w:t>
      </w:r>
      <w:r w:rsidR="00ED7946">
        <w:rPr>
          <w:rFonts w:ascii="Times New Roman" w:eastAsia="Times New Roman" w:hAnsi="Times New Roman" w:cs="Times New Roman"/>
          <w:sz w:val="24"/>
          <w:szCs w:val="24"/>
        </w:rPr>
        <w:t>. Under the accounting alternative, the goodwill arising from r</w:t>
      </w:r>
      <w:r w:rsidR="002E7335" w:rsidRPr="009973F5">
        <w:rPr>
          <w:rFonts w:ascii="Times New Roman" w:eastAsia="Times New Roman" w:hAnsi="Times New Roman" w:cs="Times New Roman"/>
          <w:sz w:val="24"/>
          <w:szCs w:val="24"/>
        </w:rPr>
        <w:t>eorganization event that results in fresh-start reporting, acquisitions made by NFPs, and business combinations</w:t>
      </w:r>
      <w:r w:rsidR="00ED7946">
        <w:rPr>
          <w:rFonts w:ascii="Times New Roman" w:eastAsia="Times New Roman" w:hAnsi="Times New Roman" w:cs="Times New Roman"/>
          <w:sz w:val="24"/>
          <w:szCs w:val="24"/>
        </w:rPr>
        <w:t xml:space="preserve"> from the permitted entities</w:t>
      </w:r>
      <w:r w:rsidR="002E7335" w:rsidRPr="009973F5">
        <w:rPr>
          <w:rFonts w:ascii="Times New Roman" w:eastAsia="Times New Roman" w:hAnsi="Times New Roman" w:cs="Times New Roman"/>
          <w:sz w:val="24"/>
          <w:szCs w:val="24"/>
        </w:rPr>
        <w:t xml:space="preserve"> </w:t>
      </w:r>
      <w:r w:rsidR="00ED7946">
        <w:rPr>
          <w:rFonts w:ascii="Times New Roman" w:eastAsia="Times New Roman" w:hAnsi="Times New Roman" w:cs="Times New Roman"/>
          <w:sz w:val="24"/>
          <w:szCs w:val="24"/>
        </w:rPr>
        <w:t>will</w:t>
      </w:r>
      <w:r w:rsidR="002E7335" w:rsidRPr="009973F5">
        <w:rPr>
          <w:rFonts w:ascii="Times New Roman" w:eastAsia="Times New Roman" w:hAnsi="Times New Roman" w:cs="Times New Roman"/>
          <w:sz w:val="24"/>
          <w:szCs w:val="24"/>
        </w:rPr>
        <w:t xml:space="preserve"> be amortized using the straight-line method over a 10-year period or less if the entity can justify the appropriateness of a shorter useful life. Entities that elect the accounting alternative </w:t>
      </w:r>
      <w:r w:rsidR="00ED7946">
        <w:rPr>
          <w:rFonts w:ascii="Times New Roman" w:eastAsia="Times New Roman" w:hAnsi="Times New Roman" w:cs="Times New Roman"/>
          <w:sz w:val="24"/>
          <w:szCs w:val="24"/>
        </w:rPr>
        <w:t xml:space="preserve">have the choice of employing the entity-level or reporting-unit-level testing for goodwill impairment and </w:t>
      </w:r>
      <w:r w:rsidR="002E7335" w:rsidRPr="009973F5">
        <w:rPr>
          <w:rFonts w:ascii="Times New Roman" w:eastAsia="Times New Roman" w:hAnsi="Times New Roman" w:cs="Times New Roman"/>
          <w:sz w:val="24"/>
          <w:szCs w:val="24"/>
        </w:rPr>
        <w:t xml:space="preserve">will </w:t>
      </w:r>
      <w:r w:rsidR="00ED7946">
        <w:rPr>
          <w:rFonts w:ascii="Times New Roman" w:eastAsia="Times New Roman" w:hAnsi="Times New Roman" w:cs="Times New Roman"/>
          <w:sz w:val="24"/>
          <w:szCs w:val="24"/>
        </w:rPr>
        <w:t>conduct</w:t>
      </w:r>
      <w:r w:rsidR="002E7335" w:rsidRPr="009973F5">
        <w:rPr>
          <w:rFonts w:ascii="Times New Roman" w:eastAsia="Times New Roman" w:hAnsi="Times New Roman" w:cs="Times New Roman"/>
          <w:sz w:val="24"/>
          <w:szCs w:val="24"/>
        </w:rPr>
        <w:t xml:space="preserve"> goodwill impairment </w:t>
      </w:r>
      <w:r w:rsidR="00ED7946">
        <w:rPr>
          <w:rFonts w:ascii="Times New Roman" w:eastAsia="Times New Roman" w:hAnsi="Times New Roman" w:cs="Times New Roman"/>
          <w:sz w:val="24"/>
          <w:szCs w:val="24"/>
        </w:rPr>
        <w:t xml:space="preserve">testing </w:t>
      </w:r>
      <w:r w:rsidR="002E7335" w:rsidRPr="009973F5">
        <w:rPr>
          <w:rFonts w:ascii="Times New Roman" w:eastAsia="Times New Roman" w:hAnsi="Times New Roman" w:cs="Times New Roman"/>
          <w:sz w:val="24"/>
          <w:szCs w:val="24"/>
        </w:rPr>
        <w:t>only when a triggering event occurs rather than on a periodic basis (</w:t>
      </w:r>
      <w:r w:rsidR="00ED7946">
        <w:rPr>
          <w:rFonts w:ascii="Times New Roman" w:eastAsia="Times New Roman" w:hAnsi="Times New Roman" w:cs="Times New Roman"/>
          <w:sz w:val="24"/>
          <w:szCs w:val="24"/>
        </w:rPr>
        <w:t>ASC 350-20-35-66</w:t>
      </w:r>
      <w:r w:rsidR="002E7335" w:rsidRPr="009973F5">
        <w:rPr>
          <w:rFonts w:ascii="Times New Roman" w:eastAsia="Times New Roman" w:hAnsi="Times New Roman" w:cs="Times New Roman"/>
          <w:sz w:val="24"/>
          <w:szCs w:val="24"/>
        </w:rPr>
        <w:t xml:space="preserve">). </w:t>
      </w:r>
      <w:r w:rsidR="00ED7946" w:rsidRPr="009973F5">
        <w:rPr>
          <w:rFonts w:ascii="Times New Roman" w:eastAsia="Times New Roman" w:hAnsi="Times New Roman" w:cs="Times New Roman"/>
          <w:sz w:val="24"/>
          <w:szCs w:val="24"/>
        </w:rPr>
        <w:t xml:space="preserve">If an impairment loss is shown to </w:t>
      </w:r>
      <w:r w:rsidR="00ED7946" w:rsidRPr="009973F5">
        <w:rPr>
          <w:rFonts w:ascii="Times New Roman" w:eastAsia="Times New Roman" w:hAnsi="Times New Roman" w:cs="Times New Roman"/>
          <w:sz w:val="24"/>
          <w:szCs w:val="24"/>
        </w:rPr>
        <w:lastRenderedPageBreak/>
        <w:t>have occurred, the entity will allocate the loss to the individual amortizable units of goodwill and will adopt the adjusted carrying amount as the new accounting basis for goodwill (350-20-35-77-78)</w:t>
      </w:r>
      <w:r w:rsidR="00ED7946">
        <w:rPr>
          <w:rFonts w:ascii="Times New Roman" w:eastAsia="Times New Roman" w:hAnsi="Times New Roman" w:cs="Times New Roman"/>
          <w:sz w:val="24"/>
          <w:szCs w:val="24"/>
        </w:rPr>
        <w:t xml:space="preserve">. </w:t>
      </w:r>
      <w:r w:rsidR="002E7335" w:rsidRPr="009973F5">
        <w:rPr>
          <w:rFonts w:ascii="Times New Roman" w:eastAsia="Times New Roman" w:hAnsi="Times New Roman" w:cs="Times New Roman"/>
          <w:sz w:val="24"/>
          <w:szCs w:val="24"/>
        </w:rPr>
        <w:t>The entity can elect to conduct goodwill impairment testing due to a triggering event at the end of the reporting period rather than at the point the triggering event occurs (</w:t>
      </w:r>
      <w:r w:rsidR="00ED7946">
        <w:rPr>
          <w:rFonts w:ascii="Times New Roman" w:eastAsia="Times New Roman" w:hAnsi="Times New Roman" w:cs="Times New Roman"/>
          <w:sz w:val="24"/>
          <w:szCs w:val="24"/>
        </w:rPr>
        <w:t>ASC 350-20-</w:t>
      </w:r>
      <w:r w:rsidR="002E7335" w:rsidRPr="009973F5">
        <w:rPr>
          <w:rFonts w:ascii="Times New Roman" w:eastAsia="Times New Roman" w:hAnsi="Times New Roman" w:cs="Times New Roman"/>
          <w:sz w:val="24"/>
          <w:szCs w:val="24"/>
        </w:rPr>
        <w:t>35-84)</w:t>
      </w:r>
    </w:p>
    <w:p w14:paraId="610CD52A" w14:textId="61954CAC" w:rsidR="002B387D" w:rsidRPr="009973F5" w:rsidRDefault="002B387D" w:rsidP="00ED7946">
      <w:pPr>
        <w:widowControl w:val="0"/>
        <w:spacing w:after="0" w:line="480" w:lineRule="auto"/>
        <w:contextualSpacing/>
        <w:rPr>
          <w:rFonts w:ascii="Times New Roman" w:eastAsia="Times New Roman" w:hAnsi="Times New Roman" w:cs="Times New Roman"/>
          <w:b/>
          <w:bCs/>
          <w:sz w:val="24"/>
          <w:szCs w:val="24"/>
        </w:rPr>
      </w:pPr>
      <w:r w:rsidRPr="009973F5">
        <w:rPr>
          <w:rFonts w:ascii="Times New Roman" w:eastAsia="Times New Roman" w:hAnsi="Times New Roman" w:cs="Times New Roman"/>
          <w:b/>
          <w:bCs/>
          <w:sz w:val="24"/>
          <w:szCs w:val="24"/>
        </w:rPr>
        <w:t>Goodwill Impairment without Election of Accounting Alternative</w:t>
      </w:r>
    </w:p>
    <w:p w14:paraId="5227FF93" w14:textId="58D11E30" w:rsidR="002E7335" w:rsidRPr="009973F5" w:rsidRDefault="00ED7946" w:rsidP="00ED7946">
      <w:pPr>
        <w:widowControl w:val="0"/>
        <w:spacing w:after="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b/>
        <w:t>Without the election of an accounting alternative, the entity will account for goodwill using the three step procedure (</w:t>
      </w:r>
      <w:r w:rsidR="00CE1B36">
        <w:rPr>
          <w:rFonts w:ascii="Times New Roman" w:eastAsia="Times New Roman" w:hAnsi="Times New Roman" w:cs="Times New Roman"/>
          <w:sz w:val="24"/>
          <w:szCs w:val="24"/>
        </w:rPr>
        <w:t>qualitative assessment, comparison of carrying and fair value of reporting unit, calculation of goodwill as the difference between implied goodwill and carrying value goodwill) using at a reporting unit level.</w:t>
      </w:r>
    </w:p>
    <w:p w14:paraId="63848BA8" w14:textId="50A22BBB" w:rsidR="002E7335" w:rsidRPr="009973F5" w:rsidRDefault="000C0B41" w:rsidP="00ED7946">
      <w:pPr>
        <w:widowControl w:val="0"/>
        <w:spacing w:after="0" w:line="480" w:lineRule="auto"/>
        <w:contextualSpacing/>
        <w:rPr>
          <w:rFonts w:ascii="Times New Roman" w:eastAsia="Times New Roman" w:hAnsi="Times New Roman" w:cs="Times New Roman"/>
          <w:b/>
          <w:bCs/>
          <w:sz w:val="24"/>
          <w:szCs w:val="24"/>
        </w:rPr>
      </w:pPr>
      <w:r w:rsidRPr="009973F5">
        <w:rPr>
          <w:rFonts w:ascii="Times New Roman" w:eastAsia="Times New Roman" w:hAnsi="Times New Roman" w:cs="Times New Roman"/>
          <w:b/>
          <w:bCs/>
          <w:sz w:val="24"/>
          <w:szCs w:val="24"/>
        </w:rPr>
        <w:t>Triggering Event</w:t>
      </w:r>
    </w:p>
    <w:p w14:paraId="6EEEA364" w14:textId="2B5E5ABC" w:rsidR="002E7335" w:rsidRPr="009973F5" w:rsidRDefault="002E7335" w:rsidP="009973F5">
      <w:pPr>
        <w:widowControl w:val="0"/>
        <w:spacing w:after="0" w:line="480" w:lineRule="auto"/>
        <w:ind w:firstLine="720"/>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A triggering event refers to an event or change in circumstances that suggests that the reporting unit’s fair value is less than its carrying value (ASC 350-20-35-66). On the occurrence of a triggering event, the entity will conduct the goodwill impairment test as described in ASC 350-20-35-67: first, the entity will conduct a qualitative analysis to determine whether the probability that the fair value of the reporting entity is lower than its carrying value is greater than 0.5. the entity need not proceed with the impairment test of the probability is less than 0.5 (ASC 350-20-35-71). If not, the reporting unit’s fair value is determined and compared to its carrying amount, which includes goodwill. If the carrying value is indeed higher, the difference between the two amounts shall be recognized as an impairment loss provided that the loss amount does not exceed the reporting unit’s carrying amount of goodwill (ASC 350-20-35-71). Goodwill impairment loss will be allocated to the reporting unit’s amortizable units of goodwill on a pro-rata basis (ASC 350-20-35-77).</w:t>
      </w:r>
    </w:p>
    <w:p w14:paraId="2B2A1520" w14:textId="697FF984" w:rsidR="009973F5" w:rsidRDefault="000C0B41" w:rsidP="009973F5">
      <w:pPr>
        <w:widowControl w:val="0"/>
        <w:spacing w:after="0" w:line="480" w:lineRule="auto"/>
        <w:contextualSpacing/>
        <w:rPr>
          <w:rFonts w:ascii="Times New Roman" w:eastAsia="Times New Roman" w:hAnsi="Times New Roman" w:cs="Times New Roman"/>
          <w:b/>
          <w:bCs/>
          <w:sz w:val="24"/>
          <w:szCs w:val="24"/>
        </w:rPr>
      </w:pPr>
      <w:r w:rsidRPr="009973F5">
        <w:rPr>
          <w:rFonts w:ascii="Times New Roman" w:eastAsia="Times New Roman" w:hAnsi="Times New Roman" w:cs="Times New Roman"/>
          <w:b/>
          <w:bCs/>
          <w:sz w:val="24"/>
          <w:szCs w:val="24"/>
        </w:rPr>
        <w:lastRenderedPageBreak/>
        <w:t>Accounting Treatment Without Triggering Event</w:t>
      </w:r>
    </w:p>
    <w:p w14:paraId="6EC1D430" w14:textId="5AE119AF" w:rsidR="009973F5" w:rsidRPr="00CE1B36" w:rsidRDefault="00CE1B36" w:rsidP="00CE1B36">
      <w:pPr>
        <w:widowControl w:val="0"/>
        <w:spacing w:after="0" w:line="480" w:lineRule="auto"/>
        <w:ind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In the absence of a triggering event, an entity that does not elect the accounting alternative will conduct the end-of-period goodwill impairment testing as required while entities that elect the accounting alternative will record the goodwill amortization amount.</w:t>
      </w:r>
      <w:r w:rsidR="002E7335" w:rsidRPr="009973F5">
        <w:rPr>
          <w:rFonts w:ascii="Times New Roman" w:eastAsia="Times New Roman" w:hAnsi="Times New Roman" w:cs="Times New Roman"/>
          <w:b/>
          <w:bCs/>
          <w:sz w:val="24"/>
          <w:szCs w:val="24"/>
        </w:rPr>
        <w:br/>
        <w:t> </w:t>
      </w:r>
      <w:r w:rsidR="009973F5">
        <w:rPr>
          <w:rFonts w:ascii="Times New Roman" w:eastAsia="Times New Roman" w:hAnsi="Times New Roman" w:cs="Times New Roman"/>
          <w:b/>
          <w:bCs/>
          <w:sz w:val="24"/>
          <w:szCs w:val="24"/>
        </w:rPr>
        <w:t>Goodwill Impairment for AMMRC Inc.</w:t>
      </w:r>
    </w:p>
    <w:p w14:paraId="5CDCDC93" w14:textId="697322FD" w:rsidR="005A0D8A" w:rsidRPr="009973F5" w:rsidRDefault="009973F5" w:rsidP="009973F5">
      <w:pPr>
        <w:widowControl w:val="0"/>
        <w:spacing w:after="0" w:line="480" w:lineRule="auto"/>
        <w:ind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first determine AMMRC’s reporting units with respect to the </w:t>
      </w:r>
      <w:r w:rsidR="00B17E4C">
        <w:rPr>
          <w:rFonts w:ascii="Times New Roman" w:eastAsia="Times New Roman" w:hAnsi="Times New Roman" w:cs="Times New Roman"/>
          <w:sz w:val="24"/>
          <w:szCs w:val="24"/>
        </w:rPr>
        <w:t xml:space="preserve">Greenhouse Parts and Accessories segment. The reporting unit is the same as the operating segment if the components of the segment share similar economic characteristics and one level below the operating segment if not (PWC, 2021). </w:t>
      </w:r>
      <w:r w:rsidR="00916745" w:rsidRPr="009973F5">
        <w:rPr>
          <w:rFonts w:ascii="Times New Roman" w:eastAsia="Times New Roman" w:hAnsi="Times New Roman" w:cs="Times New Roman"/>
          <w:sz w:val="24"/>
          <w:szCs w:val="24"/>
        </w:rPr>
        <w:t xml:space="preserve">According to ASC 280-10-50-11, two </w:t>
      </w:r>
      <w:r w:rsidR="00F95487" w:rsidRPr="009973F5">
        <w:rPr>
          <w:rFonts w:ascii="Times New Roman" w:eastAsia="Times New Roman" w:hAnsi="Times New Roman" w:cs="Times New Roman"/>
          <w:sz w:val="24"/>
          <w:szCs w:val="24"/>
        </w:rPr>
        <w:t>segments have similar economic characteristics if they are similar in terms of the nature of their products and services, production processes, customer type/class, method of product distribution, and the nature of their regulatory environment (FASB, n.d.</w:t>
      </w:r>
      <w:r w:rsidR="00833927">
        <w:rPr>
          <w:rFonts w:ascii="Times New Roman" w:eastAsia="Times New Roman" w:hAnsi="Times New Roman" w:cs="Times New Roman"/>
          <w:sz w:val="24"/>
          <w:szCs w:val="24"/>
        </w:rPr>
        <w:t xml:space="preserve"> b</w:t>
      </w:r>
      <w:r w:rsidR="00F95487" w:rsidRPr="009973F5">
        <w:rPr>
          <w:rFonts w:ascii="Times New Roman" w:eastAsia="Times New Roman" w:hAnsi="Times New Roman" w:cs="Times New Roman"/>
          <w:sz w:val="24"/>
          <w:szCs w:val="24"/>
        </w:rPr>
        <w:t xml:space="preserve">). </w:t>
      </w:r>
      <w:r w:rsidR="00826CE3" w:rsidRPr="009973F5">
        <w:rPr>
          <w:rFonts w:ascii="Times New Roman" w:eastAsia="Times New Roman" w:hAnsi="Times New Roman" w:cs="Times New Roman"/>
          <w:sz w:val="24"/>
          <w:szCs w:val="24"/>
        </w:rPr>
        <w:t>since the nature of the TJ and DL’s products, production processes, and target customers outside of AMMRC Inc. are dissimilar, the two companies are considered separate reporting units.</w:t>
      </w:r>
      <w:r w:rsidR="00833927">
        <w:rPr>
          <w:rFonts w:ascii="Times New Roman" w:eastAsia="Times New Roman" w:hAnsi="Times New Roman" w:cs="Times New Roman"/>
          <w:sz w:val="24"/>
          <w:szCs w:val="24"/>
        </w:rPr>
        <w:t xml:space="preserve"> Thus, goodwill impairment is conducted separately for the two units. </w:t>
      </w:r>
    </w:p>
    <w:p w14:paraId="29C102E0" w14:textId="0E5F63A2" w:rsidR="00E16EB7" w:rsidRDefault="00826CE3" w:rsidP="00E16EB7">
      <w:pPr>
        <w:widowControl w:val="0"/>
        <w:spacing w:after="0" w:line="480" w:lineRule="auto"/>
        <w:ind w:firstLine="720"/>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With respect to ownership and ability to elect the accounting alternative for goodwill, TJ, as a public company, is not in a position to elect the alternative treatment. In contrast, DL is a private company and can, therefore, elect the accounting alternative, which requires annual goodwill amortization.</w:t>
      </w:r>
      <w:r w:rsidR="00B159BC" w:rsidRPr="009973F5">
        <w:rPr>
          <w:rFonts w:ascii="Times New Roman" w:eastAsia="Times New Roman" w:hAnsi="Times New Roman" w:cs="Times New Roman"/>
          <w:sz w:val="24"/>
          <w:szCs w:val="24"/>
        </w:rPr>
        <w:t xml:space="preserve"> There is, however, no indication that AMMRC Inc. elected the accounting alternative for DL. Given the incorporated status of the parent, it is </w:t>
      </w:r>
      <w:r w:rsidR="0035705C" w:rsidRPr="009973F5">
        <w:rPr>
          <w:rFonts w:ascii="Times New Roman" w:eastAsia="Times New Roman" w:hAnsi="Times New Roman" w:cs="Times New Roman"/>
          <w:sz w:val="24"/>
          <w:szCs w:val="24"/>
        </w:rPr>
        <w:t>un</w:t>
      </w:r>
      <w:r w:rsidR="00B159BC" w:rsidRPr="009973F5">
        <w:rPr>
          <w:rFonts w:ascii="Times New Roman" w:eastAsia="Times New Roman" w:hAnsi="Times New Roman" w:cs="Times New Roman"/>
          <w:sz w:val="24"/>
          <w:szCs w:val="24"/>
        </w:rPr>
        <w:t>likely that the accounting alternative is used for DL.</w:t>
      </w:r>
      <w:r w:rsidRPr="009973F5">
        <w:rPr>
          <w:rFonts w:ascii="Times New Roman" w:eastAsia="Times New Roman" w:hAnsi="Times New Roman" w:cs="Times New Roman"/>
          <w:sz w:val="24"/>
          <w:szCs w:val="24"/>
        </w:rPr>
        <w:t xml:space="preserve"> </w:t>
      </w:r>
      <w:r w:rsidR="00B159BC" w:rsidRPr="009973F5">
        <w:rPr>
          <w:rFonts w:ascii="Times New Roman" w:eastAsia="Times New Roman" w:hAnsi="Times New Roman" w:cs="Times New Roman"/>
          <w:sz w:val="24"/>
          <w:szCs w:val="24"/>
        </w:rPr>
        <w:t xml:space="preserve">There is </w:t>
      </w:r>
      <w:r w:rsidR="00E16EB7">
        <w:rPr>
          <w:rFonts w:ascii="Times New Roman" w:eastAsia="Times New Roman" w:hAnsi="Times New Roman" w:cs="Times New Roman"/>
          <w:sz w:val="24"/>
          <w:szCs w:val="24"/>
        </w:rPr>
        <w:t xml:space="preserve">also </w:t>
      </w:r>
      <w:r w:rsidR="00B159BC" w:rsidRPr="009973F5">
        <w:rPr>
          <w:rFonts w:ascii="Times New Roman" w:eastAsia="Times New Roman" w:hAnsi="Times New Roman" w:cs="Times New Roman"/>
          <w:sz w:val="24"/>
          <w:szCs w:val="24"/>
        </w:rPr>
        <w:t xml:space="preserve">no indication that </w:t>
      </w:r>
      <w:r w:rsidR="00E16EB7">
        <w:rPr>
          <w:rFonts w:ascii="Times New Roman" w:eastAsia="Times New Roman" w:hAnsi="Times New Roman" w:cs="Times New Roman"/>
          <w:sz w:val="24"/>
          <w:szCs w:val="24"/>
        </w:rPr>
        <w:t>either reporting unit</w:t>
      </w:r>
      <w:r w:rsidR="00B159BC" w:rsidRPr="009973F5">
        <w:rPr>
          <w:rFonts w:ascii="Times New Roman" w:eastAsia="Times New Roman" w:hAnsi="Times New Roman" w:cs="Times New Roman"/>
          <w:sz w:val="24"/>
          <w:szCs w:val="24"/>
        </w:rPr>
        <w:t xml:space="preserve"> experienced a triggering event</w:t>
      </w:r>
      <w:r w:rsidR="00E16EB7">
        <w:rPr>
          <w:rFonts w:ascii="Times New Roman" w:eastAsia="Times New Roman" w:hAnsi="Times New Roman" w:cs="Times New Roman"/>
          <w:sz w:val="24"/>
          <w:szCs w:val="24"/>
        </w:rPr>
        <w:t xml:space="preserve"> and we assume that goodwill impairment testing was conducted once at the end of the 2021 period as stated.</w:t>
      </w:r>
    </w:p>
    <w:p w14:paraId="1C095806" w14:textId="0779EB5D" w:rsidR="0035705C" w:rsidRPr="009973F5" w:rsidRDefault="0035705C" w:rsidP="009973F5">
      <w:pPr>
        <w:widowControl w:val="0"/>
        <w:spacing w:after="0" w:line="480" w:lineRule="auto"/>
        <w:ind w:firstLine="720"/>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ASC </w:t>
      </w:r>
      <w:r w:rsidR="006554D4" w:rsidRPr="009973F5">
        <w:rPr>
          <w:rFonts w:ascii="Times New Roman" w:eastAsia="Times New Roman" w:hAnsi="Times New Roman" w:cs="Times New Roman"/>
          <w:sz w:val="24"/>
          <w:szCs w:val="24"/>
        </w:rPr>
        <w:t xml:space="preserve">350-20-35-31sets forth the sequence of recognition of asset and goodwill </w:t>
      </w:r>
      <w:r w:rsidR="006554D4" w:rsidRPr="009973F5">
        <w:rPr>
          <w:rFonts w:ascii="Times New Roman" w:eastAsia="Times New Roman" w:hAnsi="Times New Roman" w:cs="Times New Roman"/>
          <w:sz w:val="24"/>
          <w:szCs w:val="24"/>
        </w:rPr>
        <w:lastRenderedPageBreak/>
        <w:t>impairment losses: in the event that the goodwill and other asset group of a particular reporting unit are tested for impairment in the same period, asset impairment tests should be conducted first and asset impairment loss should be recognized prior to the goodwill impairment loss</w:t>
      </w:r>
      <w:r w:rsidR="00E16EB7">
        <w:rPr>
          <w:rFonts w:ascii="Times New Roman" w:eastAsia="Times New Roman" w:hAnsi="Times New Roman" w:cs="Times New Roman"/>
          <w:sz w:val="24"/>
          <w:szCs w:val="24"/>
        </w:rPr>
        <w:t xml:space="preserve"> (FASB n.d. a)</w:t>
      </w:r>
      <w:r w:rsidR="006554D4" w:rsidRPr="009973F5">
        <w:rPr>
          <w:rFonts w:ascii="Times New Roman" w:eastAsia="Times New Roman" w:hAnsi="Times New Roman" w:cs="Times New Roman"/>
          <w:sz w:val="24"/>
          <w:szCs w:val="24"/>
        </w:rPr>
        <w:t>. The asset impairment and inventory losses for TL and DJ are performed separately as follows:</w:t>
      </w:r>
    </w:p>
    <w:p w14:paraId="1CF716DA" w14:textId="6B47064E" w:rsidR="006554D4" w:rsidRDefault="006554D4" w:rsidP="009973F5">
      <w:pPr>
        <w:widowControl w:val="0"/>
        <w:spacing w:after="0" w:line="480" w:lineRule="auto"/>
        <w:contextualSpacing/>
        <w:rPr>
          <w:rFonts w:ascii="Times New Roman" w:eastAsia="Times New Roman" w:hAnsi="Times New Roman" w:cs="Times New Roman"/>
          <w:b/>
          <w:bCs/>
          <w:sz w:val="24"/>
          <w:szCs w:val="24"/>
        </w:rPr>
      </w:pPr>
      <w:r w:rsidRPr="00E16EB7">
        <w:rPr>
          <w:rFonts w:ascii="Times New Roman" w:eastAsia="Times New Roman" w:hAnsi="Times New Roman" w:cs="Times New Roman"/>
          <w:b/>
          <w:bCs/>
          <w:sz w:val="24"/>
          <w:szCs w:val="24"/>
        </w:rPr>
        <w:t>Reporting Unit 1: TL Corporation</w:t>
      </w:r>
    </w:p>
    <w:p w14:paraId="1EC9CF08" w14:textId="10F87B41" w:rsidR="00E16EB7" w:rsidRPr="00E16EB7" w:rsidRDefault="00E16EB7" w:rsidP="009973F5">
      <w:pPr>
        <w:widowControl w:val="0"/>
        <w:spacing w:after="0" w:line="480" w:lineRule="auto"/>
        <w:contextualSpacing/>
        <w:rPr>
          <w:rFonts w:ascii="Times New Roman" w:eastAsia="Times New Roman" w:hAnsi="Times New Roman" w:cs="Times New Roman"/>
          <w:b/>
          <w:bCs/>
          <w:i/>
          <w:iCs/>
          <w:sz w:val="24"/>
          <w:szCs w:val="24"/>
        </w:rPr>
      </w:pPr>
      <w:r w:rsidRPr="00E16EB7">
        <w:rPr>
          <w:rFonts w:ascii="Times New Roman" w:eastAsia="Times New Roman" w:hAnsi="Times New Roman" w:cs="Times New Roman"/>
          <w:b/>
          <w:bCs/>
          <w:i/>
          <w:iCs/>
          <w:sz w:val="24"/>
          <w:szCs w:val="24"/>
        </w:rPr>
        <w:t>Asset Impairment Loss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4"/>
        <w:gridCol w:w="1840"/>
        <w:gridCol w:w="4636"/>
      </w:tblGrid>
      <w:tr w:rsidR="00CE396C" w:rsidRPr="00CE396C" w14:paraId="30C21BD8" w14:textId="77777777" w:rsidTr="001C1EBD">
        <w:trPr>
          <w:trHeight w:val="290"/>
        </w:trPr>
        <w:tc>
          <w:tcPr>
            <w:tcW w:w="1537" w:type="pct"/>
            <w:shd w:val="clear" w:color="auto" w:fill="auto"/>
            <w:noWrap/>
            <w:vAlign w:val="bottom"/>
            <w:hideMark/>
          </w:tcPr>
          <w:p w14:paraId="7924C156" w14:textId="020DDD99"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Asse</w:t>
            </w:r>
            <w:r w:rsidRPr="009973F5">
              <w:rPr>
                <w:rFonts w:ascii="Times New Roman" w:eastAsia="Times New Roman" w:hAnsi="Times New Roman" w:cs="Times New Roman"/>
                <w:color w:val="000000"/>
                <w:sz w:val="24"/>
                <w:szCs w:val="24"/>
              </w:rPr>
              <w:t>t</w:t>
            </w:r>
            <w:r w:rsidRPr="00CE396C">
              <w:rPr>
                <w:rFonts w:ascii="Times New Roman" w:eastAsia="Times New Roman" w:hAnsi="Times New Roman" w:cs="Times New Roman"/>
                <w:color w:val="000000"/>
                <w:sz w:val="24"/>
                <w:szCs w:val="24"/>
              </w:rPr>
              <w:t xml:space="preserve"> Grouping</w:t>
            </w:r>
          </w:p>
        </w:tc>
        <w:tc>
          <w:tcPr>
            <w:tcW w:w="984" w:type="pct"/>
            <w:shd w:val="clear" w:color="auto" w:fill="auto"/>
            <w:noWrap/>
            <w:vAlign w:val="bottom"/>
            <w:hideMark/>
          </w:tcPr>
          <w:p w14:paraId="1219E699"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Step 1</w:t>
            </w:r>
          </w:p>
        </w:tc>
        <w:tc>
          <w:tcPr>
            <w:tcW w:w="2479" w:type="pct"/>
            <w:shd w:val="clear" w:color="auto" w:fill="auto"/>
            <w:noWrap/>
            <w:vAlign w:val="bottom"/>
            <w:hideMark/>
          </w:tcPr>
          <w:p w14:paraId="06B033DB"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 xml:space="preserve"> Step 2: Impairment loss </w:t>
            </w:r>
          </w:p>
        </w:tc>
      </w:tr>
      <w:tr w:rsidR="00CE396C" w:rsidRPr="00CE396C" w14:paraId="55C943FA" w14:textId="77777777" w:rsidTr="001C1EBD">
        <w:trPr>
          <w:trHeight w:val="290"/>
        </w:trPr>
        <w:tc>
          <w:tcPr>
            <w:tcW w:w="1537" w:type="pct"/>
            <w:shd w:val="clear" w:color="auto" w:fill="auto"/>
            <w:noWrap/>
            <w:vAlign w:val="bottom"/>
            <w:hideMark/>
          </w:tcPr>
          <w:p w14:paraId="21B30BA8" w14:textId="77777777" w:rsidR="00CE396C" w:rsidRPr="00CE396C" w:rsidRDefault="00CE396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1</w:t>
            </w:r>
          </w:p>
        </w:tc>
        <w:tc>
          <w:tcPr>
            <w:tcW w:w="984" w:type="pct"/>
            <w:shd w:val="clear" w:color="auto" w:fill="auto"/>
            <w:noWrap/>
            <w:vAlign w:val="bottom"/>
            <w:hideMark/>
          </w:tcPr>
          <w:p w14:paraId="6CD2EBDE"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No loss</w:t>
            </w:r>
          </w:p>
        </w:tc>
        <w:tc>
          <w:tcPr>
            <w:tcW w:w="2479" w:type="pct"/>
            <w:shd w:val="clear" w:color="auto" w:fill="auto"/>
            <w:noWrap/>
            <w:vAlign w:val="bottom"/>
            <w:hideMark/>
          </w:tcPr>
          <w:p w14:paraId="72AF9A8F"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 xml:space="preserve">                                          -   </w:t>
            </w:r>
          </w:p>
        </w:tc>
      </w:tr>
      <w:tr w:rsidR="00CE396C" w:rsidRPr="00CE396C" w14:paraId="36DB7D00" w14:textId="77777777" w:rsidTr="001C1EBD">
        <w:trPr>
          <w:trHeight w:val="290"/>
        </w:trPr>
        <w:tc>
          <w:tcPr>
            <w:tcW w:w="1537" w:type="pct"/>
            <w:shd w:val="clear" w:color="auto" w:fill="auto"/>
            <w:noWrap/>
            <w:vAlign w:val="bottom"/>
            <w:hideMark/>
          </w:tcPr>
          <w:p w14:paraId="2541BA8B" w14:textId="77777777" w:rsidR="00CE396C" w:rsidRPr="00CE396C" w:rsidRDefault="00CE396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2</w:t>
            </w:r>
          </w:p>
        </w:tc>
        <w:tc>
          <w:tcPr>
            <w:tcW w:w="984" w:type="pct"/>
            <w:shd w:val="clear" w:color="auto" w:fill="auto"/>
            <w:noWrap/>
            <w:vAlign w:val="bottom"/>
            <w:hideMark/>
          </w:tcPr>
          <w:p w14:paraId="659E2F79"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Loss</w:t>
            </w:r>
          </w:p>
        </w:tc>
        <w:tc>
          <w:tcPr>
            <w:tcW w:w="2479" w:type="pct"/>
            <w:shd w:val="clear" w:color="auto" w:fill="auto"/>
            <w:noWrap/>
            <w:vAlign w:val="bottom"/>
            <w:hideMark/>
          </w:tcPr>
          <w:p w14:paraId="00903204"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 xml:space="preserve">                               110,000 </w:t>
            </w:r>
          </w:p>
        </w:tc>
      </w:tr>
      <w:tr w:rsidR="00CE396C" w:rsidRPr="00CE396C" w14:paraId="5C139729" w14:textId="77777777" w:rsidTr="001C1EBD">
        <w:trPr>
          <w:trHeight w:val="290"/>
        </w:trPr>
        <w:tc>
          <w:tcPr>
            <w:tcW w:w="1537" w:type="pct"/>
            <w:shd w:val="clear" w:color="auto" w:fill="auto"/>
            <w:noWrap/>
            <w:vAlign w:val="bottom"/>
            <w:hideMark/>
          </w:tcPr>
          <w:p w14:paraId="1D572FA9" w14:textId="77777777" w:rsidR="00CE396C" w:rsidRPr="00CE396C" w:rsidRDefault="00CE396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3</w:t>
            </w:r>
          </w:p>
        </w:tc>
        <w:tc>
          <w:tcPr>
            <w:tcW w:w="984" w:type="pct"/>
            <w:shd w:val="clear" w:color="auto" w:fill="auto"/>
            <w:noWrap/>
            <w:vAlign w:val="bottom"/>
            <w:hideMark/>
          </w:tcPr>
          <w:p w14:paraId="34CC305A"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No loss</w:t>
            </w:r>
          </w:p>
        </w:tc>
        <w:tc>
          <w:tcPr>
            <w:tcW w:w="2479" w:type="pct"/>
            <w:shd w:val="clear" w:color="auto" w:fill="auto"/>
            <w:noWrap/>
            <w:vAlign w:val="bottom"/>
            <w:hideMark/>
          </w:tcPr>
          <w:p w14:paraId="1867AAE3"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 xml:space="preserve">                                          -   </w:t>
            </w:r>
          </w:p>
        </w:tc>
      </w:tr>
      <w:tr w:rsidR="00CE396C" w:rsidRPr="00CE396C" w14:paraId="09F5CD3C" w14:textId="77777777" w:rsidTr="001C1EBD">
        <w:trPr>
          <w:trHeight w:val="290"/>
        </w:trPr>
        <w:tc>
          <w:tcPr>
            <w:tcW w:w="1537" w:type="pct"/>
            <w:shd w:val="clear" w:color="auto" w:fill="auto"/>
            <w:noWrap/>
            <w:vAlign w:val="bottom"/>
            <w:hideMark/>
          </w:tcPr>
          <w:p w14:paraId="769AF1C8" w14:textId="77777777" w:rsidR="00CE396C" w:rsidRPr="00CE396C" w:rsidRDefault="00CE396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4</w:t>
            </w:r>
          </w:p>
        </w:tc>
        <w:tc>
          <w:tcPr>
            <w:tcW w:w="984" w:type="pct"/>
            <w:shd w:val="clear" w:color="auto" w:fill="auto"/>
            <w:noWrap/>
            <w:vAlign w:val="bottom"/>
            <w:hideMark/>
          </w:tcPr>
          <w:p w14:paraId="313A8975"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No loss</w:t>
            </w:r>
          </w:p>
        </w:tc>
        <w:tc>
          <w:tcPr>
            <w:tcW w:w="2479" w:type="pct"/>
            <w:shd w:val="clear" w:color="auto" w:fill="auto"/>
            <w:noWrap/>
            <w:vAlign w:val="bottom"/>
            <w:hideMark/>
          </w:tcPr>
          <w:p w14:paraId="2DB81476"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 xml:space="preserve">                                          -   </w:t>
            </w:r>
          </w:p>
        </w:tc>
      </w:tr>
      <w:tr w:rsidR="00CE396C" w:rsidRPr="00CE396C" w14:paraId="3EE3250D" w14:textId="77777777" w:rsidTr="001C1EBD">
        <w:trPr>
          <w:trHeight w:val="290"/>
        </w:trPr>
        <w:tc>
          <w:tcPr>
            <w:tcW w:w="1537" w:type="pct"/>
            <w:shd w:val="clear" w:color="auto" w:fill="auto"/>
            <w:noWrap/>
            <w:vAlign w:val="bottom"/>
            <w:hideMark/>
          </w:tcPr>
          <w:p w14:paraId="35CF2C85" w14:textId="77777777" w:rsidR="00CE396C" w:rsidRPr="00CE396C" w:rsidRDefault="00CE396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5</w:t>
            </w:r>
          </w:p>
        </w:tc>
        <w:tc>
          <w:tcPr>
            <w:tcW w:w="984" w:type="pct"/>
            <w:shd w:val="clear" w:color="auto" w:fill="auto"/>
            <w:noWrap/>
            <w:vAlign w:val="bottom"/>
            <w:hideMark/>
          </w:tcPr>
          <w:p w14:paraId="67EBCD38"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No loss</w:t>
            </w:r>
          </w:p>
        </w:tc>
        <w:tc>
          <w:tcPr>
            <w:tcW w:w="2479" w:type="pct"/>
            <w:shd w:val="clear" w:color="auto" w:fill="auto"/>
            <w:noWrap/>
            <w:vAlign w:val="bottom"/>
            <w:hideMark/>
          </w:tcPr>
          <w:p w14:paraId="5C2CD48E"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 xml:space="preserve">                                          -   </w:t>
            </w:r>
          </w:p>
        </w:tc>
      </w:tr>
      <w:tr w:rsidR="00CE396C" w:rsidRPr="00CE396C" w14:paraId="56D082D7" w14:textId="77777777" w:rsidTr="001C1EBD">
        <w:trPr>
          <w:trHeight w:val="290"/>
        </w:trPr>
        <w:tc>
          <w:tcPr>
            <w:tcW w:w="1537" w:type="pct"/>
            <w:shd w:val="clear" w:color="auto" w:fill="auto"/>
            <w:noWrap/>
            <w:vAlign w:val="bottom"/>
            <w:hideMark/>
          </w:tcPr>
          <w:p w14:paraId="2B1138EB" w14:textId="77777777" w:rsidR="00CE396C" w:rsidRPr="00CE396C" w:rsidRDefault="00CE396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6</w:t>
            </w:r>
          </w:p>
        </w:tc>
        <w:tc>
          <w:tcPr>
            <w:tcW w:w="984" w:type="pct"/>
            <w:shd w:val="clear" w:color="auto" w:fill="auto"/>
            <w:noWrap/>
            <w:vAlign w:val="bottom"/>
            <w:hideMark/>
          </w:tcPr>
          <w:p w14:paraId="4EC15701"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Loss</w:t>
            </w:r>
          </w:p>
        </w:tc>
        <w:tc>
          <w:tcPr>
            <w:tcW w:w="2479" w:type="pct"/>
            <w:shd w:val="clear" w:color="auto" w:fill="auto"/>
            <w:noWrap/>
            <w:vAlign w:val="bottom"/>
            <w:hideMark/>
          </w:tcPr>
          <w:p w14:paraId="6A338DB7"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 xml:space="preserve">                               200,000 </w:t>
            </w:r>
          </w:p>
        </w:tc>
      </w:tr>
      <w:tr w:rsidR="00CE396C" w:rsidRPr="00CE396C" w14:paraId="5E8DC8FC" w14:textId="77777777" w:rsidTr="001C1EBD">
        <w:trPr>
          <w:trHeight w:val="290"/>
        </w:trPr>
        <w:tc>
          <w:tcPr>
            <w:tcW w:w="1537" w:type="pct"/>
            <w:shd w:val="clear" w:color="auto" w:fill="auto"/>
            <w:noWrap/>
            <w:vAlign w:val="bottom"/>
            <w:hideMark/>
          </w:tcPr>
          <w:p w14:paraId="18385863" w14:textId="77777777" w:rsidR="00CE396C" w:rsidRPr="00CE396C" w:rsidRDefault="00CE396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7</w:t>
            </w:r>
          </w:p>
        </w:tc>
        <w:tc>
          <w:tcPr>
            <w:tcW w:w="984" w:type="pct"/>
            <w:shd w:val="clear" w:color="auto" w:fill="auto"/>
            <w:noWrap/>
            <w:vAlign w:val="bottom"/>
            <w:hideMark/>
          </w:tcPr>
          <w:p w14:paraId="44A37F1E"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Loss</w:t>
            </w:r>
          </w:p>
        </w:tc>
        <w:tc>
          <w:tcPr>
            <w:tcW w:w="2479" w:type="pct"/>
            <w:shd w:val="clear" w:color="auto" w:fill="auto"/>
            <w:noWrap/>
            <w:vAlign w:val="bottom"/>
            <w:hideMark/>
          </w:tcPr>
          <w:p w14:paraId="4F5081BB" w14:textId="77777777" w:rsidR="00CE396C" w:rsidRPr="00CE396C" w:rsidRDefault="00CE396C" w:rsidP="009973F5">
            <w:pPr>
              <w:widowControl w:val="0"/>
              <w:spacing w:after="0" w:line="240" w:lineRule="auto"/>
              <w:contextualSpacing/>
              <w:rPr>
                <w:rFonts w:ascii="Times New Roman" w:eastAsia="Times New Roman" w:hAnsi="Times New Roman" w:cs="Times New Roman"/>
                <w:color w:val="000000"/>
                <w:sz w:val="24"/>
                <w:szCs w:val="24"/>
              </w:rPr>
            </w:pPr>
            <w:r w:rsidRPr="00CE396C">
              <w:rPr>
                <w:rFonts w:ascii="Times New Roman" w:eastAsia="Times New Roman" w:hAnsi="Times New Roman" w:cs="Times New Roman"/>
                <w:color w:val="000000"/>
                <w:sz w:val="24"/>
                <w:szCs w:val="24"/>
              </w:rPr>
              <w:t xml:space="preserve">                               140,000 </w:t>
            </w:r>
          </w:p>
        </w:tc>
      </w:tr>
      <w:tr w:rsidR="001C1EBD" w:rsidRPr="009973F5" w14:paraId="7363C2D5" w14:textId="77777777" w:rsidTr="001C1EBD">
        <w:trPr>
          <w:trHeight w:val="290"/>
        </w:trPr>
        <w:tc>
          <w:tcPr>
            <w:tcW w:w="2521" w:type="pct"/>
            <w:gridSpan w:val="2"/>
            <w:shd w:val="clear" w:color="auto" w:fill="auto"/>
            <w:noWrap/>
            <w:vAlign w:val="bottom"/>
          </w:tcPr>
          <w:p w14:paraId="0E40D7A3" w14:textId="65CD2EC7" w:rsidR="001C1EBD" w:rsidRPr="009973F5" w:rsidRDefault="001C1EBD"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Total impairment loss: PPE</w:t>
            </w:r>
          </w:p>
        </w:tc>
        <w:tc>
          <w:tcPr>
            <w:tcW w:w="2479" w:type="pct"/>
            <w:shd w:val="clear" w:color="auto" w:fill="auto"/>
            <w:noWrap/>
            <w:vAlign w:val="bottom"/>
          </w:tcPr>
          <w:p w14:paraId="689D3E16" w14:textId="57089325" w:rsidR="001C1EBD" w:rsidRPr="009973F5" w:rsidRDefault="001C1EBD" w:rsidP="009973F5">
            <w:pPr>
              <w:widowControl w:val="0"/>
              <w:spacing w:after="0" w:line="240" w:lineRule="auto"/>
              <w:contextualSpacing/>
              <w:jc w:val="center"/>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450,000</w:t>
            </w:r>
          </w:p>
        </w:tc>
      </w:tr>
    </w:tbl>
    <w:p w14:paraId="0E20443D" w14:textId="024094B0" w:rsidR="001C1EBD" w:rsidRPr="00E16EB7" w:rsidRDefault="001C1EBD" w:rsidP="009973F5">
      <w:pPr>
        <w:widowControl w:val="0"/>
        <w:spacing w:after="0" w:line="480" w:lineRule="auto"/>
        <w:contextualSpacing/>
        <w:rPr>
          <w:rFonts w:ascii="Times New Roman" w:eastAsia="Times New Roman" w:hAnsi="Times New Roman" w:cs="Times New Roman"/>
          <w:b/>
          <w:bCs/>
          <w:i/>
          <w:iCs/>
          <w:sz w:val="24"/>
          <w:szCs w:val="24"/>
        </w:rPr>
      </w:pPr>
      <w:r w:rsidRPr="00E16EB7">
        <w:rPr>
          <w:rFonts w:ascii="Times New Roman" w:eastAsia="Times New Roman" w:hAnsi="Times New Roman" w:cs="Times New Roman"/>
          <w:b/>
          <w:bCs/>
          <w:i/>
          <w:iCs/>
          <w:sz w:val="24"/>
          <w:szCs w:val="24"/>
        </w:rPr>
        <w:t xml:space="preserve">Inventory </w:t>
      </w:r>
      <w:r w:rsidR="00E16EB7" w:rsidRPr="00E16EB7">
        <w:rPr>
          <w:rFonts w:ascii="Times New Roman" w:eastAsia="Times New Roman" w:hAnsi="Times New Roman" w:cs="Times New Roman"/>
          <w:b/>
          <w:bCs/>
          <w:i/>
          <w:iCs/>
          <w:sz w:val="24"/>
          <w:szCs w:val="24"/>
        </w:rPr>
        <w:t>L</w:t>
      </w:r>
      <w:r w:rsidRPr="00E16EB7">
        <w:rPr>
          <w:rFonts w:ascii="Times New Roman" w:eastAsia="Times New Roman" w:hAnsi="Times New Roman" w:cs="Times New Roman"/>
          <w:b/>
          <w:bCs/>
          <w:i/>
          <w:iCs/>
          <w:sz w:val="24"/>
          <w:szCs w:val="24"/>
        </w:rPr>
        <w:t>oss</w:t>
      </w:r>
    </w:p>
    <w:tbl>
      <w:tblPr>
        <w:tblStyle w:val="TableGrid"/>
        <w:tblW w:w="0" w:type="auto"/>
        <w:tblLook w:val="04A0" w:firstRow="1" w:lastRow="0" w:firstColumn="1" w:lastColumn="0" w:noHBand="0" w:noVBand="1"/>
      </w:tblPr>
      <w:tblGrid>
        <w:gridCol w:w="1520"/>
        <w:gridCol w:w="1380"/>
        <w:gridCol w:w="2420"/>
        <w:gridCol w:w="1380"/>
        <w:gridCol w:w="1380"/>
        <w:gridCol w:w="1220"/>
      </w:tblGrid>
      <w:tr w:rsidR="001C1EBD" w:rsidRPr="009973F5" w14:paraId="1872A456" w14:textId="77777777" w:rsidTr="001C1EBD">
        <w:trPr>
          <w:trHeight w:val="290"/>
        </w:trPr>
        <w:tc>
          <w:tcPr>
            <w:tcW w:w="1520" w:type="dxa"/>
            <w:noWrap/>
            <w:hideMark/>
          </w:tcPr>
          <w:p w14:paraId="3E8C942D"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Cost</w:t>
            </w:r>
          </w:p>
        </w:tc>
        <w:tc>
          <w:tcPr>
            <w:tcW w:w="1380" w:type="dxa"/>
            <w:noWrap/>
            <w:hideMark/>
          </w:tcPr>
          <w:p w14:paraId="321D61BC"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RC</w:t>
            </w:r>
          </w:p>
        </w:tc>
        <w:tc>
          <w:tcPr>
            <w:tcW w:w="2420" w:type="dxa"/>
            <w:noWrap/>
            <w:hideMark/>
          </w:tcPr>
          <w:p w14:paraId="2C3B258A"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NRV </w:t>
            </w:r>
          </w:p>
        </w:tc>
        <w:tc>
          <w:tcPr>
            <w:tcW w:w="1380" w:type="dxa"/>
            <w:noWrap/>
            <w:hideMark/>
          </w:tcPr>
          <w:p w14:paraId="741BFA78"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NRV-NPM</w:t>
            </w:r>
          </w:p>
        </w:tc>
        <w:tc>
          <w:tcPr>
            <w:tcW w:w="1380" w:type="dxa"/>
            <w:noWrap/>
            <w:hideMark/>
          </w:tcPr>
          <w:p w14:paraId="7064B78A"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Market</w:t>
            </w:r>
          </w:p>
        </w:tc>
        <w:tc>
          <w:tcPr>
            <w:tcW w:w="1220" w:type="dxa"/>
            <w:noWrap/>
            <w:hideMark/>
          </w:tcPr>
          <w:p w14:paraId="62E22357"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Loss</w:t>
            </w:r>
          </w:p>
        </w:tc>
      </w:tr>
      <w:tr w:rsidR="001C1EBD" w:rsidRPr="009973F5" w14:paraId="63FD6FE8" w14:textId="77777777" w:rsidTr="001C1EBD">
        <w:trPr>
          <w:trHeight w:val="290"/>
        </w:trPr>
        <w:tc>
          <w:tcPr>
            <w:tcW w:w="1520" w:type="dxa"/>
            <w:noWrap/>
            <w:hideMark/>
          </w:tcPr>
          <w:p w14:paraId="01174805"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3,800,000 </w:t>
            </w:r>
          </w:p>
        </w:tc>
        <w:tc>
          <w:tcPr>
            <w:tcW w:w="1380" w:type="dxa"/>
            <w:noWrap/>
            <w:hideMark/>
          </w:tcPr>
          <w:p w14:paraId="753293F2"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3,300,000 </w:t>
            </w:r>
          </w:p>
        </w:tc>
        <w:tc>
          <w:tcPr>
            <w:tcW w:w="2420" w:type="dxa"/>
            <w:noWrap/>
            <w:hideMark/>
          </w:tcPr>
          <w:p w14:paraId="3062AA98"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4,000,000 </w:t>
            </w:r>
          </w:p>
        </w:tc>
        <w:tc>
          <w:tcPr>
            <w:tcW w:w="1380" w:type="dxa"/>
            <w:noWrap/>
            <w:hideMark/>
          </w:tcPr>
          <w:p w14:paraId="54375C03"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2,800,000 </w:t>
            </w:r>
          </w:p>
        </w:tc>
        <w:tc>
          <w:tcPr>
            <w:tcW w:w="1380" w:type="dxa"/>
            <w:noWrap/>
            <w:hideMark/>
          </w:tcPr>
          <w:p w14:paraId="6AD1D447"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3,300,000 </w:t>
            </w:r>
          </w:p>
        </w:tc>
        <w:tc>
          <w:tcPr>
            <w:tcW w:w="1220" w:type="dxa"/>
            <w:noWrap/>
            <w:hideMark/>
          </w:tcPr>
          <w:p w14:paraId="0EC984EF" w14:textId="77777777" w:rsidR="001C1EBD" w:rsidRPr="009973F5" w:rsidRDefault="001C1EBD" w:rsidP="00861BB7">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500,000 </w:t>
            </w:r>
          </w:p>
        </w:tc>
      </w:tr>
    </w:tbl>
    <w:p w14:paraId="7B27F608" w14:textId="59D4F2A7" w:rsidR="001C1EBD" w:rsidRPr="00CC0F39" w:rsidRDefault="001C1EBD" w:rsidP="009973F5">
      <w:pPr>
        <w:widowControl w:val="0"/>
        <w:spacing w:after="0" w:line="480" w:lineRule="auto"/>
        <w:contextualSpacing/>
        <w:rPr>
          <w:rFonts w:ascii="Times New Roman" w:eastAsia="Times New Roman" w:hAnsi="Times New Roman" w:cs="Times New Roman"/>
          <w:b/>
          <w:bCs/>
          <w:i/>
          <w:iCs/>
          <w:sz w:val="24"/>
          <w:szCs w:val="24"/>
        </w:rPr>
      </w:pPr>
      <w:r w:rsidRPr="00CC0F39">
        <w:rPr>
          <w:rFonts w:ascii="Times New Roman" w:eastAsia="Times New Roman" w:hAnsi="Times New Roman" w:cs="Times New Roman"/>
          <w:b/>
          <w:bCs/>
          <w:i/>
          <w:iCs/>
          <w:sz w:val="24"/>
          <w:szCs w:val="24"/>
        </w:rPr>
        <w:t>Balance Sheet after Recognition of Inventory and Asset Impairment Losses</w:t>
      </w:r>
    </w:p>
    <w:tbl>
      <w:tblPr>
        <w:tblW w:w="5000" w:type="pct"/>
        <w:tblLook w:val="04A0" w:firstRow="1" w:lastRow="0" w:firstColumn="1" w:lastColumn="0" w:noHBand="0" w:noVBand="1"/>
      </w:tblPr>
      <w:tblGrid>
        <w:gridCol w:w="6728"/>
        <w:gridCol w:w="2622"/>
      </w:tblGrid>
      <w:tr w:rsidR="00A96E2C" w:rsidRPr="00A96E2C" w14:paraId="5D544124" w14:textId="77777777" w:rsidTr="00A96E2C">
        <w:trPr>
          <w:trHeight w:val="290"/>
        </w:trPr>
        <w:tc>
          <w:tcPr>
            <w:tcW w:w="3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630CDA"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Assets</w:t>
            </w:r>
          </w:p>
        </w:tc>
        <w:tc>
          <w:tcPr>
            <w:tcW w:w="140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F0F783"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p>
        </w:tc>
      </w:tr>
      <w:tr w:rsidR="00A96E2C" w:rsidRPr="00A96E2C" w14:paraId="4FA308BE" w14:textId="77777777" w:rsidTr="00A96E2C">
        <w:trPr>
          <w:trHeight w:val="290"/>
        </w:trPr>
        <w:tc>
          <w:tcPr>
            <w:tcW w:w="3598" w:type="pct"/>
            <w:tcBorders>
              <w:top w:val="single" w:sz="4" w:space="0" w:color="auto"/>
              <w:left w:val="single" w:sz="4" w:space="0" w:color="auto"/>
              <w:bottom w:val="nil"/>
              <w:right w:val="single" w:sz="4" w:space="0" w:color="auto"/>
            </w:tcBorders>
            <w:shd w:val="clear" w:color="auto" w:fill="auto"/>
            <w:noWrap/>
            <w:vAlign w:val="bottom"/>
            <w:hideMark/>
          </w:tcPr>
          <w:p w14:paraId="0453F925"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Current assets</w:t>
            </w:r>
          </w:p>
        </w:tc>
        <w:tc>
          <w:tcPr>
            <w:tcW w:w="1402" w:type="pct"/>
            <w:tcBorders>
              <w:top w:val="single" w:sz="4" w:space="0" w:color="auto"/>
              <w:left w:val="single" w:sz="4" w:space="0" w:color="auto"/>
              <w:bottom w:val="nil"/>
              <w:right w:val="single" w:sz="4" w:space="0" w:color="auto"/>
            </w:tcBorders>
            <w:shd w:val="clear" w:color="auto" w:fill="auto"/>
            <w:noWrap/>
            <w:vAlign w:val="bottom"/>
            <w:hideMark/>
          </w:tcPr>
          <w:p w14:paraId="2489A59C"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4,500,000 </w:t>
            </w:r>
          </w:p>
        </w:tc>
      </w:tr>
      <w:tr w:rsidR="00A96E2C" w:rsidRPr="00A96E2C" w14:paraId="65030F13" w14:textId="77777777" w:rsidTr="00A96E2C">
        <w:trPr>
          <w:trHeight w:val="290"/>
        </w:trPr>
        <w:tc>
          <w:tcPr>
            <w:tcW w:w="3598" w:type="pct"/>
            <w:tcBorders>
              <w:top w:val="nil"/>
              <w:left w:val="single" w:sz="4" w:space="0" w:color="auto"/>
              <w:bottom w:val="nil"/>
              <w:right w:val="single" w:sz="4" w:space="0" w:color="auto"/>
            </w:tcBorders>
            <w:shd w:val="clear" w:color="auto" w:fill="auto"/>
            <w:noWrap/>
            <w:vAlign w:val="bottom"/>
            <w:hideMark/>
          </w:tcPr>
          <w:p w14:paraId="3C934E45"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PPE, net</w:t>
            </w:r>
          </w:p>
        </w:tc>
        <w:tc>
          <w:tcPr>
            <w:tcW w:w="1402" w:type="pct"/>
            <w:tcBorders>
              <w:top w:val="nil"/>
              <w:left w:val="single" w:sz="4" w:space="0" w:color="auto"/>
              <w:bottom w:val="nil"/>
              <w:right w:val="single" w:sz="4" w:space="0" w:color="auto"/>
            </w:tcBorders>
            <w:shd w:val="clear" w:color="auto" w:fill="auto"/>
            <w:noWrap/>
            <w:vAlign w:val="bottom"/>
            <w:hideMark/>
          </w:tcPr>
          <w:p w14:paraId="7A2E8075"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14,550,000 </w:t>
            </w:r>
          </w:p>
        </w:tc>
      </w:tr>
      <w:tr w:rsidR="00A96E2C" w:rsidRPr="00A96E2C" w14:paraId="6F8F705E" w14:textId="77777777" w:rsidTr="00A96E2C">
        <w:trPr>
          <w:trHeight w:val="300"/>
        </w:trPr>
        <w:tc>
          <w:tcPr>
            <w:tcW w:w="3598" w:type="pct"/>
            <w:tcBorders>
              <w:top w:val="nil"/>
              <w:left w:val="single" w:sz="4" w:space="0" w:color="auto"/>
              <w:bottom w:val="nil"/>
              <w:right w:val="single" w:sz="4" w:space="0" w:color="auto"/>
            </w:tcBorders>
            <w:shd w:val="clear" w:color="auto" w:fill="auto"/>
            <w:noWrap/>
            <w:vAlign w:val="bottom"/>
            <w:hideMark/>
          </w:tcPr>
          <w:p w14:paraId="41662E6F"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Total assets</w:t>
            </w:r>
          </w:p>
        </w:tc>
        <w:tc>
          <w:tcPr>
            <w:tcW w:w="1402" w:type="pct"/>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08102CB2"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19,050,000 </w:t>
            </w:r>
          </w:p>
        </w:tc>
      </w:tr>
      <w:tr w:rsidR="00A96E2C" w:rsidRPr="00A96E2C" w14:paraId="201EBF21" w14:textId="77777777" w:rsidTr="00A96E2C">
        <w:trPr>
          <w:trHeight w:val="300"/>
        </w:trPr>
        <w:tc>
          <w:tcPr>
            <w:tcW w:w="3598" w:type="pct"/>
            <w:tcBorders>
              <w:top w:val="nil"/>
              <w:left w:val="single" w:sz="4" w:space="0" w:color="auto"/>
              <w:bottom w:val="nil"/>
              <w:right w:val="single" w:sz="4" w:space="0" w:color="auto"/>
            </w:tcBorders>
            <w:shd w:val="clear" w:color="auto" w:fill="auto"/>
            <w:noWrap/>
            <w:vAlign w:val="bottom"/>
            <w:hideMark/>
          </w:tcPr>
          <w:p w14:paraId="6CD6BFD4"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p>
        </w:tc>
        <w:tc>
          <w:tcPr>
            <w:tcW w:w="1402" w:type="pct"/>
            <w:tcBorders>
              <w:top w:val="nil"/>
              <w:left w:val="single" w:sz="4" w:space="0" w:color="auto"/>
              <w:bottom w:val="nil"/>
              <w:right w:val="single" w:sz="4" w:space="0" w:color="auto"/>
            </w:tcBorders>
            <w:shd w:val="clear" w:color="auto" w:fill="auto"/>
            <w:noWrap/>
            <w:vAlign w:val="bottom"/>
            <w:hideMark/>
          </w:tcPr>
          <w:p w14:paraId="058A279F" w14:textId="77777777" w:rsidR="00A96E2C" w:rsidRPr="00A96E2C" w:rsidRDefault="00A96E2C" w:rsidP="009973F5">
            <w:pPr>
              <w:widowControl w:val="0"/>
              <w:spacing w:after="0" w:line="240" w:lineRule="auto"/>
              <w:contextualSpacing/>
              <w:rPr>
                <w:rFonts w:ascii="Times New Roman" w:eastAsia="Times New Roman" w:hAnsi="Times New Roman" w:cs="Times New Roman"/>
                <w:sz w:val="24"/>
                <w:szCs w:val="24"/>
              </w:rPr>
            </w:pPr>
          </w:p>
        </w:tc>
      </w:tr>
      <w:tr w:rsidR="00A96E2C" w:rsidRPr="00A96E2C" w14:paraId="6D9341AA" w14:textId="77777777" w:rsidTr="00A96E2C">
        <w:trPr>
          <w:trHeight w:val="290"/>
        </w:trPr>
        <w:tc>
          <w:tcPr>
            <w:tcW w:w="3598" w:type="pct"/>
            <w:tcBorders>
              <w:top w:val="nil"/>
              <w:left w:val="single" w:sz="4" w:space="0" w:color="auto"/>
              <w:bottom w:val="nil"/>
              <w:right w:val="single" w:sz="4" w:space="0" w:color="auto"/>
            </w:tcBorders>
            <w:shd w:val="clear" w:color="auto" w:fill="auto"/>
            <w:noWrap/>
            <w:vAlign w:val="bottom"/>
            <w:hideMark/>
          </w:tcPr>
          <w:p w14:paraId="56970996"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Liabilities</w:t>
            </w:r>
          </w:p>
        </w:tc>
        <w:tc>
          <w:tcPr>
            <w:tcW w:w="1402" w:type="pct"/>
            <w:tcBorders>
              <w:top w:val="nil"/>
              <w:left w:val="single" w:sz="4" w:space="0" w:color="auto"/>
              <w:bottom w:val="nil"/>
              <w:right w:val="single" w:sz="4" w:space="0" w:color="auto"/>
            </w:tcBorders>
            <w:shd w:val="clear" w:color="auto" w:fill="auto"/>
            <w:noWrap/>
            <w:vAlign w:val="bottom"/>
            <w:hideMark/>
          </w:tcPr>
          <w:p w14:paraId="7B57ACF6"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p>
        </w:tc>
      </w:tr>
      <w:tr w:rsidR="00A96E2C" w:rsidRPr="00A96E2C" w14:paraId="2748FAA4" w14:textId="77777777" w:rsidTr="00A96E2C">
        <w:trPr>
          <w:trHeight w:val="290"/>
        </w:trPr>
        <w:tc>
          <w:tcPr>
            <w:tcW w:w="3598" w:type="pct"/>
            <w:tcBorders>
              <w:top w:val="nil"/>
              <w:left w:val="single" w:sz="4" w:space="0" w:color="auto"/>
              <w:bottom w:val="nil"/>
              <w:right w:val="single" w:sz="4" w:space="0" w:color="auto"/>
            </w:tcBorders>
            <w:shd w:val="clear" w:color="auto" w:fill="auto"/>
            <w:noWrap/>
            <w:vAlign w:val="bottom"/>
            <w:hideMark/>
          </w:tcPr>
          <w:p w14:paraId="454B10F7"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Current liabilities</w:t>
            </w:r>
          </w:p>
        </w:tc>
        <w:tc>
          <w:tcPr>
            <w:tcW w:w="1402" w:type="pct"/>
            <w:tcBorders>
              <w:top w:val="nil"/>
              <w:left w:val="single" w:sz="4" w:space="0" w:color="auto"/>
              <w:bottom w:val="nil"/>
              <w:right w:val="single" w:sz="4" w:space="0" w:color="auto"/>
            </w:tcBorders>
            <w:shd w:val="clear" w:color="auto" w:fill="auto"/>
            <w:noWrap/>
            <w:vAlign w:val="bottom"/>
            <w:hideMark/>
          </w:tcPr>
          <w:p w14:paraId="6BD6B775"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1,000,000 </w:t>
            </w:r>
          </w:p>
        </w:tc>
      </w:tr>
      <w:tr w:rsidR="00A96E2C" w:rsidRPr="00A96E2C" w14:paraId="7D29A161" w14:textId="77777777" w:rsidTr="00A96E2C">
        <w:trPr>
          <w:trHeight w:val="290"/>
        </w:trPr>
        <w:tc>
          <w:tcPr>
            <w:tcW w:w="3598" w:type="pct"/>
            <w:tcBorders>
              <w:top w:val="nil"/>
              <w:left w:val="single" w:sz="4" w:space="0" w:color="auto"/>
              <w:bottom w:val="nil"/>
              <w:right w:val="single" w:sz="4" w:space="0" w:color="auto"/>
            </w:tcBorders>
            <w:shd w:val="clear" w:color="auto" w:fill="auto"/>
            <w:noWrap/>
            <w:vAlign w:val="bottom"/>
            <w:hideMark/>
          </w:tcPr>
          <w:p w14:paraId="35C4383A"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Long-term debt</w:t>
            </w:r>
          </w:p>
        </w:tc>
        <w:tc>
          <w:tcPr>
            <w:tcW w:w="1402" w:type="pct"/>
            <w:tcBorders>
              <w:top w:val="nil"/>
              <w:left w:val="single" w:sz="4" w:space="0" w:color="auto"/>
              <w:bottom w:val="nil"/>
              <w:right w:val="single" w:sz="4" w:space="0" w:color="auto"/>
            </w:tcBorders>
            <w:shd w:val="clear" w:color="auto" w:fill="auto"/>
            <w:noWrap/>
            <w:vAlign w:val="bottom"/>
            <w:hideMark/>
          </w:tcPr>
          <w:p w14:paraId="43ADC9F5"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7,000,000 </w:t>
            </w:r>
          </w:p>
        </w:tc>
      </w:tr>
      <w:tr w:rsidR="00A96E2C" w:rsidRPr="00A96E2C" w14:paraId="61FE280B" w14:textId="77777777" w:rsidTr="00A96E2C">
        <w:trPr>
          <w:trHeight w:val="300"/>
        </w:trPr>
        <w:tc>
          <w:tcPr>
            <w:tcW w:w="3598" w:type="pct"/>
            <w:tcBorders>
              <w:top w:val="nil"/>
              <w:left w:val="single" w:sz="4" w:space="0" w:color="auto"/>
              <w:bottom w:val="nil"/>
              <w:right w:val="single" w:sz="4" w:space="0" w:color="auto"/>
            </w:tcBorders>
            <w:shd w:val="clear" w:color="auto" w:fill="auto"/>
            <w:noWrap/>
            <w:vAlign w:val="bottom"/>
            <w:hideMark/>
          </w:tcPr>
          <w:p w14:paraId="4120FD3A"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Total liabilities</w:t>
            </w:r>
          </w:p>
        </w:tc>
        <w:tc>
          <w:tcPr>
            <w:tcW w:w="1402" w:type="pct"/>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299F5EA2"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8,000,000 </w:t>
            </w:r>
          </w:p>
        </w:tc>
      </w:tr>
      <w:tr w:rsidR="00A96E2C" w:rsidRPr="00A96E2C" w14:paraId="3255C220" w14:textId="77777777" w:rsidTr="00A96E2C">
        <w:trPr>
          <w:trHeight w:val="300"/>
        </w:trPr>
        <w:tc>
          <w:tcPr>
            <w:tcW w:w="3598" w:type="pct"/>
            <w:tcBorders>
              <w:top w:val="nil"/>
              <w:left w:val="single" w:sz="4" w:space="0" w:color="auto"/>
              <w:bottom w:val="nil"/>
              <w:right w:val="single" w:sz="4" w:space="0" w:color="auto"/>
            </w:tcBorders>
            <w:shd w:val="clear" w:color="auto" w:fill="auto"/>
            <w:noWrap/>
            <w:vAlign w:val="bottom"/>
            <w:hideMark/>
          </w:tcPr>
          <w:p w14:paraId="6E531ADD"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p>
        </w:tc>
        <w:tc>
          <w:tcPr>
            <w:tcW w:w="1402" w:type="pct"/>
            <w:tcBorders>
              <w:top w:val="nil"/>
              <w:left w:val="single" w:sz="4" w:space="0" w:color="auto"/>
              <w:bottom w:val="nil"/>
              <w:right w:val="single" w:sz="4" w:space="0" w:color="auto"/>
            </w:tcBorders>
            <w:shd w:val="clear" w:color="auto" w:fill="auto"/>
            <w:noWrap/>
            <w:vAlign w:val="bottom"/>
            <w:hideMark/>
          </w:tcPr>
          <w:p w14:paraId="053A8D92" w14:textId="77777777" w:rsidR="00A96E2C" w:rsidRPr="00A96E2C" w:rsidRDefault="00A96E2C" w:rsidP="009973F5">
            <w:pPr>
              <w:widowControl w:val="0"/>
              <w:spacing w:after="0" w:line="240" w:lineRule="auto"/>
              <w:contextualSpacing/>
              <w:rPr>
                <w:rFonts w:ascii="Times New Roman" w:eastAsia="Times New Roman" w:hAnsi="Times New Roman" w:cs="Times New Roman"/>
                <w:sz w:val="24"/>
                <w:szCs w:val="24"/>
              </w:rPr>
            </w:pPr>
          </w:p>
        </w:tc>
      </w:tr>
      <w:tr w:rsidR="00A96E2C" w:rsidRPr="00A96E2C" w14:paraId="78E5C05B" w14:textId="77777777" w:rsidTr="00A96E2C">
        <w:trPr>
          <w:trHeight w:val="290"/>
        </w:trPr>
        <w:tc>
          <w:tcPr>
            <w:tcW w:w="3598" w:type="pct"/>
            <w:tcBorders>
              <w:top w:val="nil"/>
              <w:left w:val="single" w:sz="4" w:space="0" w:color="auto"/>
              <w:bottom w:val="nil"/>
              <w:right w:val="single" w:sz="4" w:space="0" w:color="auto"/>
            </w:tcBorders>
            <w:shd w:val="clear" w:color="auto" w:fill="auto"/>
            <w:noWrap/>
            <w:vAlign w:val="bottom"/>
            <w:hideMark/>
          </w:tcPr>
          <w:p w14:paraId="1F052649"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Stockholders' Equity</w:t>
            </w:r>
          </w:p>
        </w:tc>
        <w:tc>
          <w:tcPr>
            <w:tcW w:w="1402" w:type="pct"/>
            <w:tcBorders>
              <w:top w:val="nil"/>
              <w:left w:val="single" w:sz="4" w:space="0" w:color="auto"/>
              <w:bottom w:val="nil"/>
              <w:right w:val="single" w:sz="4" w:space="0" w:color="auto"/>
            </w:tcBorders>
            <w:shd w:val="clear" w:color="auto" w:fill="auto"/>
            <w:noWrap/>
            <w:vAlign w:val="bottom"/>
            <w:hideMark/>
          </w:tcPr>
          <w:p w14:paraId="239A7E23"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p>
        </w:tc>
      </w:tr>
      <w:tr w:rsidR="00A96E2C" w:rsidRPr="00A96E2C" w14:paraId="2E742288" w14:textId="77777777" w:rsidTr="00A96E2C">
        <w:trPr>
          <w:trHeight w:val="290"/>
        </w:trPr>
        <w:tc>
          <w:tcPr>
            <w:tcW w:w="3598" w:type="pct"/>
            <w:tcBorders>
              <w:top w:val="nil"/>
              <w:left w:val="single" w:sz="4" w:space="0" w:color="auto"/>
              <w:bottom w:val="nil"/>
              <w:right w:val="single" w:sz="4" w:space="0" w:color="auto"/>
            </w:tcBorders>
            <w:shd w:val="clear" w:color="auto" w:fill="auto"/>
            <w:noWrap/>
            <w:vAlign w:val="bottom"/>
            <w:hideMark/>
          </w:tcPr>
          <w:p w14:paraId="21115361"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Common stock/ APIC</w:t>
            </w:r>
          </w:p>
        </w:tc>
        <w:tc>
          <w:tcPr>
            <w:tcW w:w="1402" w:type="pct"/>
            <w:tcBorders>
              <w:top w:val="nil"/>
              <w:left w:val="single" w:sz="4" w:space="0" w:color="auto"/>
              <w:bottom w:val="nil"/>
              <w:right w:val="single" w:sz="4" w:space="0" w:color="auto"/>
            </w:tcBorders>
            <w:shd w:val="clear" w:color="auto" w:fill="auto"/>
            <w:noWrap/>
            <w:vAlign w:val="bottom"/>
            <w:hideMark/>
          </w:tcPr>
          <w:p w14:paraId="30B86E81"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3,000,000 </w:t>
            </w:r>
          </w:p>
        </w:tc>
      </w:tr>
      <w:tr w:rsidR="00A96E2C" w:rsidRPr="00A96E2C" w14:paraId="4BD57D3C" w14:textId="77777777" w:rsidTr="00A96E2C">
        <w:trPr>
          <w:trHeight w:val="290"/>
        </w:trPr>
        <w:tc>
          <w:tcPr>
            <w:tcW w:w="3598" w:type="pct"/>
            <w:tcBorders>
              <w:top w:val="nil"/>
              <w:left w:val="single" w:sz="4" w:space="0" w:color="auto"/>
              <w:bottom w:val="nil"/>
              <w:right w:val="single" w:sz="4" w:space="0" w:color="auto"/>
            </w:tcBorders>
            <w:shd w:val="clear" w:color="auto" w:fill="auto"/>
            <w:noWrap/>
            <w:vAlign w:val="bottom"/>
            <w:hideMark/>
          </w:tcPr>
          <w:p w14:paraId="385D82D0"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Retained earnings</w:t>
            </w:r>
          </w:p>
        </w:tc>
        <w:tc>
          <w:tcPr>
            <w:tcW w:w="1402" w:type="pct"/>
            <w:tcBorders>
              <w:top w:val="nil"/>
              <w:left w:val="single" w:sz="4" w:space="0" w:color="auto"/>
              <w:bottom w:val="nil"/>
              <w:right w:val="single" w:sz="4" w:space="0" w:color="auto"/>
            </w:tcBorders>
            <w:shd w:val="clear" w:color="auto" w:fill="auto"/>
            <w:noWrap/>
            <w:vAlign w:val="bottom"/>
            <w:hideMark/>
          </w:tcPr>
          <w:p w14:paraId="7670435F"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8,050,000 </w:t>
            </w:r>
          </w:p>
        </w:tc>
      </w:tr>
      <w:tr w:rsidR="00A96E2C" w:rsidRPr="00A96E2C" w14:paraId="116D833D" w14:textId="77777777" w:rsidTr="00A96E2C">
        <w:trPr>
          <w:trHeight w:val="290"/>
        </w:trPr>
        <w:tc>
          <w:tcPr>
            <w:tcW w:w="3598" w:type="pct"/>
            <w:tcBorders>
              <w:top w:val="nil"/>
              <w:left w:val="single" w:sz="4" w:space="0" w:color="auto"/>
              <w:bottom w:val="nil"/>
              <w:right w:val="single" w:sz="4" w:space="0" w:color="auto"/>
            </w:tcBorders>
            <w:shd w:val="clear" w:color="auto" w:fill="auto"/>
            <w:noWrap/>
            <w:vAlign w:val="bottom"/>
            <w:hideMark/>
          </w:tcPr>
          <w:p w14:paraId="58324C06"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Total stockholder's equity</w:t>
            </w:r>
          </w:p>
        </w:tc>
        <w:tc>
          <w:tcPr>
            <w:tcW w:w="140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9B6B3B"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11,050,000 </w:t>
            </w:r>
          </w:p>
        </w:tc>
      </w:tr>
      <w:tr w:rsidR="00A96E2C" w:rsidRPr="00A96E2C" w14:paraId="39DB39B0" w14:textId="77777777" w:rsidTr="00A96E2C">
        <w:trPr>
          <w:trHeight w:val="300"/>
        </w:trPr>
        <w:tc>
          <w:tcPr>
            <w:tcW w:w="3598" w:type="pct"/>
            <w:tcBorders>
              <w:top w:val="nil"/>
              <w:left w:val="single" w:sz="4" w:space="0" w:color="auto"/>
              <w:bottom w:val="single" w:sz="4" w:space="0" w:color="auto"/>
              <w:right w:val="single" w:sz="4" w:space="0" w:color="auto"/>
            </w:tcBorders>
            <w:shd w:val="clear" w:color="auto" w:fill="auto"/>
            <w:noWrap/>
            <w:vAlign w:val="bottom"/>
            <w:hideMark/>
          </w:tcPr>
          <w:p w14:paraId="3150759B"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lastRenderedPageBreak/>
              <w:t>Total liabilities &amp; stockholder's equity</w:t>
            </w:r>
          </w:p>
        </w:tc>
        <w:tc>
          <w:tcPr>
            <w:tcW w:w="1402" w:type="pct"/>
            <w:tcBorders>
              <w:top w:val="nil"/>
              <w:left w:val="single" w:sz="4" w:space="0" w:color="auto"/>
              <w:bottom w:val="single" w:sz="4" w:space="0" w:color="auto"/>
              <w:right w:val="single" w:sz="4" w:space="0" w:color="auto"/>
            </w:tcBorders>
            <w:shd w:val="clear" w:color="auto" w:fill="auto"/>
            <w:noWrap/>
            <w:vAlign w:val="bottom"/>
            <w:hideMark/>
          </w:tcPr>
          <w:p w14:paraId="76BC88DB"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19,050,000 </w:t>
            </w:r>
          </w:p>
        </w:tc>
      </w:tr>
    </w:tbl>
    <w:p w14:paraId="596DD273" w14:textId="77777777" w:rsidR="001C1EBD" w:rsidRPr="009973F5" w:rsidRDefault="001C1EBD" w:rsidP="009973F5">
      <w:pPr>
        <w:widowControl w:val="0"/>
        <w:spacing w:after="0" w:line="480" w:lineRule="auto"/>
        <w:contextualSpacing/>
        <w:rPr>
          <w:rFonts w:ascii="Times New Roman" w:eastAsia="Times New Roman" w:hAnsi="Times New Roman" w:cs="Times New Roman"/>
          <w:sz w:val="24"/>
          <w:szCs w:val="24"/>
        </w:rPr>
      </w:pPr>
    </w:p>
    <w:p w14:paraId="0A3AF07B" w14:textId="64FBA691" w:rsidR="006554D4" w:rsidRDefault="007E098B" w:rsidP="009973F5">
      <w:pPr>
        <w:widowControl w:val="0"/>
        <w:spacing w:after="0" w:line="480" w:lineRule="auto"/>
        <w:contextualSpacing/>
        <w:rPr>
          <w:rFonts w:ascii="Times New Roman" w:eastAsia="Times New Roman" w:hAnsi="Times New Roman" w:cs="Times New Roman"/>
          <w:b/>
          <w:bCs/>
          <w:sz w:val="24"/>
          <w:szCs w:val="24"/>
        </w:rPr>
      </w:pPr>
      <w:r w:rsidRPr="009973F5">
        <w:rPr>
          <w:rFonts w:ascii="Times New Roman" w:eastAsia="Times New Roman" w:hAnsi="Times New Roman" w:cs="Times New Roman"/>
          <w:b/>
          <w:bCs/>
          <w:sz w:val="24"/>
          <w:szCs w:val="24"/>
        </w:rPr>
        <w:t>Reporting Unit 2: DJ Corporation</w:t>
      </w:r>
    </w:p>
    <w:p w14:paraId="2531E883" w14:textId="43F38FA3" w:rsidR="00861BB7" w:rsidRPr="00CC0F39" w:rsidRDefault="00861BB7" w:rsidP="009973F5">
      <w:pPr>
        <w:widowControl w:val="0"/>
        <w:spacing w:after="0" w:line="480" w:lineRule="auto"/>
        <w:contextualSpacing/>
        <w:rPr>
          <w:rFonts w:ascii="Times New Roman" w:eastAsia="Times New Roman" w:hAnsi="Times New Roman" w:cs="Times New Roman"/>
          <w:b/>
          <w:bCs/>
          <w:i/>
          <w:iCs/>
          <w:sz w:val="24"/>
          <w:szCs w:val="24"/>
        </w:rPr>
      </w:pPr>
      <w:r w:rsidRPr="00CC0F39">
        <w:rPr>
          <w:rFonts w:ascii="Times New Roman" w:eastAsia="Times New Roman" w:hAnsi="Times New Roman" w:cs="Times New Roman"/>
          <w:b/>
          <w:bCs/>
          <w:i/>
          <w:iCs/>
          <w:sz w:val="24"/>
          <w:szCs w:val="24"/>
        </w:rPr>
        <w:t>Asset Impairment Loss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3"/>
        <w:gridCol w:w="2425"/>
        <w:gridCol w:w="4252"/>
      </w:tblGrid>
      <w:tr w:rsidR="00A96E2C" w:rsidRPr="00A96E2C" w14:paraId="4C9D0F74" w14:textId="77777777" w:rsidTr="00A96E2C">
        <w:trPr>
          <w:trHeight w:val="290"/>
        </w:trPr>
        <w:tc>
          <w:tcPr>
            <w:tcW w:w="1429" w:type="pct"/>
            <w:shd w:val="clear" w:color="auto" w:fill="auto"/>
            <w:noWrap/>
            <w:vAlign w:val="bottom"/>
            <w:hideMark/>
          </w:tcPr>
          <w:p w14:paraId="4664748E"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Asset Grouping</w:t>
            </w:r>
          </w:p>
        </w:tc>
        <w:tc>
          <w:tcPr>
            <w:tcW w:w="1297" w:type="pct"/>
            <w:shd w:val="clear" w:color="auto" w:fill="auto"/>
            <w:noWrap/>
            <w:vAlign w:val="bottom"/>
            <w:hideMark/>
          </w:tcPr>
          <w:p w14:paraId="16D840A2"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Step 1</w:t>
            </w:r>
          </w:p>
        </w:tc>
        <w:tc>
          <w:tcPr>
            <w:tcW w:w="2274" w:type="pct"/>
            <w:shd w:val="clear" w:color="auto" w:fill="auto"/>
            <w:noWrap/>
            <w:vAlign w:val="bottom"/>
            <w:hideMark/>
          </w:tcPr>
          <w:p w14:paraId="0134408D"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Step 2: Impairment loss </w:t>
            </w:r>
          </w:p>
        </w:tc>
      </w:tr>
      <w:tr w:rsidR="00A96E2C" w:rsidRPr="00A96E2C" w14:paraId="2FE09F47" w14:textId="77777777" w:rsidTr="00A96E2C">
        <w:trPr>
          <w:trHeight w:val="290"/>
        </w:trPr>
        <w:tc>
          <w:tcPr>
            <w:tcW w:w="1429" w:type="pct"/>
            <w:shd w:val="clear" w:color="auto" w:fill="auto"/>
            <w:noWrap/>
            <w:vAlign w:val="bottom"/>
            <w:hideMark/>
          </w:tcPr>
          <w:p w14:paraId="4066B1C1" w14:textId="77777777" w:rsidR="00A96E2C" w:rsidRPr="00A96E2C" w:rsidRDefault="00A96E2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1</w:t>
            </w:r>
          </w:p>
        </w:tc>
        <w:tc>
          <w:tcPr>
            <w:tcW w:w="1297" w:type="pct"/>
            <w:shd w:val="clear" w:color="auto" w:fill="auto"/>
            <w:noWrap/>
            <w:vAlign w:val="bottom"/>
            <w:hideMark/>
          </w:tcPr>
          <w:p w14:paraId="3EBE0B89"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Loss</w:t>
            </w:r>
          </w:p>
        </w:tc>
        <w:tc>
          <w:tcPr>
            <w:tcW w:w="2274" w:type="pct"/>
            <w:shd w:val="clear" w:color="auto" w:fill="auto"/>
            <w:noWrap/>
            <w:vAlign w:val="bottom"/>
            <w:hideMark/>
          </w:tcPr>
          <w:p w14:paraId="1BCD591E"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240,000 </w:t>
            </w:r>
          </w:p>
        </w:tc>
      </w:tr>
      <w:tr w:rsidR="00A96E2C" w:rsidRPr="00A96E2C" w14:paraId="6B86D2DB" w14:textId="77777777" w:rsidTr="00A96E2C">
        <w:trPr>
          <w:trHeight w:val="290"/>
        </w:trPr>
        <w:tc>
          <w:tcPr>
            <w:tcW w:w="1429" w:type="pct"/>
            <w:shd w:val="clear" w:color="auto" w:fill="auto"/>
            <w:noWrap/>
            <w:vAlign w:val="bottom"/>
            <w:hideMark/>
          </w:tcPr>
          <w:p w14:paraId="574B364A" w14:textId="77777777" w:rsidR="00A96E2C" w:rsidRPr="00A96E2C" w:rsidRDefault="00A96E2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2</w:t>
            </w:r>
          </w:p>
        </w:tc>
        <w:tc>
          <w:tcPr>
            <w:tcW w:w="1297" w:type="pct"/>
            <w:shd w:val="clear" w:color="auto" w:fill="auto"/>
            <w:noWrap/>
            <w:vAlign w:val="bottom"/>
            <w:hideMark/>
          </w:tcPr>
          <w:p w14:paraId="7B6EAA5E"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No loss</w:t>
            </w:r>
          </w:p>
        </w:tc>
        <w:tc>
          <w:tcPr>
            <w:tcW w:w="2274" w:type="pct"/>
            <w:shd w:val="clear" w:color="auto" w:fill="auto"/>
            <w:noWrap/>
            <w:vAlign w:val="bottom"/>
            <w:hideMark/>
          </w:tcPr>
          <w:p w14:paraId="5F8AD128"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   </w:t>
            </w:r>
          </w:p>
        </w:tc>
      </w:tr>
      <w:tr w:rsidR="00A96E2C" w:rsidRPr="00A96E2C" w14:paraId="6BC8EC74" w14:textId="77777777" w:rsidTr="00A96E2C">
        <w:trPr>
          <w:trHeight w:val="290"/>
        </w:trPr>
        <w:tc>
          <w:tcPr>
            <w:tcW w:w="1429" w:type="pct"/>
            <w:shd w:val="clear" w:color="auto" w:fill="auto"/>
            <w:noWrap/>
            <w:vAlign w:val="bottom"/>
            <w:hideMark/>
          </w:tcPr>
          <w:p w14:paraId="2E5407E8" w14:textId="77777777" w:rsidR="00A96E2C" w:rsidRPr="00A96E2C" w:rsidRDefault="00A96E2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3</w:t>
            </w:r>
          </w:p>
        </w:tc>
        <w:tc>
          <w:tcPr>
            <w:tcW w:w="1297" w:type="pct"/>
            <w:shd w:val="clear" w:color="auto" w:fill="auto"/>
            <w:noWrap/>
            <w:vAlign w:val="bottom"/>
            <w:hideMark/>
          </w:tcPr>
          <w:p w14:paraId="68C01BEE"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No loss</w:t>
            </w:r>
          </w:p>
        </w:tc>
        <w:tc>
          <w:tcPr>
            <w:tcW w:w="2274" w:type="pct"/>
            <w:shd w:val="clear" w:color="auto" w:fill="auto"/>
            <w:noWrap/>
            <w:vAlign w:val="bottom"/>
            <w:hideMark/>
          </w:tcPr>
          <w:p w14:paraId="2CFC72B2"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   </w:t>
            </w:r>
          </w:p>
        </w:tc>
      </w:tr>
      <w:tr w:rsidR="00A96E2C" w:rsidRPr="00A96E2C" w14:paraId="7AD72116" w14:textId="77777777" w:rsidTr="00A96E2C">
        <w:trPr>
          <w:trHeight w:val="290"/>
        </w:trPr>
        <w:tc>
          <w:tcPr>
            <w:tcW w:w="1429" w:type="pct"/>
            <w:shd w:val="clear" w:color="auto" w:fill="auto"/>
            <w:noWrap/>
            <w:vAlign w:val="bottom"/>
            <w:hideMark/>
          </w:tcPr>
          <w:p w14:paraId="16241D86" w14:textId="77777777" w:rsidR="00A96E2C" w:rsidRPr="00A96E2C" w:rsidRDefault="00A96E2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4</w:t>
            </w:r>
          </w:p>
        </w:tc>
        <w:tc>
          <w:tcPr>
            <w:tcW w:w="1297" w:type="pct"/>
            <w:shd w:val="clear" w:color="auto" w:fill="auto"/>
            <w:noWrap/>
            <w:vAlign w:val="bottom"/>
            <w:hideMark/>
          </w:tcPr>
          <w:p w14:paraId="028D4911"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No loss</w:t>
            </w:r>
          </w:p>
        </w:tc>
        <w:tc>
          <w:tcPr>
            <w:tcW w:w="2274" w:type="pct"/>
            <w:shd w:val="clear" w:color="auto" w:fill="auto"/>
            <w:noWrap/>
            <w:vAlign w:val="bottom"/>
            <w:hideMark/>
          </w:tcPr>
          <w:p w14:paraId="0138CB2D"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   </w:t>
            </w:r>
          </w:p>
        </w:tc>
      </w:tr>
      <w:tr w:rsidR="00A96E2C" w:rsidRPr="00A96E2C" w14:paraId="6A245094" w14:textId="77777777" w:rsidTr="00A96E2C">
        <w:trPr>
          <w:trHeight w:val="290"/>
        </w:trPr>
        <w:tc>
          <w:tcPr>
            <w:tcW w:w="1429" w:type="pct"/>
            <w:shd w:val="clear" w:color="auto" w:fill="auto"/>
            <w:noWrap/>
            <w:vAlign w:val="bottom"/>
            <w:hideMark/>
          </w:tcPr>
          <w:p w14:paraId="2A1D527B" w14:textId="77777777" w:rsidR="00A96E2C" w:rsidRPr="00A96E2C" w:rsidRDefault="00A96E2C" w:rsidP="009973F5">
            <w:pPr>
              <w:widowControl w:val="0"/>
              <w:spacing w:after="0" w:line="240" w:lineRule="auto"/>
              <w:contextualSpacing/>
              <w:jc w:val="right"/>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5</w:t>
            </w:r>
          </w:p>
        </w:tc>
        <w:tc>
          <w:tcPr>
            <w:tcW w:w="1297" w:type="pct"/>
            <w:shd w:val="clear" w:color="auto" w:fill="auto"/>
            <w:noWrap/>
            <w:vAlign w:val="bottom"/>
            <w:hideMark/>
          </w:tcPr>
          <w:p w14:paraId="41F20B54"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No loss</w:t>
            </w:r>
          </w:p>
        </w:tc>
        <w:tc>
          <w:tcPr>
            <w:tcW w:w="2274" w:type="pct"/>
            <w:shd w:val="clear" w:color="auto" w:fill="auto"/>
            <w:noWrap/>
            <w:vAlign w:val="bottom"/>
            <w:hideMark/>
          </w:tcPr>
          <w:p w14:paraId="7DA97CC3"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   </w:t>
            </w:r>
          </w:p>
        </w:tc>
      </w:tr>
      <w:tr w:rsidR="00A96E2C" w:rsidRPr="00A96E2C" w14:paraId="1512D5EF" w14:textId="77777777" w:rsidTr="00A96E2C">
        <w:trPr>
          <w:trHeight w:val="290"/>
        </w:trPr>
        <w:tc>
          <w:tcPr>
            <w:tcW w:w="2726" w:type="pct"/>
            <w:gridSpan w:val="2"/>
            <w:shd w:val="clear" w:color="auto" w:fill="auto"/>
            <w:noWrap/>
            <w:vAlign w:val="bottom"/>
            <w:hideMark/>
          </w:tcPr>
          <w:p w14:paraId="0E3434D4" w14:textId="77777777" w:rsidR="00A96E2C" w:rsidRPr="00A96E2C" w:rsidRDefault="00A96E2C" w:rsidP="009973F5">
            <w:pPr>
              <w:widowControl w:val="0"/>
              <w:spacing w:after="0" w:line="240" w:lineRule="auto"/>
              <w:contextualSpacing/>
              <w:jc w:val="center"/>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Total impairment loss</w:t>
            </w:r>
          </w:p>
        </w:tc>
        <w:tc>
          <w:tcPr>
            <w:tcW w:w="2274" w:type="pct"/>
            <w:shd w:val="clear" w:color="auto" w:fill="auto"/>
            <w:noWrap/>
            <w:vAlign w:val="bottom"/>
            <w:hideMark/>
          </w:tcPr>
          <w:p w14:paraId="03DB748C" w14:textId="77777777" w:rsidR="00A96E2C" w:rsidRPr="00A96E2C" w:rsidRDefault="00A96E2C" w:rsidP="009973F5">
            <w:pPr>
              <w:widowControl w:val="0"/>
              <w:spacing w:after="0" w:line="240" w:lineRule="auto"/>
              <w:contextualSpacing/>
              <w:rPr>
                <w:rFonts w:ascii="Times New Roman" w:eastAsia="Times New Roman" w:hAnsi="Times New Roman" w:cs="Times New Roman"/>
                <w:color w:val="000000"/>
                <w:sz w:val="24"/>
                <w:szCs w:val="24"/>
              </w:rPr>
            </w:pPr>
            <w:r w:rsidRPr="00A96E2C">
              <w:rPr>
                <w:rFonts w:ascii="Times New Roman" w:eastAsia="Times New Roman" w:hAnsi="Times New Roman" w:cs="Times New Roman"/>
                <w:color w:val="000000"/>
                <w:sz w:val="24"/>
                <w:szCs w:val="24"/>
              </w:rPr>
              <w:t xml:space="preserve">                               240,000 </w:t>
            </w:r>
          </w:p>
        </w:tc>
      </w:tr>
    </w:tbl>
    <w:p w14:paraId="5A039300" w14:textId="77777777" w:rsidR="00861BB7" w:rsidRDefault="00861BB7" w:rsidP="009973F5">
      <w:pPr>
        <w:widowControl w:val="0"/>
        <w:spacing w:after="0" w:line="480" w:lineRule="auto"/>
        <w:contextualSpacing/>
        <w:rPr>
          <w:rFonts w:ascii="Times New Roman" w:eastAsia="Times New Roman" w:hAnsi="Times New Roman" w:cs="Times New Roman"/>
          <w:sz w:val="24"/>
          <w:szCs w:val="24"/>
        </w:rPr>
      </w:pPr>
    </w:p>
    <w:p w14:paraId="39CBBD18" w14:textId="71DA2D2A" w:rsidR="00A96E2C" w:rsidRPr="00CC0F39" w:rsidRDefault="00A96E2C" w:rsidP="009973F5">
      <w:pPr>
        <w:widowControl w:val="0"/>
        <w:spacing w:after="0" w:line="480" w:lineRule="auto"/>
        <w:contextualSpacing/>
        <w:rPr>
          <w:rFonts w:ascii="Times New Roman" w:eastAsia="Times New Roman" w:hAnsi="Times New Roman" w:cs="Times New Roman"/>
          <w:b/>
          <w:bCs/>
          <w:i/>
          <w:iCs/>
          <w:sz w:val="24"/>
          <w:szCs w:val="24"/>
        </w:rPr>
      </w:pPr>
      <w:r w:rsidRPr="00CC0F39">
        <w:rPr>
          <w:rFonts w:ascii="Times New Roman" w:eastAsia="Times New Roman" w:hAnsi="Times New Roman" w:cs="Times New Roman"/>
          <w:b/>
          <w:bCs/>
          <w:i/>
          <w:iCs/>
          <w:sz w:val="24"/>
          <w:szCs w:val="24"/>
        </w:rPr>
        <w:t>Inventory Loss</w:t>
      </w:r>
    </w:p>
    <w:tbl>
      <w:tblPr>
        <w:tblStyle w:val="TableGrid"/>
        <w:tblW w:w="0" w:type="auto"/>
        <w:tblLook w:val="04A0" w:firstRow="1" w:lastRow="0" w:firstColumn="1" w:lastColumn="0" w:noHBand="0" w:noVBand="1"/>
      </w:tblPr>
      <w:tblGrid>
        <w:gridCol w:w="1520"/>
        <w:gridCol w:w="1380"/>
        <w:gridCol w:w="2420"/>
        <w:gridCol w:w="1380"/>
        <w:gridCol w:w="1380"/>
        <w:gridCol w:w="1220"/>
      </w:tblGrid>
      <w:tr w:rsidR="009973F5" w:rsidRPr="009973F5" w14:paraId="4A069CEF" w14:textId="77777777" w:rsidTr="009973F5">
        <w:trPr>
          <w:trHeight w:val="290"/>
        </w:trPr>
        <w:tc>
          <w:tcPr>
            <w:tcW w:w="1520" w:type="dxa"/>
            <w:noWrap/>
            <w:hideMark/>
          </w:tcPr>
          <w:p w14:paraId="03E18488"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Cost</w:t>
            </w:r>
          </w:p>
        </w:tc>
        <w:tc>
          <w:tcPr>
            <w:tcW w:w="1380" w:type="dxa"/>
            <w:noWrap/>
            <w:hideMark/>
          </w:tcPr>
          <w:p w14:paraId="7DA5F7B8"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RC</w:t>
            </w:r>
          </w:p>
        </w:tc>
        <w:tc>
          <w:tcPr>
            <w:tcW w:w="2420" w:type="dxa"/>
            <w:noWrap/>
            <w:hideMark/>
          </w:tcPr>
          <w:p w14:paraId="631D5563"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NRV </w:t>
            </w:r>
          </w:p>
        </w:tc>
        <w:tc>
          <w:tcPr>
            <w:tcW w:w="1380" w:type="dxa"/>
            <w:noWrap/>
            <w:hideMark/>
          </w:tcPr>
          <w:p w14:paraId="7761A76E"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NRV-NPM</w:t>
            </w:r>
          </w:p>
        </w:tc>
        <w:tc>
          <w:tcPr>
            <w:tcW w:w="1380" w:type="dxa"/>
            <w:noWrap/>
            <w:hideMark/>
          </w:tcPr>
          <w:p w14:paraId="78611973"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Market</w:t>
            </w:r>
          </w:p>
        </w:tc>
        <w:tc>
          <w:tcPr>
            <w:tcW w:w="1220" w:type="dxa"/>
            <w:noWrap/>
            <w:hideMark/>
          </w:tcPr>
          <w:p w14:paraId="401A3F99"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Loss</w:t>
            </w:r>
          </w:p>
        </w:tc>
      </w:tr>
      <w:tr w:rsidR="009973F5" w:rsidRPr="009973F5" w14:paraId="3CAEBD7A" w14:textId="77777777" w:rsidTr="009973F5">
        <w:trPr>
          <w:trHeight w:val="290"/>
        </w:trPr>
        <w:tc>
          <w:tcPr>
            <w:tcW w:w="1520" w:type="dxa"/>
            <w:noWrap/>
            <w:hideMark/>
          </w:tcPr>
          <w:p w14:paraId="7ABF5A2E"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1,100,000 </w:t>
            </w:r>
          </w:p>
        </w:tc>
        <w:tc>
          <w:tcPr>
            <w:tcW w:w="1380" w:type="dxa"/>
            <w:noWrap/>
            <w:hideMark/>
          </w:tcPr>
          <w:p w14:paraId="19F3A35B"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800,000 </w:t>
            </w:r>
          </w:p>
        </w:tc>
        <w:tc>
          <w:tcPr>
            <w:tcW w:w="2420" w:type="dxa"/>
            <w:noWrap/>
            <w:hideMark/>
          </w:tcPr>
          <w:p w14:paraId="32CE8B4A"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1,300,000 </w:t>
            </w:r>
          </w:p>
        </w:tc>
        <w:tc>
          <w:tcPr>
            <w:tcW w:w="1380" w:type="dxa"/>
            <w:noWrap/>
            <w:hideMark/>
          </w:tcPr>
          <w:p w14:paraId="38C25652"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1,000,000 </w:t>
            </w:r>
          </w:p>
        </w:tc>
        <w:tc>
          <w:tcPr>
            <w:tcW w:w="1380" w:type="dxa"/>
            <w:noWrap/>
            <w:hideMark/>
          </w:tcPr>
          <w:p w14:paraId="127669B9"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1,000,000 </w:t>
            </w:r>
          </w:p>
        </w:tc>
        <w:tc>
          <w:tcPr>
            <w:tcW w:w="1220" w:type="dxa"/>
            <w:noWrap/>
            <w:hideMark/>
          </w:tcPr>
          <w:p w14:paraId="63C2A131"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r w:rsidRPr="009973F5">
              <w:rPr>
                <w:rFonts w:ascii="Times New Roman" w:eastAsia="Times New Roman" w:hAnsi="Times New Roman" w:cs="Times New Roman"/>
                <w:sz w:val="24"/>
                <w:szCs w:val="24"/>
              </w:rPr>
              <w:t xml:space="preserve">       100,000 </w:t>
            </w:r>
          </w:p>
        </w:tc>
      </w:tr>
    </w:tbl>
    <w:p w14:paraId="7A9D6625" w14:textId="77777777" w:rsidR="00A96E2C" w:rsidRPr="009973F5" w:rsidRDefault="00A96E2C" w:rsidP="009973F5">
      <w:pPr>
        <w:widowControl w:val="0"/>
        <w:spacing w:after="0" w:line="480" w:lineRule="auto"/>
        <w:contextualSpacing/>
        <w:rPr>
          <w:rFonts w:ascii="Times New Roman" w:eastAsia="Times New Roman" w:hAnsi="Times New Roman" w:cs="Times New Roman"/>
          <w:sz w:val="24"/>
          <w:szCs w:val="24"/>
        </w:rPr>
      </w:pPr>
    </w:p>
    <w:p w14:paraId="55AD7736" w14:textId="6B858E40" w:rsidR="006554D4" w:rsidRPr="00CC0F39" w:rsidRDefault="009973F5" w:rsidP="009973F5">
      <w:pPr>
        <w:widowControl w:val="0"/>
        <w:spacing w:after="0" w:line="480" w:lineRule="auto"/>
        <w:contextualSpacing/>
        <w:rPr>
          <w:rFonts w:ascii="Times New Roman" w:eastAsia="Times New Roman" w:hAnsi="Times New Roman" w:cs="Times New Roman"/>
          <w:b/>
          <w:bCs/>
          <w:i/>
          <w:iCs/>
          <w:sz w:val="24"/>
          <w:szCs w:val="24"/>
        </w:rPr>
      </w:pPr>
      <w:r w:rsidRPr="00CC0F39">
        <w:rPr>
          <w:rFonts w:ascii="Times New Roman" w:eastAsia="Times New Roman" w:hAnsi="Times New Roman" w:cs="Times New Roman"/>
          <w:b/>
          <w:bCs/>
          <w:i/>
          <w:iCs/>
          <w:sz w:val="24"/>
          <w:szCs w:val="24"/>
        </w:rPr>
        <w:t>Balance Sheet after Recognition of Inventory and Asset Impairment Losses</w:t>
      </w:r>
    </w:p>
    <w:tbl>
      <w:tblPr>
        <w:tblW w:w="5000" w:type="pct"/>
        <w:tblLook w:val="04A0" w:firstRow="1" w:lastRow="0" w:firstColumn="1" w:lastColumn="0" w:noHBand="0" w:noVBand="1"/>
      </w:tblPr>
      <w:tblGrid>
        <w:gridCol w:w="5554"/>
        <w:gridCol w:w="3796"/>
      </w:tblGrid>
      <w:tr w:rsidR="009973F5" w:rsidRPr="009973F5" w14:paraId="39F4510D" w14:textId="77777777" w:rsidTr="009973F5">
        <w:trPr>
          <w:trHeight w:val="290"/>
        </w:trPr>
        <w:tc>
          <w:tcPr>
            <w:tcW w:w="2970" w:type="pct"/>
            <w:tcBorders>
              <w:top w:val="single" w:sz="4" w:space="0" w:color="auto"/>
              <w:left w:val="single" w:sz="4" w:space="0" w:color="auto"/>
              <w:bottom w:val="nil"/>
              <w:right w:val="single" w:sz="4" w:space="0" w:color="auto"/>
            </w:tcBorders>
            <w:shd w:val="clear" w:color="auto" w:fill="auto"/>
            <w:noWrap/>
            <w:vAlign w:val="bottom"/>
            <w:hideMark/>
          </w:tcPr>
          <w:p w14:paraId="39EF577C"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Assets</w:t>
            </w:r>
          </w:p>
        </w:tc>
        <w:tc>
          <w:tcPr>
            <w:tcW w:w="2030" w:type="pct"/>
            <w:tcBorders>
              <w:top w:val="single" w:sz="4" w:space="0" w:color="auto"/>
              <w:left w:val="single" w:sz="4" w:space="0" w:color="auto"/>
              <w:bottom w:val="nil"/>
              <w:right w:val="single" w:sz="4" w:space="0" w:color="auto"/>
            </w:tcBorders>
            <w:shd w:val="clear" w:color="auto" w:fill="auto"/>
            <w:noWrap/>
            <w:vAlign w:val="bottom"/>
            <w:hideMark/>
          </w:tcPr>
          <w:p w14:paraId="2DFC0FBB"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p>
        </w:tc>
      </w:tr>
      <w:tr w:rsidR="009973F5" w:rsidRPr="009973F5" w14:paraId="0DF454F5" w14:textId="77777777" w:rsidTr="009973F5">
        <w:trPr>
          <w:trHeight w:val="290"/>
        </w:trPr>
        <w:tc>
          <w:tcPr>
            <w:tcW w:w="2970" w:type="pct"/>
            <w:tcBorders>
              <w:top w:val="nil"/>
              <w:left w:val="single" w:sz="4" w:space="0" w:color="auto"/>
              <w:bottom w:val="nil"/>
              <w:right w:val="single" w:sz="4" w:space="0" w:color="auto"/>
            </w:tcBorders>
            <w:shd w:val="clear" w:color="auto" w:fill="auto"/>
            <w:noWrap/>
            <w:vAlign w:val="bottom"/>
            <w:hideMark/>
          </w:tcPr>
          <w:p w14:paraId="6CD62A93"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Current assets</w:t>
            </w:r>
          </w:p>
        </w:tc>
        <w:tc>
          <w:tcPr>
            <w:tcW w:w="2030" w:type="pct"/>
            <w:tcBorders>
              <w:top w:val="nil"/>
              <w:left w:val="single" w:sz="4" w:space="0" w:color="auto"/>
              <w:bottom w:val="nil"/>
              <w:right w:val="single" w:sz="4" w:space="0" w:color="auto"/>
            </w:tcBorders>
            <w:shd w:val="clear" w:color="auto" w:fill="auto"/>
            <w:noWrap/>
            <w:vAlign w:val="bottom"/>
            <w:hideMark/>
          </w:tcPr>
          <w:p w14:paraId="6F2C34D9"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 xml:space="preserve">                            1,700,000 </w:t>
            </w:r>
          </w:p>
        </w:tc>
      </w:tr>
      <w:tr w:rsidR="009973F5" w:rsidRPr="009973F5" w14:paraId="06CFC47B" w14:textId="77777777" w:rsidTr="009973F5">
        <w:trPr>
          <w:trHeight w:val="290"/>
        </w:trPr>
        <w:tc>
          <w:tcPr>
            <w:tcW w:w="2970" w:type="pct"/>
            <w:tcBorders>
              <w:top w:val="nil"/>
              <w:left w:val="single" w:sz="4" w:space="0" w:color="auto"/>
              <w:bottom w:val="nil"/>
              <w:right w:val="single" w:sz="4" w:space="0" w:color="auto"/>
            </w:tcBorders>
            <w:shd w:val="clear" w:color="auto" w:fill="auto"/>
            <w:noWrap/>
            <w:vAlign w:val="bottom"/>
            <w:hideMark/>
          </w:tcPr>
          <w:p w14:paraId="716BF2AC"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PPE, net</w:t>
            </w:r>
          </w:p>
        </w:tc>
        <w:tc>
          <w:tcPr>
            <w:tcW w:w="2030" w:type="pct"/>
            <w:tcBorders>
              <w:top w:val="nil"/>
              <w:left w:val="single" w:sz="4" w:space="0" w:color="auto"/>
              <w:bottom w:val="nil"/>
              <w:right w:val="single" w:sz="4" w:space="0" w:color="auto"/>
            </w:tcBorders>
            <w:shd w:val="clear" w:color="auto" w:fill="auto"/>
            <w:noWrap/>
            <w:vAlign w:val="bottom"/>
            <w:hideMark/>
          </w:tcPr>
          <w:p w14:paraId="5549AF1D"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 xml:space="preserve">                            2,960,000 </w:t>
            </w:r>
          </w:p>
        </w:tc>
      </w:tr>
      <w:tr w:rsidR="009973F5" w:rsidRPr="009973F5" w14:paraId="50FB541E" w14:textId="77777777" w:rsidTr="009973F5">
        <w:trPr>
          <w:trHeight w:val="300"/>
        </w:trPr>
        <w:tc>
          <w:tcPr>
            <w:tcW w:w="2970" w:type="pct"/>
            <w:tcBorders>
              <w:top w:val="nil"/>
              <w:left w:val="single" w:sz="4" w:space="0" w:color="auto"/>
              <w:bottom w:val="nil"/>
              <w:right w:val="single" w:sz="4" w:space="0" w:color="auto"/>
            </w:tcBorders>
            <w:shd w:val="clear" w:color="auto" w:fill="auto"/>
            <w:noWrap/>
            <w:vAlign w:val="bottom"/>
            <w:hideMark/>
          </w:tcPr>
          <w:p w14:paraId="6BB14719"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Total assets</w:t>
            </w:r>
          </w:p>
        </w:tc>
        <w:tc>
          <w:tcPr>
            <w:tcW w:w="2030" w:type="pct"/>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0B016E90"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 xml:space="preserve">                            4,660,000 </w:t>
            </w:r>
          </w:p>
        </w:tc>
      </w:tr>
      <w:tr w:rsidR="009973F5" w:rsidRPr="009973F5" w14:paraId="6FAE9CF8" w14:textId="77777777" w:rsidTr="009973F5">
        <w:trPr>
          <w:trHeight w:val="300"/>
        </w:trPr>
        <w:tc>
          <w:tcPr>
            <w:tcW w:w="2970" w:type="pct"/>
            <w:tcBorders>
              <w:top w:val="nil"/>
              <w:left w:val="single" w:sz="4" w:space="0" w:color="auto"/>
              <w:bottom w:val="nil"/>
              <w:right w:val="single" w:sz="4" w:space="0" w:color="auto"/>
            </w:tcBorders>
            <w:shd w:val="clear" w:color="auto" w:fill="auto"/>
            <w:noWrap/>
            <w:vAlign w:val="bottom"/>
            <w:hideMark/>
          </w:tcPr>
          <w:p w14:paraId="54D6D984"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p>
        </w:tc>
        <w:tc>
          <w:tcPr>
            <w:tcW w:w="2030" w:type="pct"/>
            <w:tcBorders>
              <w:top w:val="nil"/>
              <w:left w:val="single" w:sz="4" w:space="0" w:color="auto"/>
              <w:bottom w:val="nil"/>
              <w:right w:val="single" w:sz="4" w:space="0" w:color="auto"/>
            </w:tcBorders>
            <w:shd w:val="clear" w:color="auto" w:fill="auto"/>
            <w:noWrap/>
            <w:vAlign w:val="bottom"/>
            <w:hideMark/>
          </w:tcPr>
          <w:p w14:paraId="516375E4"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p>
        </w:tc>
      </w:tr>
      <w:tr w:rsidR="009973F5" w:rsidRPr="009973F5" w14:paraId="0EACBEE0" w14:textId="77777777" w:rsidTr="009973F5">
        <w:trPr>
          <w:trHeight w:val="290"/>
        </w:trPr>
        <w:tc>
          <w:tcPr>
            <w:tcW w:w="2970" w:type="pct"/>
            <w:tcBorders>
              <w:top w:val="nil"/>
              <w:left w:val="single" w:sz="4" w:space="0" w:color="auto"/>
              <w:bottom w:val="nil"/>
              <w:right w:val="single" w:sz="4" w:space="0" w:color="auto"/>
            </w:tcBorders>
            <w:shd w:val="clear" w:color="auto" w:fill="auto"/>
            <w:noWrap/>
            <w:vAlign w:val="bottom"/>
            <w:hideMark/>
          </w:tcPr>
          <w:p w14:paraId="18C8BA93"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Liabilities</w:t>
            </w:r>
          </w:p>
        </w:tc>
        <w:tc>
          <w:tcPr>
            <w:tcW w:w="2030" w:type="pct"/>
            <w:tcBorders>
              <w:top w:val="nil"/>
              <w:left w:val="single" w:sz="4" w:space="0" w:color="auto"/>
              <w:bottom w:val="nil"/>
              <w:right w:val="single" w:sz="4" w:space="0" w:color="auto"/>
            </w:tcBorders>
            <w:shd w:val="clear" w:color="auto" w:fill="auto"/>
            <w:noWrap/>
            <w:vAlign w:val="bottom"/>
            <w:hideMark/>
          </w:tcPr>
          <w:p w14:paraId="67AA6334"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p>
        </w:tc>
      </w:tr>
      <w:tr w:rsidR="009973F5" w:rsidRPr="009973F5" w14:paraId="23264D5A" w14:textId="77777777" w:rsidTr="009973F5">
        <w:trPr>
          <w:trHeight w:val="290"/>
        </w:trPr>
        <w:tc>
          <w:tcPr>
            <w:tcW w:w="2970" w:type="pct"/>
            <w:tcBorders>
              <w:top w:val="nil"/>
              <w:left w:val="single" w:sz="4" w:space="0" w:color="auto"/>
              <w:bottom w:val="nil"/>
              <w:right w:val="single" w:sz="4" w:space="0" w:color="auto"/>
            </w:tcBorders>
            <w:shd w:val="clear" w:color="auto" w:fill="auto"/>
            <w:noWrap/>
            <w:vAlign w:val="bottom"/>
            <w:hideMark/>
          </w:tcPr>
          <w:p w14:paraId="142349F4"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Current liabilities</w:t>
            </w:r>
          </w:p>
        </w:tc>
        <w:tc>
          <w:tcPr>
            <w:tcW w:w="2030" w:type="pct"/>
            <w:tcBorders>
              <w:top w:val="nil"/>
              <w:left w:val="single" w:sz="4" w:space="0" w:color="auto"/>
              <w:bottom w:val="nil"/>
              <w:right w:val="single" w:sz="4" w:space="0" w:color="auto"/>
            </w:tcBorders>
            <w:shd w:val="clear" w:color="auto" w:fill="auto"/>
            <w:noWrap/>
            <w:vAlign w:val="bottom"/>
            <w:hideMark/>
          </w:tcPr>
          <w:p w14:paraId="28D8E06C"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 xml:space="preserve">                               800,000 </w:t>
            </w:r>
          </w:p>
        </w:tc>
      </w:tr>
      <w:tr w:rsidR="009973F5" w:rsidRPr="009973F5" w14:paraId="426135F3" w14:textId="77777777" w:rsidTr="009973F5">
        <w:trPr>
          <w:trHeight w:val="290"/>
        </w:trPr>
        <w:tc>
          <w:tcPr>
            <w:tcW w:w="2970" w:type="pct"/>
            <w:tcBorders>
              <w:top w:val="nil"/>
              <w:left w:val="single" w:sz="4" w:space="0" w:color="auto"/>
              <w:bottom w:val="nil"/>
              <w:right w:val="single" w:sz="4" w:space="0" w:color="auto"/>
            </w:tcBorders>
            <w:shd w:val="clear" w:color="auto" w:fill="auto"/>
            <w:noWrap/>
            <w:vAlign w:val="bottom"/>
            <w:hideMark/>
          </w:tcPr>
          <w:p w14:paraId="0F723F6E"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Long-term debt</w:t>
            </w:r>
          </w:p>
        </w:tc>
        <w:tc>
          <w:tcPr>
            <w:tcW w:w="2030" w:type="pct"/>
            <w:tcBorders>
              <w:top w:val="nil"/>
              <w:left w:val="single" w:sz="4" w:space="0" w:color="auto"/>
              <w:bottom w:val="nil"/>
              <w:right w:val="single" w:sz="4" w:space="0" w:color="auto"/>
            </w:tcBorders>
            <w:shd w:val="clear" w:color="auto" w:fill="auto"/>
            <w:noWrap/>
            <w:vAlign w:val="bottom"/>
            <w:hideMark/>
          </w:tcPr>
          <w:p w14:paraId="2CF8083F"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 xml:space="preserve">                            2,200,000 </w:t>
            </w:r>
          </w:p>
        </w:tc>
      </w:tr>
      <w:tr w:rsidR="009973F5" w:rsidRPr="009973F5" w14:paraId="26D401F4" w14:textId="77777777" w:rsidTr="009973F5">
        <w:trPr>
          <w:trHeight w:val="300"/>
        </w:trPr>
        <w:tc>
          <w:tcPr>
            <w:tcW w:w="2970" w:type="pct"/>
            <w:tcBorders>
              <w:top w:val="nil"/>
              <w:left w:val="single" w:sz="4" w:space="0" w:color="auto"/>
              <w:bottom w:val="nil"/>
              <w:right w:val="single" w:sz="4" w:space="0" w:color="auto"/>
            </w:tcBorders>
            <w:shd w:val="clear" w:color="auto" w:fill="auto"/>
            <w:noWrap/>
            <w:vAlign w:val="bottom"/>
            <w:hideMark/>
          </w:tcPr>
          <w:p w14:paraId="265F75AF"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Total liabilities</w:t>
            </w:r>
          </w:p>
        </w:tc>
        <w:tc>
          <w:tcPr>
            <w:tcW w:w="2030" w:type="pct"/>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37327C36"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 xml:space="preserve">                            3,000,000 </w:t>
            </w:r>
          </w:p>
        </w:tc>
      </w:tr>
      <w:tr w:rsidR="009973F5" w:rsidRPr="009973F5" w14:paraId="5FA6630D" w14:textId="77777777" w:rsidTr="009973F5">
        <w:trPr>
          <w:trHeight w:val="300"/>
        </w:trPr>
        <w:tc>
          <w:tcPr>
            <w:tcW w:w="2970" w:type="pct"/>
            <w:tcBorders>
              <w:top w:val="nil"/>
              <w:left w:val="single" w:sz="4" w:space="0" w:color="auto"/>
              <w:bottom w:val="nil"/>
              <w:right w:val="single" w:sz="4" w:space="0" w:color="auto"/>
            </w:tcBorders>
            <w:shd w:val="clear" w:color="auto" w:fill="auto"/>
            <w:noWrap/>
            <w:vAlign w:val="bottom"/>
            <w:hideMark/>
          </w:tcPr>
          <w:p w14:paraId="2E5BBB6B"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p>
        </w:tc>
        <w:tc>
          <w:tcPr>
            <w:tcW w:w="2030" w:type="pct"/>
            <w:tcBorders>
              <w:top w:val="nil"/>
              <w:left w:val="single" w:sz="4" w:space="0" w:color="auto"/>
              <w:bottom w:val="nil"/>
              <w:right w:val="single" w:sz="4" w:space="0" w:color="auto"/>
            </w:tcBorders>
            <w:shd w:val="clear" w:color="auto" w:fill="auto"/>
            <w:noWrap/>
            <w:vAlign w:val="bottom"/>
            <w:hideMark/>
          </w:tcPr>
          <w:p w14:paraId="1031C02E" w14:textId="77777777" w:rsidR="009973F5" w:rsidRPr="009973F5" w:rsidRDefault="009973F5" w:rsidP="009973F5">
            <w:pPr>
              <w:widowControl w:val="0"/>
              <w:spacing w:after="0" w:line="240" w:lineRule="auto"/>
              <w:contextualSpacing/>
              <w:rPr>
                <w:rFonts w:ascii="Times New Roman" w:eastAsia="Times New Roman" w:hAnsi="Times New Roman" w:cs="Times New Roman"/>
                <w:sz w:val="24"/>
                <w:szCs w:val="24"/>
              </w:rPr>
            </w:pPr>
          </w:p>
        </w:tc>
      </w:tr>
      <w:tr w:rsidR="009973F5" w:rsidRPr="009973F5" w14:paraId="771BE1F0" w14:textId="77777777" w:rsidTr="009973F5">
        <w:trPr>
          <w:trHeight w:val="290"/>
        </w:trPr>
        <w:tc>
          <w:tcPr>
            <w:tcW w:w="2970" w:type="pct"/>
            <w:tcBorders>
              <w:top w:val="nil"/>
              <w:left w:val="single" w:sz="4" w:space="0" w:color="auto"/>
              <w:bottom w:val="nil"/>
              <w:right w:val="single" w:sz="4" w:space="0" w:color="auto"/>
            </w:tcBorders>
            <w:shd w:val="clear" w:color="auto" w:fill="auto"/>
            <w:noWrap/>
            <w:vAlign w:val="bottom"/>
            <w:hideMark/>
          </w:tcPr>
          <w:p w14:paraId="0D32C85C"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Stockholders' Equity</w:t>
            </w:r>
          </w:p>
        </w:tc>
        <w:tc>
          <w:tcPr>
            <w:tcW w:w="2030" w:type="pct"/>
            <w:tcBorders>
              <w:top w:val="nil"/>
              <w:left w:val="single" w:sz="4" w:space="0" w:color="auto"/>
              <w:bottom w:val="nil"/>
              <w:right w:val="single" w:sz="4" w:space="0" w:color="auto"/>
            </w:tcBorders>
            <w:shd w:val="clear" w:color="auto" w:fill="auto"/>
            <w:noWrap/>
            <w:vAlign w:val="bottom"/>
            <w:hideMark/>
          </w:tcPr>
          <w:p w14:paraId="703D34B4"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p>
        </w:tc>
      </w:tr>
      <w:tr w:rsidR="009973F5" w:rsidRPr="009973F5" w14:paraId="60B2C517" w14:textId="77777777" w:rsidTr="009973F5">
        <w:trPr>
          <w:trHeight w:val="290"/>
        </w:trPr>
        <w:tc>
          <w:tcPr>
            <w:tcW w:w="2970" w:type="pct"/>
            <w:tcBorders>
              <w:top w:val="nil"/>
              <w:left w:val="single" w:sz="4" w:space="0" w:color="auto"/>
              <w:bottom w:val="nil"/>
              <w:right w:val="single" w:sz="4" w:space="0" w:color="auto"/>
            </w:tcBorders>
            <w:shd w:val="clear" w:color="auto" w:fill="auto"/>
            <w:noWrap/>
            <w:vAlign w:val="bottom"/>
            <w:hideMark/>
          </w:tcPr>
          <w:p w14:paraId="03B79A78"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Common stock/ APIC</w:t>
            </w:r>
          </w:p>
        </w:tc>
        <w:tc>
          <w:tcPr>
            <w:tcW w:w="2030" w:type="pct"/>
            <w:tcBorders>
              <w:top w:val="nil"/>
              <w:left w:val="single" w:sz="4" w:space="0" w:color="auto"/>
              <w:bottom w:val="nil"/>
              <w:right w:val="single" w:sz="4" w:space="0" w:color="auto"/>
            </w:tcBorders>
            <w:shd w:val="clear" w:color="auto" w:fill="auto"/>
            <w:noWrap/>
            <w:vAlign w:val="bottom"/>
            <w:hideMark/>
          </w:tcPr>
          <w:p w14:paraId="35AD9ED3"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 xml:space="preserve">                               100,000 </w:t>
            </w:r>
          </w:p>
        </w:tc>
      </w:tr>
      <w:tr w:rsidR="009973F5" w:rsidRPr="009973F5" w14:paraId="6349CF52" w14:textId="77777777" w:rsidTr="009973F5">
        <w:trPr>
          <w:trHeight w:val="290"/>
        </w:trPr>
        <w:tc>
          <w:tcPr>
            <w:tcW w:w="2970" w:type="pct"/>
            <w:tcBorders>
              <w:top w:val="nil"/>
              <w:left w:val="single" w:sz="4" w:space="0" w:color="auto"/>
              <w:bottom w:val="nil"/>
              <w:right w:val="single" w:sz="4" w:space="0" w:color="auto"/>
            </w:tcBorders>
            <w:shd w:val="clear" w:color="auto" w:fill="auto"/>
            <w:noWrap/>
            <w:vAlign w:val="bottom"/>
            <w:hideMark/>
          </w:tcPr>
          <w:p w14:paraId="453FE549"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Retained earnings</w:t>
            </w:r>
          </w:p>
        </w:tc>
        <w:tc>
          <w:tcPr>
            <w:tcW w:w="2030" w:type="pct"/>
            <w:tcBorders>
              <w:top w:val="nil"/>
              <w:left w:val="single" w:sz="4" w:space="0" w:color="auto"/>
              <w:bottom w:val="nil"/>
              <w:right w:val="single" w:sz="4" w:space="0" w:color="auto"/>
            </w:tcBorders>
            <w:shd w:val="clear" w:color="auto" w:fill="auto"/>
            <w:noWrap/>
            <w:vAlign w:val="bottom"/>
            <w:hideMark/>
          </w:tcPr>
          <w:p w14:paraId="3F4C0ADE"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 xml:space="preserve">                            1,560,000 </w:t>
            </w:r>
          </w:p>
        </w:tc>
      </w:tr>
      <w:tr w:rsidR="009973F5" w:rsidRPr="009973F5" w14:paraId="750CAE30" w14:textId="77777777" w:rsidTr="009973F5">
        <w:trPr>
          <w:trHeight w:val="290"/>
        </w:trPr>
        <w:tc>
          <w:tcPr>
            <w:tcW w:w="2970" w:type="pct"/>
            <w:tcBorders>
              <w:top w:val="nil"/>
              <w:left w:val="single" w:sz="4" w:space="0" w:color="auto"/>
              <w:bottom w:val="nil"/>
              <w:right w:val="single" w:sz="4" w:space="0" w:color="auto"/>
            </w:tcBorders>
            <w:shd w:val="clear" w:color="auto" w:fill="auto"/>
            <w:noWrap/>
            <w:vAlign w:val="bottom"/>
            <w:hideMark/>
          </w:tcPr>
          <w:p w14:paraId="21A3737A"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Total stockholder's equity</w:t>
            </w:r>
          </w:p>
        </w:tc>
        <w:tc>
          <w:tcPr>
            <w:tcW w:w="20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91DE5F"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 xml:space="preserve">                            1,660,000 </w:t>
            </w:r>
          </w:p>
        </w:tc>
      </w:tr>
      <w:tr w:rsidR="009973F5" w:rsidRPr="009973F5" w14:paraId="196CE2E9" w14:textId="77777777" w:rsidTr="009973F5">
        <w:trPr>
          <w:trHeight w:val="300"/>
        </w:trPr>
        <w:tc>
          <w:tcPr>
            <w:tcW w:w="2970" w:type="pct"/>
            <w:tcBorders>
              <w:top w:val="nil"/>
              <w:left w:val="single" w:sz="4" w:space="0" w:color="auto"/>
              <w:bottom w:val="single" w:sz="4" w:space="0" w:color="auto"/>
              <w:right w:val="single" w:sz="4" w:space="0" w:color="auto"/>
            </w:tcBorders>
            <w:shd w:val="clear" w:color="auto" w:fill="auto"/>
            <w:noWrap/>
            <w:vAlign w:val="bottom"/>
            <w:hideMark/>
          </w:tcPr>
          <w:p w14:paraId="028352D0"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Total liabilities &amp; stockholder's equity</w:t>
            </w:r>
          </w:p>
        </w:tc>
        <w:tc>
          <w:tcPr>
            <w:tcW w:w="2030" w:type="pct"/>
            <w:tcBorders>
              <w:top w:val="nil"/>
              <w:left w:val="single" w:sz="4" w:space="0" w:color="auto"/>
              <w:bottom w:val="single" w:sz="4" w:space="0" w:color="auto"/>
              <w:right w:val="single" w:sz="4" w:space="0" w:color="auto"/>
            </w:tcBorders>
            <w:shd w:val="clear" w:color="auto" w:fill="auto"/>
            <w:noWrap/>
            <w:vAlign w:val="bottom"/>
            <w:hideMark/>
          </w:tcPr>
          <w:p w14:paraId="030CB448" w14:textId="77777777" w:rsidR="009973F5" w:rsidRPr="009973F5" w:rsidRDefault="009973F5" w:rsidP="009973F5">
            <w:pPr>
              <w:widowControl w:val="0"/>
              <w:spacing w:after="0" w:line="240" w:lineRule="auto"/>
              <w:contextualSpacing/>
              <w:rPr>
                <w:rFonts w:ascii="Times New Roman" w:eastAsia="Times New Roman" w:hAnsi="Times New Roman" w:cs="Times New Roman"/>
                <w:color w:val="000000"/>
                <w:sz w:val="24"/>
                <w:szCs w:val="24"/>
              </w:rPr>
            </w:pPr>
            <w:r w:rsidRPr="009973F5">
              <w:rPr>
                <w:rFonts w:ascii="Times New Roman" w:eastAsia="Times New Roman" w:hAnsi="Times New Roman" w:cs="Times New Roman"/>
                <w:color w:val="000000"/>
                <w:sz w:val="24"/>
                <w:szCs w:val="24"/>
              </w:rPr>
              <w:t xml:space="preserve">                            4,660,000 </w:t>
            </w:r>
          </w:p>
        </w:tc>
      </w:tr>
    </w:tbl>
    <w:p w14:paraId="7DAF1253" w14:textId="77777777" w:rsidR="009973F5" w:rsidRPr="009973F5" w:rsidRDefault="009973F5" w:rsidP="009973F5">
      <w:pPr>
        <w:widowControl w:val="0"/>
        <w:spacing w:after="0" w:line="480" w:lineRule="auto"/>
        <w:contextualSpacing/>
        <w:rPr>
          <w:rFonts w:ascii="Times New Roman" w:eastAsia="Times New Roman" w:hAnsi="Times New Roman" w:cs="Times New Roman"/>
          <w:sz w:val="24"/>
          <w:szCs w:val="24"/>
        </w:rPr>
      </w:pPr>
    </w:p>
    <w:p w14:paraId="5737FA80" w14:textId="77777777" w:rsidR="00861BB7" w:rsidRPr="005901CF" w:rsidRDefault="00861BB7" w:rsidP="00861BB7">
      <w:pPr>
        <w:widowControl w:val="0"/>
        <w:spacing w:after="0" w:line="480" w:lineRule="auto"/>
        <w:contextualSpacing/>
        <w:rPr>
          <w:rFonts w:ascii="Times New Roman" w:eastAsia="Times New Roman" w:hAnsi="Times New Roman" w:cs="Times New Roman"/>
          <w:b/>
          <w:bCs/>
          <w:sz w:val="24"/>
          <w:szCs w:val="24"/>
        </w:rPr>
      </w:pPr>
      <w:r w:rsidRPr="005901CF">
        <w:rPr>
          <w:rFonts w:ascii="Times New Roman" w:eastAsia="Times New Roman" w:hAnsi="Times New Roman" w:cs="Times New Roman"/>
          <w:b/>
          <w:bCs/>
          <w:sz w:val="24"/>
          <w:szCs w:val="24"/>
        </w:rPr>
        <w:t>Goodwill Impairment Loss</w:t>
      </w:r>
    </w:p>
    <w:tbl>
      <w:tblPr>
        <w:tblStyle w:val="TableGrid"/>
        <w:tblW w:w="5000" w:type="pct"/>
        <w:tblLook w:val="04A0" w:firstRow="1" w:lastRow="0" w:firstColumn="1" w:lastColumn="0" w:noHBand="0" w:noVBand="1"/>
      </w:tblPr>
      <w:tblGrid>
        <w:gridCol w:w="5494"/>
        <w:gridCol w:w="1941"/>
        <w:gridCol w:w="1915"/>
      </w:tblGrid>
      <w:tr w:rsidR="00F6570F" w:rsidRPr="00F6570F" w14:paraId="00536C76" w14:textId="77777777" w:rsidTr="00F6570F">
        <w:trPr>
          <w:trHeight w:val="290"/>
        </w:trPr>
        <w:tc>
          <w:tcPr>
            <w:tcW w:w="5000" w:type="pct"/>
            <w:gridSpan w:val="3"/>
            <w:noWrap/>
            <w:hideMark/>
          </w:tcPr>
          <w:p w14:paraId="48BC714D" w14:textId="77777777" w:rsidR="00F6570F" w:rsidRPr="00F6570F" w:rsidRDefault="00F6570F" w:rsidP="00F6570F">
            <w:pPr>
              <w:widowControl w:val="0"/>
              <w:spacing w:after="0" w:line="240" w:lineRule="auto"/>
              <w:contextualSpacing/>
              <w:jc w:val="center"/>
              <w:rPr>
                <w:rFonts w:ascii="Times New Roman" w:eastAsia="Times New Roman" w:hAnsi="Times New Roman" w:cs="Times New Roman"/>
                <w:b/>
                <w:bCs/>
                <w:sz w:val="24"/>
                <w:szCs w:val="24"/>
              </w:rPr>
            </w:pPr>
            <w:r w:rsidRPr="00F6570F">
              <w:rPr>
                <w:rFonts w:ascii="Times New Roman" w:eastAsia="Times New Roman" w:hAnsi="Times New Roman" w:cs="Times New Roman"/>
                <w:b/>
                <w:bCs/>
                <w:sz w:val="24"/>
                <w:szCs w:val="24"/>
              </w:rPr>
              <w:lastRenderedPageBreak/>
              <w:t>GOODWILL IMPAIRMENT: STEP 1</w:t>
            </w:r>
          </w:p>
        </w:tc>
      </w:tr>
      <w:tr w:rsidR="00782AF7" w:rsidRPr="00F6570F" w14:paraId="48DBE1AE" w14:textId="77777777" w:rsidTr="00F6570F">
        <w:trPr>
          <w:trHeight w:val="290"/>
        </w:trPr>
        <w:tc>
          <w:tcPr>
            <w:tcW w:w="2938" w:type="pct"/>
            <w:noWrap/>
          </w:tcPr>
          <w:p w14:paraId="3BF6EE40" w14:textId="77777777" w:rsidR="00782AF7" w:rsidRPr="00F6570F" w:rsidRDefault="00782AF7" w:rsidP="00F6570F">
            <w:pPr>
              <w:widowControl w:val="0"/>
              <w:spacing w:after="0" w:line="240" w:lineRule="auto"/>
              <w:contextualSpacing/>
              <w:rPr>
                <w:rFonts w:ascii="Times New Roman" w:eastAsia="Times New Roman" w:hAnsi="Times New Roman" w:cs="Times New Roman"/>
                <w:sz w:val="24"/>
                <w:szCs w:val="24"/>
              </w:rPr>
            </w:pPr>
          </w:p>
        </w:tc>
        <w:tc>
          <w:tcPr>
            <w:tcW w:w="1038" w:type="pct"/>
            <w:noWrap/>
          </w:tcPr>
          <w:p w14:paraId="0B1EE119" w14:textId="5F43FF22" w:rsidR="00782AF7" w:rsidRPr="00F6570F" w:rsidRDefault="00782AF7" w:rsidP="00F6570F">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00435567">
              <w:rPr>
                <w:rFonts w:ascii="Times New Roman" w:eastAsia="Times New Roman" w:hAnsi="Times New Roman" w:cs="Times New Roman"/>
                <w:sz w:val="24"/>
                <w:szCs w:val="24"/>
              </w:rPr>
              <w:t>L</w:t>
            </w:r>
          </w:p>
        </w:tc>
        <w:tc>
          <w:tcPr>
            <w:tcW w:w="1024" w:type="pct"/>
            <w:noWrap/>
          </w:tcPr>
          <w:p w14:paraId="3AAE3960" w14:textId="4A113D23" w:rsidR="00782AF7" w:rsidRPr="00F6570F" w:rsidRDefault="00782AF7" w:rsidP="00F6570F">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DJ</w:t>
            </w:r>
          </w:p>
        </w:tc>
      </w:tr>
      <w:tr w:rsidR="00F6570F" w:rsidRPr="00F6570F" w14:paraId="287D7B48" w14:textId="77777777" w:rsidTr="00F6570F">
        <w:trPr>
          <w:trHeight w:val="290"/>
        </w:trPr>
        <w:tc>
          <w:tcPr>
            <w:tcW w:w="2938" w:type="pct"/>
            <w:noWrap/>
            <w:hideMark/>
          </w:tcPr>
          <w:p w14:paraId="1B7498BA"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Fair value</w:t>
            </w:r>
          </w:p>
        </w:tc>
        <w:tc>
          <w:tcPr>
            <w:tcW w:w="1038" w:type="pct"/>
            <w:noWrap/>
            <w:hideMark/>
          </w:tcPr>
          <w:p w14:paraId="6313D157"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 xml:space="preserve">     11,000,000 </w:t>
            </w:r>
          </w:p>
        </w:tc>
        <w:tc>
          <w:tcPr>
            <w:tcW w:w="1024" w:type="pct"/>
            <w:noWrap/>
            <w:hideMark/>
          </w:tcPr>
          <w:p w14:paraId="0A52E08F"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 xml:space="preserve">       1,800,000 </w:t>
            </w:r>
          </w:p>
        </w:tc>
      </w:tr>
      <w:tr w:rsidR="00F6570F" w:rsidRPr="00F6570F" w14:paraId="2A7BB74D" w14:textId="77777777" w:rsidTr="00F6570F">
        <w:trPr>
          <w:trHeight w:val="290"/>
        </w:trPr>
        <w:tc>
          <w:tcPr>
            <w:tcW w:w="2938" w:type="pct"/>
            <w:noWrap/>
            <w:hideMark/>
          </w:tcPr>
          <w:p w14:paraId="70EF4EDF"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Carrying value, excl goodwill</w:t>
            </w:r>
          </w:p>
        </w:tc>
        <w:tc>
          <w:tcPr>
            <w:tcW w:w="1038" w:type="pct"/>
            <w:noWrap/>
            <w:hideMark/>
          </w:tcPr>
          <w:p w14:paraId="27B1B96C"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 xml:space="preserve">     11,050,000 </w:t>
            </w:r>
          </w:p>
        </w:tc>
        <w:tc>
          <w:tcPr>
            <w:tcW w:w="1024" w:type="pct"/>
            <w:noWrap/>
            <w:hideMark/>
          </w:tcPr>
          <w:p w14:paraId="68233A2D"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 xml:space="preserve">       1,660,000 </w:t>
            </w:r>
          </w:p>
        </w:tc>
      </w:tr>
      <w:tr w:rsidR="00F6570F" w:rsidRPr="00F6570F" w14:paraId="76B6C975" w14:textId="77777777" w:rsidTr="00F6570F">
        <w:trPr>
          <w:trHeight w:val="290"/>
        </w:trPr>
        <w:tc>
          <w:tcPr>
            <w:tcW w:w="2938" w:type="pct"/>
            <w:noWrap/>
            <w:hideMark/>
          </w:tcPr>
          <w:p w14:paraId="6733CE7A"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Goodwill</w:t>
            </w:r>
          </w:p>
        </w:tc>
        <w:tc>
          <w:tcPr>
            <w:tcW w:w="1038" w:type="pct"/>
            <w:noWrap/>
            <w:hideMark/>
          </w:tcPr>
          <w:p w14:paraId="4984FF6D"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 xml:space="preserve">       1,300,000 </w:t>
            </w:r>
          </w:p>
        </w:tc>
        <w:tc>
          <w:tcPr>
            <w:tcW w:w="1024" w:type="pct"/>
            <w:noWrap/>
            <w:hideMark/>
          </w:tcPr>
          <w:p w14:paraId="0E47E206"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 xml:space="preserve">           550,000 </w:t>
            </w:r>
          </w:p>
        </w:tc>
      </w:tr>
      <w:tr w:rsidR="00F6570F" w:rsidRPr="00F6570F" w14:paraId="0DE0CD20" w14:textId="77777777" w:rsidTr="00F6570F">
        <w:trPr>
          <w:trHeight w:val="300"/>
        </w:trPr>
        <w:tc>
          <w:tcPr>
            <w:tcW w:w="2938" w:type="pct"/>
            <w:noWrap/>
            <w:hideMark/>
          </w:tcPr>
          <w:p w14:paraId="5D5B8011"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Carrying value, incl. goodwill</w:t>
            </w:r>
          </w:p>
        </w:tc>
        <w:tc>
          <w:tcPr>
            <w:tcW w:w="1038" w:type="pct"/>
            <w:noWrap/>
            <w:hideMark/>
          </w:tcPr>
          <w:p w14:paraId="1A4D020A"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 xml:space="preserve">     12,350,000 </w:t>
            </w:r>
          </w:p>
        </w:tc>
        <w:tc>
          <w:tcPr>
            <w:tcW w:w="1024" w:type="pct"/>
            <w:noWrap/>
            <w:hideMark/>
          </w:tcPr>
          <w:p w14:paraId="175408C3"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 xml:space="preserve">       2,210,000 </w:t>
            </w:r>
          </w:p>
        </w:tc>
      </w:tr>
      <w:tr w:rsidR="00F6570F" w:rsidRPr="00F6570F" w14:paraId="389D7867" w14:textId="77777777" w:rsidTr="00F6570F">
        <w:trPr>
          <w:trHeight w:val="300"/>
        </w:trPr>
        <w:tc>
          <w:tcPr>
            <w:tcW w:w="2938" w:type="pct"/>
            <w:noWrap/>
            <w:hideMark/>
          </w:tcPr>
          <w:p w14:paraId="042A0584"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Difference</w:t>
            </w:r>
          </w:p>
        </w:tc>
        <w:tc>
          <w:tcPr>
            <w:tcW w:w="1038" w:type="pct"/>
            <w:noWrap/>
            <w:hideMark/>
          </w:tcPr>
          <w:p w14:paraId="5B2257F7"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 xml:space="preserve">      (1,350,000)</w:t>
            </w:r>
          </w:p>
        </w:tc>
        <w:tc>
          <w:tcPr>
            <w:tcW w:w="1024" w:type="pct"/>
            <w:noWrap/>
            <w:hideMark/>
          </w:tcPr>
          <w:p w14:paraId="4F9595B7" w14:textId="77777777" w:rsidR="00F6570F" w:rsidRPr="00F6570F" w:rsidRDefault="00F6570F" w:rsidP="00F6570F">
            <w:pPr>
              <w:widowControl w:val="0"/>
              <w:spacing w:after="0" w:line="240" w:lineRule="auto"/>
              <w:contextualSpacing/>
              <w:rPr>
                <w:rFonts w:ascii="Times New Roman" w:eastAsia="Times New Roman" w:hAnsi="Times New Roman" w:cs="Times New Roman"/>
                <w:sz w:val="24"/>
                <w:szCs w:val="24"/>
              </w:rPr>
            </w:pPr>
            <w:r w:rsidRPr="00F6570F">
              <w:rPr>
                <w:rFonts w:ascii="Times New Roman" w:eastAsia="Times New Roman" w:hAnsi="Times New Roman" w:cs="Times New Roman"/>
                <w:sz w:val="24"/>
                <w:szCs w:val="24"/>
              </w:rPr>
              <w:t xml:space="preserve">         (410,000)</w:t>
            </w:r>
          </w:p>
        </w:tc>
      </w:tr>
    </w:tbl>
    <w:p w14:paraId="30308A1C" w14:textId="77777777" w:rsidR="00F6570F" w:rsidRDefault="00F6570F" w:rsidP="00F6570F">
      <w:pPr>
        <w:widowControl w:val="0"/>
        <w:spacing w:after="0" w:line="480" w:lineRule="auto"/>
        <w:contextualSpacing/>
        <w:rPr>
          <w:rFonts w:ascii="Times New Roman" w:eastAsia="Times New Roman" w:hAnsi="Times New Roman" w:cs="Times New Roman"/>
          <w:sz w:val="24"/>
          <w:szCs w:val="24"/>
        </w:rPr>
      </w:pPr>
    </w:p>
    <w:p w14:paraId="2CD7C9D8" w14:textId="74DA575B" w:rsidR="00297D4B" w:rsidRDefault="00F6570F" w:rsidP="00782AF7">
      <w:pPr>
        <w:widowControl w:val="0"/>
        <w:spacing w:after="0" w:line="480" w:lineRule="auto"/>
        <w:ind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In the first step of goodwill impairment, the reporting units</w:t>
      </w:r>
      <w:r w:rsidR="00297D4B">
        <w:rPr>
          <w:rFonts w:ascii="Times New Roman" w:eastAsia="Times New Roman" w:hAnsi="Times New Roman" w:cs="Times New Roman"/>
          <w:sz w:val="24"/>
          <w:szCs w:val="24"/>
        </w:rPr>
        <w:t>’ goodwill-in</w:t>
      </w:r>
      <w:r w:rsidR="008D7043">
        <w:rPr>
          <w:rFonts w:ascii="Times New Roman" w:eastAsia="Times New Roman" w:hAnsi="Times New Roman" w:cs="Times New Roman"/>
          <w:sz w:val="24"/>
          <w:szCs w:val="24"/>
        </w:rPr>
        <w:t>c</w:t>
      </w:r>
      <w:r w:rsidR="00297D4B">
        <w:rPr>
          <w:rFonts w:ascii="Times New Roman" w:eastAsia="Times New Roman" w:hAnsi="Times New Roman" w:cs="Times New Roman"/>
          <w:sz w:val="24"/>
          <w:szCs w:val="24"/>
        </w:rPr>
        <w:t>lusive</w:t>
      </w:r>
      <w:r>
        <w:rPr>
          <w:rFonts w:ascii="Times New Roman" w:eastAsia="Times New Roman" w:hAnsi="Times New Roman" w:cs="Times New Roman"/>
          <w:sz w:val="24"/>
          <w:szCs w:val="24"/>
        </w:rPr>
        <w:t xml:space="preserve"> carrying values</w:t>
      </w:r>
      <w:r w:rsidR="00297D4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are compared to their fair values. </w:t>
      </w:r>
      <w:r w:rsidR="00861BB7">
        <w:rPr>
          <w:rFonts w:ascii="Times New Roman" w:eastAsia="Times New Roman" w:hAnsi="Times New Roman" w:cs="Times New Roman"/>
          <w:sz w:val="24"/>
          <w:szCs w:val="24"/>
        </w:rPr>
        <w:t>The consulting firm assessed TL and DJ at fair values of $11,000,000 and $1,800,000, respectively. From the preceding balance sheets, TL and DJ have carrying values</w:t>
      </w:r>
      <w:r w:rsidR="002861AA">
        <w:rPr>
          <w:rFonts w:ascii="Times New Roman" w:eastAsia="Times New Roman" w:hAnsi="Times New Roman" w:cs="Times New Roman"/>
          <w:sz w:val="24"/>
          <w:szCs w:val="24"/>
        </w:rPr>
        <w:t xml:space="preserve"> (excluding goodwill)</w:t>
      </w:r>
      <w:r w:rsidR="00861BB7">
        <w:rPr>
          <w:rFonts w:ascii="Times New Roman" w:eastAsia="Times New Roman" w:hAnsi="Times New Roman" w:cs="Times New Roman"/>
          <w:sz w:val="24"/>
          <w:szCs w:val="24"/>
        </w:rPr>
        <w:t xml:space="preserve"> of $1</w:t>
      </w:r>
      <w:r w:rsidR="0028014F">
        <w:rPr>
          <w:rFonts w:ascii="Times New Roman" w:eastAsia="Times New Roman" w:hAnsi="Times New Roman" w:cs="Times New Roman"/>
          <w:sz w:val="24"/>
          <w:szCs w:val="24"/>
        </w:rPr>
        <w:t>1</w:t>
      </w:r>
      <w:r w:rsidR="00861BB7">
        <w:rPr>
          <w:rFonts w:ascii="Times New Roman" w:eastAsia="Times New Roman" w:hAnsi="Times New Roman" w:cs="Times New Roman"/>
          <w:sz w:val="24"/>
          <w:szCs w:val="24"/>
        </w:rPr>
        <w:t>,050,000 and $</w:t>
      </w:r>
      <w:r w:rsidR="0028014F">
        <w:rPr>
          <w:rFonts w:ascii="Times New Roman" w:eastAsia="Times New Roman" w:hAnsi="Times New Roman" w:cs="Times New Roman"/>
          <w:sz w:val="24"/>
          <w:szCs w:val="24"/>
        </w:rPr>
        <w:t>1</w:t>
      </w:r>
      <w:r w:rsidR="00861BB7">
        <w:rPr>
          <w:rFonts w:ascii="Times New Roman" w:eastAsia="Times New Roman" w:hAnsi="Times New Roman" w:cs="Times New Roman"/>
          <w:sz w:val="24"/>
          <w:szCs w:val="24"/>
        </w:rPr>
        <w:t xml:space="preserve">,660,000. </w:t>
      </w:r>
      <w:r w:rsidR="00297D4B">
        <w:rPr>
          <w:rFonts w:ascii="Times New Roman" w:eastAsia="Times New Roman" w:hAnsi="Times New Roman" w:cs="Times New Roman"/>
          <w:sz w:val="24"/>
          <w:szCs w:val="24"/>
        </w:rPr>
        <w:t xml:space="preserve">The carrying values are equal to the stockholders’ equity account balances which represent net assets. </w:t>
      </w:r>
      <w:r w:rsidR="002861AA">
        <w:rPr>
          <w:rFonts w:ascii="Times New Roman" w:eastAsia="Times New Roman" w:hAnsi="Times New Roman" w:cs="Times New Roman"/>
          <w:sz w:val="24"/>
          <w:szCs w:val="24"/>
        </w:rPr>
        <w:t>When including their goodwill amounts, the two units have carrying values of $</w:t>
      </w:r>
      <w:r w:rsidR="0028014F">
        <w:rPr>
          <w:rFonts w:ascii="Times New Roman" w:eastAsia="Times New Roman" w:hAnsi="Times New Roman" w:cs="Times New Roman"/>
          <w:sz w:val="24"/>
          <w:szCs w:val="24"/>
        </w:rPr>
        <w:t>12</w:t>
      </w:r>
      <w:r w:rsidR="002861AA">
        <w:rPr>
          <w:rFonts w:ascii="Times New Roman" w:eastAsia="Times New Roman" w:hAnsi="Times New Roman" w:cs="Times New Roman"/>
          <w:sz w:val="24"/>
          <w:szCs w:val="24"/>
        </w:rPr>
        <w:t>,350,000 and $</w:t>
      </w:r>
      <w:r w:rsidR="0028014F">
        <w:rPr>
          <w:rFonts w:ascii="Times New Roman" w:eastAsia="Times New Roman" w:hAnsi="Times New Roman" w:cs="Times New Roman"/>
          <w:sz w:val="24"/>
          <w:szCs w:val="24"/>
        </w:rPr>
        <w:t>2</w:t>
      </w:r>
      <w:r w:rsidR="002861AA">
        <w:rPr>
          <w:rFonts w:ascii="Times New Roman" w:eastAsia="Times New Roman" w:hAnsi="Times New Roman" w:cs="Times New Roman"/>
          <w:sz w:val="24"/>
          <w:szCs w:val="24"/>
        </w:rPr>
        <w:t xml:space="preserve">,210,000, respectively. </w:t>
      </w:r>
      <w:r>
        <w:rPr>
          <w:rFonts w:ascii="Times New Roman" w:eastAsia="Times New Roman" w:hAnsi="Times New Roman" w:cs="Times New Roman"/>
          <w:sz w:val="24"/>
          <w:szCs w:val="24"/>
        </w:rPr>
        <w:t>Since both units’ fair values are less than their book values, we proceed to step 2.</w:t>
      </w:r>
    </w:p>
    <w:tbl>
      <w:tblPr>
        <w:tblStyle w:val="TableGrid"/>
        <w:tblW w:w="0" w:type="auto"/>
        <w:tblLook w:val="04A0" w:firstRow="1" w:lastRow="0" w:firstColumn="1" w:lastColumn="0" w:noHBand="0" w:noVBand="1"/>
      </w:tblPr>
      <w:tblGrid>
        <w:gridCol w:w="4495"/>
        <w:gridCol w:w="2790"/>
        <w:gridCol w:w="2065"/>
      </w:tblGrid>
      <w:tr w:rsidR="00CE538D" w14:paraId="7268948A" w14:textId="77777777" w:rsidTr="0088232D">
        <w:tc>
          <w:tcPr>
            <w:tcW w:w="4495" w:type="dxa"/>
          </w:tcPr>
          <w:p w14:paraId="07C0CE6D" w14:textId="587318E5" w:rsidR="00CE538D" w:rsidRDefault="00CE538D" w:rsidP="00CE538D">
            <w:pPr>
              <w:widowControl w:val="0"/>
              <w:spacing w:after="0" w:line="240" w:lineRule="auto"/>
              <w:contextualSpacing/>
              <w:rPr>
                <w:rFonts w:ascii="Times New Roman" w:eastAsia="Times New Roman" w:hAnsi="Times New Roman" w:cs="Times New Roman"/>
                <w:sz w:val="24"/>
                <w:szCs w:val="24"/>
              </w:rPr>
            </w:pPr>
          </w:p>
        </w:tc>
        <w:tc>
          <w:tcPr>
            <w:tcW w:w="2790" w:type="dxa"/>
          </w:tcPr>
          <w:p w14:paraId="0ABBE2AC" w14:textId="70D48543" w:rsidR="00CE538D" w:rsidRDefault="00CE538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TL</w:t>
            </w:r>
          </w:p>
        </w:tc>
        <w:tc>
          <w:tcPr>
            <w:tcW w:w="2065" w:type="dxa"/>
          </w:tcPr>
          <w:p w14:paraId="64F3A75D" w14:textId="13E1CE14" w:rsidR="00CE538D" w:rsidRDefault="00CE538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DJ</w:t>
            </w:r>
          </w:p>
        </w:tc>
      </w:tr>
      <w:tr w:rsidR="0088232D" w14:paraId="3C350BA3" w14:textId="77777777" w:rsidTr="0088232D">
        <w:tc>
          <w:tcPr>
            <w:tcW w:w="4495" w:type="dxa"/>
          </w:tcPr>
          <w:p w14:paraId="7469BEAF" w14:textId="14BCCC61" w:rsidR="0088232D" w:rsidRDefault="0088232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FV of reporting units</w:t>
            </w:r>
          </w:p>
        </w:tc>
        <w:tc>
          <w:tcPr>
            <w:tcW w:w="2790" w:type="dxa"/>
          </w:tcPr>
          <w:p w14:paraId="17C52C26" w14:textId="20AA22E9" w:rsidR="0088232D" w:rsidRDefault="009D6959"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11,000,000</w:t>
            </w:r>
          </w:p>
        </w:tc>
        <w:tc>
          <w:tcPr>
            <w:tcW w:w="2065" w:type="dxa"/>
          </w:tcPr>
          <w:p w14:paraId="023B68ED" w14:textId="6E1CA008" w:rsidR="0088232D" w:rsidRDefault="009D6959"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1,800,000</w:t>
            </w:r>
          </w:p>
        </w:tc>
      </w:tr>
      <w:tr w:rsidR="0088232D" w14:paraId="01575F64" w14:textId="77777777" w:rsidTr="0088232D">
        <w:tc>
          <w:tcPr>
            <w:tcW w:w="4495" w:type="dxa"/>
          </w:tcPr>
          <w:p w14:paraId="62F58CC0" w14:textId="4C54E2FB" w:rsidR="0088232D" w:rsidRDefault="0088232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FVs of net assets as of Dec. 31, 2021</w:t>
            </w:r>
            <w:r>
              <w:rPr>
                <w:rFonts w:ascii="Times New Roman" w:eastAsia="Times New Roman" w:hAnsi="Times New Roman" w:cs="Times New Roman"/>
                <w:sz w:val="24"/>
                <w:szCs w:val="24"/>
              </w:rPr>
              <w:t>:</w:t>
            </w:r>
          </w:p>
        </w:tc>
        <w:tc>
          <w:tcPr>
            <w:tcW w:w="2790" w:type="dxa"/>
          </w:tcPr>
          <w:p w14:paraId="01257E5E" w14:textId="77777777" w:rsidR="0088232D" w:rsidRDefault="0088232D" w:rsidP="00CE538D">
            <w:pPr>
              <w:widowControl w:val="0"/>
              <w:spacing w:after="0" w:line="240" w:lineRule="auto"/>
              <w:contextualSpacing/>
              <w:rPr>
                <w:rFonts w:ascii="Times New Roman" w:eastAsia="Times New Roman" w:hAnsi="Times New Roman" w:cs="Times New Roman"/>
                <w:sz w:val="24"/>
                <w:szCs w:val="24"/>
              </w:rPr>
            </w:pPr>
          </w:p>
        </w:tc>
        <w:tc>
          <w:tcPr>
            <w:tcW w:w="2065" w:type="dxa"/>
          </w:tcPr>
          <w:p w14:paraId="166D7CBF" w14:textId="77777777" w:rsidR="0088232D" w:rsidRDefault="0088232D" w:rsidP="00CE538D">
            <w:pPr>
              <w:widowControl w:val="0"/>
              <w:spacing w:after="0" w:line="240" w:lineRule="auto"/>
              <w:contextualSpacing/>
              <w:rPr>
                <w:rFonts w:ascii="Times New Roman" w:eastAsia="Times New Roman" w:hAnsi="Times New Roman" w:cs="Times New Roman"/>
                <w:sz w:val="24"/>
                <w:szCs w:val="24"/>
              </w:rPr>
            </w:pPr>
          </w:p>
        </w:tc>
      </w:tr>
      <w:tr w:rsidR="00CE538D" w14:paraId="7A2E48A9" w14:textId="77777777" w:rsidTr="0088232D">
        <w:tc>
          <w:tcPr>
            <w:tcW w:w="4495" w:type="dxa"/>
          </w:tcPr>
          <w:p w14:paraId="311778B5" w14:textId="18683BDF" w:rsidR="00CE538D" w:rsidRDefault="00CE538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Current assets</w:t>
            </w:r>
          </w:p>
        </w:tc>
        <w:tc>
          <w:tcPr>
            <w:tcW w:w="2790" w:type="dxa"/>
          </w:tcPr>
          <w:p w14:paraId="6C7E73EB" w14:textId="424AB436" w:rsidR="00CE538D" w:rsidRDefault="00024AA6"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r w:rsidR="00CE538D">
              <w:rPr>
                <w:rFonts w:ascii="Times New Roman" w:eastAsia="Times New Roman" w:hAnsi="Times New Roman" w:cs="Times New Roman"/>
                <w:sz w:val="24"/>
                <w:szCs w:val="24"/>
              </w:rPr>
              <w:t>00,000</w:t>
            </w:r>
          </w:p>
        </w:tc>
        <w:tc>
          <w:tcPr>
            <w:tcW w:w="2065" w:type="dxa"/>
          </w:tcPr>
          <w:p w14:paraId="4A31F91A" w14:textId="7173C3B9" w:rsidR="00CE538D" w:rsidRDefault="00024AA6"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00CE538D">
              <w:rPr>
                <w:rFonts w:ascii="Times New Roman" w:eastAsia="Times New Roman" w:hAnsi="Times New Roman" w:cs="Times New Roman"/>
                <w:sz w:val="24"/>
                <w:szCs w:val="24"/>
              </w:rPr>
              <w:t>00,000</w:t>
            </w:r>
          </w:p>
        </w:tc>
      </w:tr>
      <w:tr w:rsidR="00CE538D" w14:paraId="64280597" w14:textId="77777777" w:rsidTr="0088232D">
        <w:tc>
          <w:tcPr>
            <w:tcW w:w="4495" w:type="dxa"/>
          </w:tcPr>
          <w:p w14:paraId="5CA68303" w14:textId="19F3A74E" w:rsidR="00CE538D" w:rsidRDefault="00CE538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PPE</w:t>
            </w:r>
          </w:p>
        </w:tc>
        <w:tc>
          <w:tcPr>
            <w:tcW w:w="2790" w:type="dxa"/>
          </w:tcPr>
          <w:p w14:paraId="7AFD0199" w14:textId="6531E7D9" w:rsidR="00CE538D" w:rsidRDefault="00CE538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14,700,000</w:t>
            </w:r>
          </w:p>
        </w:tc>
        <w:tc>
          <w:tcPr>
            <w:tcW w:w="2065" w:type="dxa"/>
          </w:tcPr>
          <w:p w14:paraId="57333FEB" w14:textId="04EDFB5D" w:rsidR="00CE538D" w:rsidRDefault="00CE538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3,000,000</w:t>
            </w:r>
          </w:p>
        </w:tc>
      </w:tr>
      <w:tr w:rsidR="00CE538D" w14:paraId="2BBA7643" w14:textId="77777777" w:rsidTr="0088232D">
        <w:tc>
          <w:tcPr>
            <w:tcW w:w="4495" w:type="dxa"/>
          </w:tcPr>
          <w:p w14:paraId="6E6B6F48" w14:textId="394E9805" w:rsidR="00CE538D" w:rsidRDefault="00CE538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Current liabilities</w:t>
            </w:r>
          </w:p>
        </w:tc>
        <w:tc>
          <w:tcPr>
            <w:tcW w:w="2790" w:type="dxa"/>
          </w:tcPr>
          <w:p w14:paraId="2A991FE8" w14:textId="436EA12E" w:rsidR="00CE538D" w:rsidRDefault="00CE538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(1,000,000)</w:t>
            </w:r>
          </w:p>
        </w:tc>
        <w:tc>
          <w:tcPr>
            <w:tcW w:w="2065" w:type="dxa"/>
          </w:tcPr>
          <w:p w14:paraId="4F69DFC5" w14:textId="4BD4DB8C" w:rsidR="00CE538D" w:rsidRDefault="0088232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E538D">
              <w:rPr>
                <w:rFonts w:ascii="Times New Roman" w:eastAsia="Times New Roman" w:hAnsi="Times New Roman" w:cs="Times New Roman"/>
                <w:sz w:val="24"/>
                <w:szCs w:val="24"/>
              </w:rPr>
              <w:t>800,000</w:t>
            </w:r>
            <w:r>
              <w:rPr>
                <w:rFonts w:ascii="Times New Roman" w:eastAsia="Times New Roman" w:hAnsi="Times New Roman" w:cs="Times New Roman"/>
                <w:sz w:val="24"/>
                <w:szCs w:val="24"/>
              </w:rPr>
              <w:t>)</w:t>
            </w:r>
          </w:p>
        </w:tc>
      </w:tr>
      <w:tr w:rsidR="00CE538D" w14:paraId="6E956E63" w14:textId="77777777" w:rsidTr="0088232D">
        <w:tc>
          <w:tcPr>
            <w:tcW w:w="4495" w:type="dxa"/>
          </w:tcPr>
          <w:p w14:paraId="2B57BF2F" w14:textId="23FF19DE" w:rsidR="00CE538D" w:rsidRDefault="00CE538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Long-term debt</w:t>
            </w:r>
          </w:p>
        </w:tc>
        <w:tc>
          <w:tcPr>
            <w:tcW w:w="2790" w:type="dxa"/>
          </w:tcPr>
          <w:p w14:paraId="604E358E" w14:textId="19951E90" w:rsidR="00CE538D" w:rsidRDefault="00CE538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(7,000,000)</w:t>
            </w:r>
          </w:p>
        </w:tc>
        <w:tc>
          <w:tcPr>
            <w:tcW w:w="2065" w:type="dxa"/>
          </w:tcPr>
          <w:p w14:paraId="33696D5E" w14:textId="11F4CD7A" w:rsidR="00CE538D" w:rsidRDefault="0088232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E538D">
              <w:rPr>
                <w:rFonts w:ascii="Times New Roman" w:eastAsia="Times New Roman" w:hAnsi="Times New Roman" w:cs="Times New Roman"/>
                <w:sz w:val="24"/>
                <w:szCs w:val="24"/>
              </w:rPr>
              <w:t>2,200,000</w:t>
            </w:r>
            <w:r>
              <w:rPr>
                <w:rFonts w:ascii="Times New Roman" w:eastAsia="Times New Roman" w:hAnsi="Times New Roman" w:cs="Times New Roman"/>
                <w:sz w:val="24"/>
                <w:szCs w:val="24"/>
              </w:rPr>
              <w:t>)</w:t>
            </w:r>
          </w:p>
        </w:tc>
      </w:tr>
      <w:tr w:rsidR="0088232D" w14:paraId="37CE50CC" w14:textId="77777777" w:rsidTr="0088232D">
        <w:tc>
          <w:tcPr>
            <w:tcW w:w="4495" w:type="dxa"/>
          </w:tcPr>
          <w:p w14:paraId="0A893132" w14:textId="0C7FB121" w:rsidR="0088232D" w:rsidRDefault="0088232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Value assigned to identifiable net assets</w:t>
            </w:r>
          </w:p>
        </w:tc>
        <w:tc>
          <w:tcPr>
            <w:tcW w:w="2790" w:type="dxa"/>
          </w:tcPr>
          <w:p w14:paraId="4C310096" w14:textId="0B13AB16" w:rsidR="0088232D" w:rsidRDefault="0088232D"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sidR="00024AA6">
              <w:rPr>
                <w:rFonts w:ascii="Times New Roman" w:eastAsia="Times New Roman" w:hAnsi="Times New Roman" w:cs="Times New Roman"/>
                <w:sz w:val="24"/>
                <w:szCs w:val="24"/>
              </w:rPr>
              <w:t>9</w:t>
            </w:r>
            <w:r>
              <w:rPr>
                <w:rFonts w:ascii="Times New Roman" w:eastAsia="Times New Roman" w:hAnsi="Times New Roman" w:cs="Times New Roman"/>
                <w:sz w:val="24"/>
                <w:szCs w:val="24"/>
              </w:rPr>
              <w:t>00,000</w:t>
            </w:r>
          </w:p>
        </w:tc>
        <w:tc>
          <w:tcPr>
            <w:tcW w:w="2065" w:type="dxa"/>
          </w:tcPr>
          <w:p w14:paraId="0EF067E4" w14:textId="089CDA19" w:rsidR="0088232D" w:rsidRDefault="00024AA6"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0088232D">
              <w:rPr>
                <w:rFonts w:ascii="Times New Roman" w:eastAsia="Times New Roman" w:hAnsi="Times New Roman" w:cs="Times New Roman"/>
                <w:sz w:val="24"/>
                <w:szCs w:val="24"/>
              </w:rPr>
              <w:t>00,000</w:t>
            </w:r>
          </w:p>
        </w:tc>
      </w:tr>
      <w:tr w:rsidR="0088232D" w14:paraId="013A363F" w14:textId="77777777" w:rsidTr="0088232D">
        <w:tc>
          <w:tcPr>
            <w:tcW w:w="4495" w:type="dxa"/>
          </w:tcPr>
          <w:p w14:paraId="4B9563B8" w14:textId="4308AF92" w:rsidR="0088232D" w:rsidRDefault="009D6959"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Implied FV of goodwill</w:t>
            </w:r>
          </w:p>
        </w:tc>
        <w:tc>
          <w:tcPr>
            <w:tcW w:w="2790" w:type="dxa"/>
          </w:tcPr>
          <w:p w14:paraId="3D1F79A3" w14:textId="6EEAA15E" w:rsidR="0088232D" w:rsidRDefault="00B34D19"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tcPr>
          <w:p w14:paraId="7B8A3C5A" w14:textId="3D030019" w:rsidR="0088232D" w:rsidRDefault="00B34D19"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9D6959" w14:paraId="2229EA29" w14:textId="77777777" w:rsidTr="0088232D">
        <w:tc>
          <w:tcPr>
            <w:tcW w:w="4495" w:type="dxa"/>
          </w:tcPr>
          <w:p w14:paraId="17991363" w14:textId="7C572FDC" w:rsidR="009D6959" w:rsidRDefault="00024AA6"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Goodwill carrying amount before impairment</w:t>
            </w:r>
          </w:p>
        </w:tc>
        <w:tc>
          <w:tcPr>
            <w:tcW w:w="2790" w:type="dxa"/>
          </w:tcPr>
          <w:p w14:paraId="668970BD" w14:textId="51641704" w:rsidR="009D6959" w:rsidRDefault="00B34D19"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1,300,000</w:t>
            </w:r>
          </w:p>
        </w:tc>
        <w:tc>
          <w:tcPr>
            <w:tcW w:w="2065" w:type="dxa"/>
          </w:tcPr>
          <w:p w14:paraId="41B6F035" w14:textId="2A754834" w:rsidR="009D6959" w:rsidRDefault="00B34D19"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550,000</w:t>
            </w:r>
          </w:p>
        </w:tc>
      </w:tr>
      <w:tr w:rsidR="00024AA6" w14:paraId="64CFDDE1" w14:textId="77777777" w:rsidTr="0088232D">
        <w:tc>
          <w:tcPr>
            <w:tcW w:w="4495" w:type="dxa"/>
          </w:tcPr>
          <w:p w14:paraId="6719F8A7" w14:textId="364D006D" w:rsidR="00024AA6" w:rsidRDefault="00024AA6"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Impairment loss</w:t>
            </w:r>
          </w:p>
        </w:tc>
        <w:tc>
          <w:tcPr>
            <w:tcW w:w="2790" w:type="dxa"/>
          </w:tcPr>
          <w:p w14:paraId="6A6511E8" w14:textId="7CA866BD" w:rsidR="00024AA6" w:rsidRDefault="00B34D19"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1,300,000</w:t>
            </w:r>
          </w:p>
        </w:tc>
        <w:tc>
          <w:tcPr>
            <w:tcW w:w="2065" w:type="dxa"/>
          </w:tcPr>
          <w:p w14:paraId="426CD90F" w14:textId="38CEA708" w:rsidR="00024AA6" w:rsidRDefault="00B34D19" w:rsidP="00CE538D">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550,000</w:t>
            </w:r>
          </w:p>
        </w:tc>
      </w:tr>
    </w:tbl>
    <w:p w14:paraId="775637AA" w14:textId="1B074931" w:rsidR="00CE538D" w:rsidRDefault="00CE538D" w:rsidP="00CE538D">
      <w:pPr>
        <w:widowControl w:val="0"/>
        <w:spacing w:after="0" w:line="480" w:lineRule="auto"/>
        <w:contextualSpacing/>
        <w:rPr>
          <w:rFonts w:ascii="Times New Roman" w:eastAsia="Times New Roman" w:hAnsi="Times New Roman" w:cs="Times New Roman"/>
          <w:sz w:val="24"/>
          <w:szCs w:val="24"/>
        </w:rPr>
      </w:pPr>
    </w:p>
    <w:p w14:paraId="6B192BBF" w14:textId="7CDDE605" w:rsidR="00622A77" w:rsidRDefault="00F6570F" w:rsidP="00DD237D">
      <w:pPr>
        <w:widowControl w:val="0"/>
        <w:spacing w:after="0" w:line="480" w:lineRule="auto"/>
        <w:ind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 step 2, the unit’s fair value of identifiable net assets and liabilities is compared to its independently assessed fair value to determine the implied FV of goodwill. </w:t>
      </w:r>
      <w:r w:rsidR="00297D4B">
        <w:rPr>
          <w:rFonts w:ascii="Times New Roman" w:eastAsia="Times New Roman" w:hAnsi="Times New Roman" w:cs="Times New Roman"/>
          <w:sz w:val="24"/>
          <w:szCs w:val="24"/>
        </w:rPr>
        <w:t xml:space="preserve">The implied FV of goodwill is then compared to the book value of goodwill and an impairment expense is recognized if the implied value is less than the carrying amount (ASC 350-20-55-25). </w:t>
      </w:r>
      <w:r>
        <w:rPr>
          <w:rFonts w:ascii="Times New Roman" w:eastAsia="Times New Roman" w:hAnsi="Times New Roman" w:cs="Times New Roman"/>
          <w:sz w:val="24"/>
          <w:szCs w:val="24"/>
        </w:rPr>
        <w:t>For</w:t>
      </w:r>
      <w:r w:rsidR="00782AF7">
        <w:rPr>
          <w:rFonts w:ascii="Times New Roman" w:eastAsia="Times New Roman" w:hAnsi="Times New Roman" w:cs="Times New Roman"/>
          <w:sz w:val="24"/>
          <w:szCs w:val="24"/>
        </w:rPr>
        <w:t xml:space="preserve"> DJ, the </w:t>
      </w:r>
      <w:r w:rsidR="008E42B4">
        <w:rPr>
          <w:rFonts w:ascii="Times New Roman" w:eastAsia="Times New Roman" w:hAnsi="Times New Roman" w:cs="Times New Roman"/>
          <w:sz w:val="24"/>
          <w:szCs w:val="24"/>
        </w:rPr>
        <w:lastRenderedPageBreak/>
        <w:t>fair value of the identifiable net assets, calculated as the sum of the FV of fixed assets and current assets less the value of liabilities, was $</w:t>
      </w:r>
      <w:r w:rsidR="00B34D19">
        <w:rPr>
          <w:rFonts w:ascii="Times New Roman" w:eastAsia="Times New Roman" w:hAnsi="Times New Roman" w:cs="Times New Roman"/>
          <w:sz w:val="24"/>
          <w:szCs w:val="24"/>
        </w:rPr>
        <w:t>2,0</w:t>
      </w:r>
      <w:r w:rsidR="008E42B4">
        <w:rPr>
          <w:rFonts w:ascii="Times New Roman" w:eastAsia="Times New Roman" w:hAnsi="Times New Roman" w:cs="Times New Roman"/>
          <w:sz w:val="24"/>
          <w:szCs w:val="24"/>
        </w:rPr>
        <w:t>00,</w:t>
      </w:r>
      <w:r w:rsidR="00B34D19">
        <w:rPr>
          <w:rFonts w:ascii="Times New Roman" w:eastAsia="Times New Roman" w:hAnsi="Times New Roman" w:cs="Times New Roman"/>
          <w:sz w:val="24"/>
          <w:szCs w:val="24"/>
        </w:rPr>
        <w:t>0</w:t>
      </w:r>
      <w:r w:rsidR="008E42B4">
        <w:rPr>
          <w:rFonts w:ascii="Times New Roman" w:eastAsia="Times New Roman" w:hAnsi="Times New Roman" w:cs="Times New Roman"/>
          <w:sz w:val="24"/>
          <w:szCs w:val="24"/>
        </w:rPr>
        <w:t xml:space="preserve">00. The </w:t>
      </w:r>
      <w:r w:rsidR="00782AF7">
        <w:rPr>
          <w:rFonts w:ascii="Times New Roman" w:eastAsia="Times New Roman" w:hAnsi="Times New Roman" w:cs="Times New Roman"/>
          <w:sz w:val="24"/>
          <w:szCs w:val="24"/>
        </w:rPr>
        <w:t>implied goodwill FV</w:t>
      </w:r>
      <w:r w:rsidR="008D7043">
        <w:rPr>
          <w:rFonts w:ascii="Times New Roman" w:eastAsia="Times New Roman" w:hAnsi="Times New Roman" w:cs="Times New Roman"/>
          <w:sz w:val="24"/>
          <w:szCs w:val="24"/>
        </w:rPr>
        <w:t>, calculated as the difference between the unit’s FV and its net identifiable assets</w:t>
      </w:r>
      <w:r w:rsidR="00B34D19">
        <w:rPr>
          <w:rFonts w:ascii="Times New Roman" w:eastAsia="Times New Roman" w:hAnsi="Times New Roman" w:cs="Times New Roman"/>
          <w:sz w:val="24"/>
          <w:szCs w:val="24"/>
        </w:rPr>
        <w:t xml:space="preserve"> is, therefore, zero</w:t>
      </w:r>
      <w:r w:rsidR="008D7043">
        <w:rPr>
          <w:rFonts w:ascii="Times New Roman" w:eastAsia="Times New Roman" w:hAnsi="Times New Roman" w:cs="Times New Roman"/>
          <w:sz w:val="24"/>
          <w:szCs w:val="24"/>
        </w:rPr>
        <w:t>.</w:t>
      </w:r>
      <w:r w:rsidR="00DD237D">
        <w:rPr>
          <w:rFonts w:ascii="Times New Roman" w:eastAsia="Times New Roman" w:hAnsi="Times New Roman" w:cs="Times New Roman"/>
          <w:sz w:val="24"/>
          <w:szCs w:val="24"/>
        </w:rPr>
        <w:t xml:space="preserve"> Since the implied goodwill FV is less than the goodwill book value, the company should recognize a $</w:t>
      </w:r>
      <w:r w:rsidR="00B34D19">
        <w:rPr>
          <w:rFonts w:ascii="Times New Roman" w:eastAsia="Times New Roman" w:hAnsi="Times New Roman" w:cs="Times New Roman"/>
          <w:sz w:val="24"/>
          <w:szCs w:val="24"/>
        </w:rPr>
        <w:t>5</w:t>
      </w:r>
      <w:r w:rsidR="00DD237D">
        <w:rPr>
          <w:rFonts w:ascii="Times New Roman" w:eastAsia="Times New Roman" w:hAnsi="Times New Roman" w:cs="Times New Roman"/>
          <w:sz w:val="24"/>
          <w:szCs w:val="24"/>
        </w:rPr>
        <w:t>50,000 goodwill impairment loss for the unit</w:t>
      </w:r>
      <w:r w:rsidR="00B34D19">
        <w:rPr>
          <w:rFonts w:ascii="Times New Roman" w:eastAsia="Times New Roman" w:hAnsi="Times New Roman" w:cs="Times New Roman"/>
          <w:sz w:val="24"/>
          <w:szCs w:val="24"/>
        </w:rPr>
        <w:t>, reducing its goodwill balance to zero</w:t>
      </w:r>
      <w:r w:rsidR="00DD237D">
        <w:rPr>
          <w:rFonts w:ascii="Times New Roman" w:eastAsia="Times New Roman" w:hAnsi="Times New Roman" w:cs="Times New Roman"/>
          <w:sz w:val="24"/>
          <w:szCs w:val="24"/>
        </w:rPr>
        <w:t xml:space="preserve">. </w:t>
      </w:r>
      <w:r w:rsidR="00782AF7">
        <w:rPr>
          <w:rFonts w:ascii="Times New Roman" w:eastAsia="Times New Roman" w:hAnsi="Times New Roman" w:cs="Times New Roman"/>
          <w:sz w:val="24"/>
          <w:szCs w:val="24"/>
        </w:rPr>
        <w:t xml:space="preserve">For TJ, the </w:t>
      </w:r>
      <w:r w:rsidR="00DD237D">
        <w:rPr>
          <w:rFonts w:ascii="Times New Roman" w:eastAsia="Times New Roman" w:hAnsi="Times New Roman" w:cs="Times New Roman"/>
          <w:sz w:val="24"/>
          <w:szCs w:val="24"/>
        </w:rPr>
        <w:t xml:space="preserve">FV of its net assets </w:t>
      </w:r>
      <w:r w:rsidR="00B2493D">
        <w:rPr>
          <w:rFonts w:ascii="Times New Roman" w:eastAsia="Times New Roman" w:hAnsi="Times New Roman" w:cs="Times New Roman"/>
          <w:sz w:val="24"/>
          <w:szCs w:val="24"/>
        </w:rPr>
        <w:t xml:space="preserve">($11,000,000) </w:t>
      </w:r>
      <w:r w:rsidR="00782AF7">
        <w:rPr>
          <w:rFonts w:ascii="Times New Roman" w:eastAsia="Times New Roman" w:hAnsi="Times New Roman" w:cs="Times New Roman"/>
          <w:sz w:val="24"/>
          <w:szCs w:val="24"/>
        </w:rPr>
        <w:t>was less than the FV of its net identifiable assets</w:t>
      </w:r>
      <w:r w:rsidR="00B2493D">
        <w:rPr>
          <w:rFonts w:ascii="Times New Roman" w:eastAsia="Times New Roman" w:hAnsi="Times New Roman" w:cs="Times New Roman"/>
          <w:sz w:val="24"/>
          <w:szCs w:val="24"/>
        </w:rPr>
        <w:t xml:space="preserve"> ($11,</w:t>
      </w:r>
      <w:r w:rsidR="00B34D19">
        <w:rPr>
          <w:rFonts w:ascii="Times New Roman" w:eastAsia="Times New Roman" w:hAnsi="Times New Roman" w:cs="Times New Roman"/>
          <w:sz w:val="24"/>
          <w:szCs w:val="24"/>
        </w:rPr>
        <w:t>9</w:t>
      </w:r>
      <w:r w:rsidR="00B2493D">
        <w:rPr>
          <w:rFonts w:ascii="Times New Roman" w:eastAsia="Times New Roman" w:hAnsi="Times New Roman" w:cs="Times New Roman"/>
          <w:sz w:val="24"/>
          <w:szCs w:val="24"/>
        </w:rPr>
        <w:t>00,000)</w:t>
      </w:r>
      <w:r w:rsidR="00782AF7">
        <w:rPr>
          <w:rFonts w:ascii="Times New Roman" w:eastAsia="Times New Roman" w:hAnsi="Times New Roman" w:cs="Times New Roman"/>
          <w:sz w:val="24"/>
          <w:szCs w:val="24"/>
        </w:rPr>
        <w:t xml:space="preserve">; hence, goodwill has an implied value of zero. </w:t>
      </w:r>
      <w:r w:rsidR="00FB3164">
        <w:rPr>
          <w:rFonts w:ascii="Times New Roman" w:eastAsia="Times New Roman" w:hAnsi="Times New Roman" w:cs="Times New Roman"/>
          <w:sz w:val="24"/>
          <w:szCs w:val="24"/>
        </w:rPr>
        <w:t>The recognizable impairment loss is restricted to the goodwill balance as goodwill should not be a negative amount. AMMRC should, therefore, report a goodwill impairment loss of $1,</w:t>
      </w:r>
      <w:r w:rsidR="00B34D19">
        <w:rPr>
          <w:rFonts w:ascii="Times New Roman" w:eastAsia="Times New Roman" w:hAnsi="Times New Roman" w:cs="Times New Roman"/>
          <w:sz w:val="24"/>
          <w:szCs w:val="24"/>
        </w:rPr>
        <w:t>8</w:t>
      </w:r>
      <w:r w:rsidR="00B2493D">
        <w:rPr>
          <w:rFonts w:ascii="Times New Roman" w:eastAsia="Times New Roman" w:hAnsi="Times New Roman" w:cs="Times New Roman"/>
          <w:sz w:val="24"/>
          <w:szCs w:val="24"/>
        </w:rPr>
        <w:t>5</w:t>
      </w:r>
      <w:r w:rsidR="00FB3164">
        <w:rPr>
          <w:rFonts w:ascii="Times New Roman" w:eastAsia="Times New Roman" w:hAnsi="Times New Roman" w:cs="Times New Roman"/>
          <w:sz w:val="24"/>
          <w:szCs w:val="24"/>
        </w:rPr>
        <w:t>0,000 with respect to its Greenhouse Parts and Accessories segment.</w:t>
      </w:r>
    </w:p>
    <w:p w14:paraId="32BF708A" w14:textId="77777777" w:rsidR="003D020B" w:rsidRDefault="003D020B">
      <w:pPr>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8F883EC" w14:textId="6E32ED1D" w:rsidR="00622A77" w:rsidRDefault="00622A77" w:rsidP="003D020B">
      <w:pPr>
        <w:widowControl w:val="0"/>
        <w:spacing w:after="0" w:line="48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References</w:t>
      </w:r>
    </w:p>
    <w:p w14:paraId="12720427" w14:textId="77777777" w:rsidR="003D020B" w:rsidRDefault="003D020B" w:rsidP="003D020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FASB (n.d. a). </w:t>
      </w:r>
      <w:r w:rsidRPr="003D020B">
        <w:rPr>
          <w:rFonts w:ascii="Times New Roman" w:eastAsia="Times New Roman" w:hAnsi="Times New Roman" w:cs="Times New Roman"/>
          <w:i/>
          <w:iCs/>
          <w:sz w:val="24"/>
          <w:szCs w:val="24"/>
        </w:rPr>
        <w:t>350 Intangibles – Goodwill and other</w:t>
      </w:r>
      <w:r>
        <w:rPr>
          <w:rFonts w:ascii="Times New Roman" w:eastAsia="Times New Roman" w:hAnsi="Times New Roman" w:cs="Times New Roman"/>
          <w:sz w:val="24"/>
          <w:szCs w:val="24"/>
        </w:rPr>
        <w:t xml:space="preserve">. Retrieved from:  </w:t>
      </w:r>
    </w:p>
    <w:p w14:paraId="3BF24962" w14:textId="129C54E8" w:rsidR="003D020B" w:rsidRDefault="003D020B" w:rsidP="003D020B">
      <w:pPr>
        <w:spacing w:after="0" w:line="480" w:lineRule="auto"/>
        <w:ind w:left="720"/>
        <w:rPr>
          <w:rFonts w:ascii="Times New Roman" w:eastAsia="Times New Roman" w:hAnsi="Times New Roman" w:cs="Times New Roman"/>
          <w:sz w:val="24"/>
          <w:szCs w:val="24"/>
        </w:rPr>
      </w:pPr>
      <w:r w:rsidRPr="003D020B">
        <w:rPr>
          <w:rFonts w:ascii="Times New Roman" w:eastAsia="Times New Roman" w:hAnsi="Times New Roman" w:cs="Times New Roman"/>
          <w:sz w:val="24"/>
          <w:szCs w:val="24"/>
        </w:rPr>
        <w:t>https://asc.fasb.org/section&amp;trid=2144453#d3e12159-109265</w:t>
      </w:r>
    </w:p>
    <w:p w14:paraId="56BDC5F3" w14:textId="77777777" w:rsidR="003D020B" w:rsidRDefault="00622A77" w:rsidP="003D020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FASB (n.d. b) </w:t>
      </w:r>
      <w:r w:rsidRPr="00622A77">
        <w:rPr>
          <w:rFonts w:ascii="Times New Roman" w:eastAsia="Times New Roman" w:hAnsi="Times New Roman" w:cs="Times New Roman"/>
          <w:i/>
          <w:iCs/>
          <w:sz w:val="24"/>
          <w:szCs w:val="24"/>
        </w:rPr>
        <w:t>280 Segment Reporting</w:t>
      </w:r>
      <w:r>
        <w:rPr>
          <w:rFonts w:ascii="Times New Roman" w:eastAsia="Times New Roman" w:hAnsi="Times New Roman" w:cs="Times New Roman"/>
          <w:sz w:val="24"/>
          <w:szCs w:val="24"/>
        </w:rPr>
        <w:t xml:space="preserve">. Retrieved from: </w:t>
      </w:r>
    </w:p>
    <w:p w14:paraId="5804A39A" w14:textId="7B4C1F68" w:rsidR="00622A77" w:rsidRDefault="00622A77" w:rsidP="003D020B">
      <w:pPr>
        <w:spacing w:after="0" w:line="480" w:lineRule="auto"/>
        <w:ind w:left="720"/>
        <w:rPr>
          <w:rFonts w:ascii="Times New Roman" w:eastAsia="Times New Roman" w:hAnsi="Times New Roman" w:cs="Times New Roman"/>
          <w:sz w:val="24"/>
          <w:szCs w:val="24"/>
        </w:rPr>
      </w:pPr>
      <w:r w:rsidRPr="003D020B">
        <w:rPr>
          <w:rFonts w:ascii="Times New Roman" w:eastAsia="Times New Roman" w:hAnsi="Times New Roman" w:cs="Times New Roman"/>
          <w:sz w:val="24"/>
          <w:szCs w:val="24"/>
        </w:rPr>
        <w:t>https://asc.fasb.org/section&amp;trid=2134530#topic-280-10-50-subsect-01-108599</w:t>
      </w:r>
    </w:p>
    <w:p w14:paraId="52604FA4" w14:textId="77777777" w:rsidR="003D020B" w:rsidRDefault="00622A77" w:rsidP="003D020B">
      <w:pPr>
        <w:widowControl w:val="0"/>
        <w:spacing w:after="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PWC (2021). </w:t>
      </w:r>
      <w:r w:rsidRPr="00622A77">
        <w:rPr>
          <w:rFonts w:ascii="Times New Roman" w:eastAsia="Times New Roman" w:hAnsi="Times New Roman" w:cs="Times New Roman"/>
          <w:i/>
          <w:iCs/>
          <w:sz w:val="24"/>
          <w:szCs w:val="24"/>
        </w:rPr>
        <w:t>9.2 Identify reporting units (goodwill post</w:t>
      </w:r>
      <w:r>
        <w:rPr>
          <w:rFonts w:ascii="Times New Roman" w:eastAsia="Times New Roman" w:hAnsi="Times New Roman" w:cs="Times New Roman"/>
          <w:i/>
          <w:iCs/>
          <w:sz w:val="24"/>
          <w:szCs w:val="24"/>
        </w:rPr>
        <w:t>-</w:t>
      </w:r>
      <w:r w:rsidRPr="00622A77">
        <w:rPr>
          <w:rFonts w:ascii="Times New Roman" w:eastAsia="Times New Roman" w:hAnsi="Times New Roman" w:cs="Times New Roman"/>
          <w:i/>
          <w:iCs/>
          <w:sz w:val="24"/>
          <w:szCs w:val="24"/>
        </w:rPr>
        <w:t>acquisition).</w:t>
      </w:r>
      <w:r>
        <w:rPr>
          <w:rFonts w:ascii="Times New Roman" w:eastAsia="Times New Roman" w:hAnsi="Times New Roman" w:cs="Times New Roman"/>
          <w:sz w:val="24"/>
          <w:szCs w:val="24"/>
        </w:rPr>
        <w:t xml:space="preserve"> Retrieved from: </w:t>
      </w:r>
    </w:p>
    <w:p w14:paraId="67504C88" w14:textId="325DC521" w:rsidR="002E7335" w:rsidRPr="009973F5" w:rsidRDefault="003D020B" w:rsidP="003D020B">
      <w:pPr>
        <w:widowControl w:val="0"/>
        <w:spacing w:after="0" w:line="480" w:lineRule="auto"/>
        <w:ind w:left="720"/>
        <w:contextualSpacing/>
        <w:rPr>
          <w:rFonts w:ascii="Times New Roman" w:eastAsia="Times New Roman" w:hAnsi="Times New Roman" w:cs="Times New Roman"/>
          <w:sz w:val="24"/>
          <w:szCs w:val="24"/>
        </w:rPr>
      </w:pPr>
      <w:r w:rsidRPr="003D020B">
        <w:rPr>
          <w:rFonts w:ascii="Times New Roman" w:eastAsia="Times New Roman" w:hAnsi="Times New Roman" w:cs="Times New Roman"/>
          <w:sz w:val="24"/>
          <w:szCs w:val="24"/>
        </w:rPr>
        <w:t>https://viewpoint.pwc.com/dt/us/en/pwc/accounting_guides/business_combination/business_combination__28_US/chapter_9_accounting_US/92_identify_reportin_US.html#pwc-topic.dita_1857163701215711</w:t>
      </w:r>
      <w:r w:rsidR="002E7335" w:rsidRPr="009973F5">
        <w:rPr>
          <w:rFonts w:ascii="Times New Roman" w:eastAsia="Times New Roman" w:hAnsi="Times New Roman" w:cs="Times New Roman"/>
          <w:sz w:val="24"/>
          <w:szCs w:val="24"/>
        </w:rPr>
        <w:br/>
        <w:t> </w:t>
      </w:r>
    </w:p>
    <w:p w14:paraId="6170BEC3" w14:textId="77777777" w:rsidR="00D45B52" w:rsidRPr="009973F5" w:rsidRDefault="00D45B52" w:rsidP="009973F5">
      <w:pPr>
        <w:widowControl w:val="0"/>
        <w:spacing w:line="480" w:lineRule="auto"/>
        <w:ind w:firstLine="720"/>
        <w:contextualSpacing/>
        <w:rPr>
          <w:rFonts w:ascii="Times New Roman" w:hAnsi="Times New Roman" w:cs="Times New Roman"/>
          <w:sz w:val="24"/>
          <w:szCs w:val="24"/>
        </w:rPr>
      </w:pPr>
    </w:p>
    <w:sectPr w:rsidR="00D45B52" w:rsidRPr="009973F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9B895" w14:textId="77777777" w:rsidR="00C65617" w:rsidRDefault="00C65617" w:rsidP="00D87C44">
      <w:pPr>
        <w:spacing w:after="0" w:line="240" w:lineRule="auto"/>
      </w:pPr>
      <w:r>
        <w:separator/>
      </w:r>
    </w:p>
  </w:endnote>
  <w:endnote w:type="continuationSeparator" w:id="0">
    <w:p w14:paraId="1A0DFD74" w14:textId="77777777" w:rsidR="00C65617" w:rsidRDefault="00C65617" w:rsidP="00D87C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FE15E" w14:textId="77777777" w:rsidR="00C65617" w:rsidRDefault="00C65617" w:rsidP="00D87C44">
      <w:pPr>
        <w:spacing w:after="0" w:line="240" w:lineRule="auto"/>
      </w:pPr>
      <w:r>
        <w:separator/>
      </w:r>
    </w:p>
  </w:footnote>
  <w:footnote w:type="continuationSeparator" w:id="0">
    <w:p w14:paraId="7FF700B0" w14:textId="77777777" w:rsidR="00C65617" w:rsidRDefault="00C65617" w:rsidP="00D87C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3A698" w14:textId="77596EE2" w:rsidR="00D87C44" w:rsidRPr="00D87C44" w:rsidRDefault="00D87C44">
    <w:pPr>
      <w:pStyle w:val="Header"/>
      <w:jc w:val="right"/>
      <w:rPr>
        <w:rFonts w:ascii="Times New Roman" w:hAnsi="Times New Roman" w:cs="Times New Roman"/>
        <w:sz w:val="24"/>
        <w:szCs w:val="24"/>
      </w:rPr>
    </w:pPr>
    <w:r w:rsidRPr="00D87C44">
      <w:rPr>
        <w:rFonts w:ascii="Times New Roman" w:hAnsi="Times New Roman" w:cs="Times New Roman"/>
        <w:sz w:val="24"/>
        <w:szCs w:val="24"/>
      </w:rPr>
      <w:t>GOODWILL IMPAIRMENT TESTING</w:t>
    </w:r>
    <w:r>
      <w:rPr>
        <w:rFonts w:ascii="Times New Roman" w:hAnsi="Times New Roman" w:cs="Times New Roman"/>
        <w:sz w:val="24"/>
        <w:szCs w:val="24"/>
      </w:rPr>
      <w:tab/>
    </w:r>
    <w:r>
      <w:rPr>
        <w:rFonts w:ascii="Times New Roman" w:hAnsi="Times New Roman" w:cs="Times New Roman"/>
        <w:sz w:val="24"/>
        <w:szCs w:val="24"/>
      </w:rPr>
      <w:tab/>
    </w:r>
    <w:r w:rsidRPr="00D87C44">
      <w:rPr>
        <w:rFonts w:ascii="Times New Roman" w:hAnsi="Times New Roman" w:cs="Times New Roman"/>
        <w:sz w:val="24"/>
        <w:szCs w:val="24"/>
      </w:rPr>
      <w:t xml:space="preserve"> </w:t>
    </w:r>
    <w:sdt>
      <w:sdtPr>
        <w:rPr>
          <w:rFonts w:ascii="Times New Roman" w:hAnsi="Times New Roman" w:cs="Times New Roman"/>
          <w:sz w:val="24"/>
          <w:szCs w:val="24"/>
        </w:rPr>
        <w:id w:val="-683361511"/>
        <w:docPartObj>
          <w:docPartGallery w:val="Page Numbers (Top of Page)"/>
          <w:docPartUnique/>
        </w:docPartObj>
      </w:sdtPr>
      <w:sdtEndPr>
        <w:rPr>
          <w:noProof/>
        </w:rPr>
      </w:sdtEndPr>
      <w:sdtContent>
        <w:r w:rsidRPr="00D87C44">
          <w:rPr>
            <w:rFonts w:ascii="Times New Roman" w:hAnsi="Times New Roman" w:cs="Times New Roman"/>
            <w:sz w:val="24"/>
            <w:szCs w:val="24"/>
          </w:rPr>
          <w:fldChar w:fldCharType="begin"/>
        </w:r>
        <w:r w:rsidRPr="00D87C44">
          <w:rPr>
            <w:rFonts w:ascii="Times New Roman" w:hAnsi="Times New Roman" w:cs="Times New Roman"/>
            <w:sz w:val="24"/>
            <w:szCs w:val="24"/>
          </w:rPr>
          <w:instrText xml:space="preserve"> PAGE   \* MERGEFORMAT </w:instrText>
        </w:r>
        <w:r w:rsidRPr="00D87C44">
          <w:rPr>
            <w:rFonts w:ascii="Times New Roman" w:hAnsi="Times New Roman" w:cs="Times New Roman"/>
            <w:sz w:val="24"/>
            <w:szCs w:val="24"/>
          </w:rPr>
          <w:fldChar w:fldCharType="separate"/>
        </w:r>
        <w:r w:rsidRPr="00D87C44">
          <w:rPr>
            <w:rFonts w:ascii="Times New Roman" w:hAnsi="Times New Roman" w:cs="Times New Roman"/>
            <w:noProof/>
            <w:sz w:val="24"/>
            <w:szCs w:val="24"/>
          </w:rPr>
          <w:t>2</w:t>
        </w:r>
        <w:r w:rsidRPr="00D87C44">
          <w:rPr>
            <w:rFonts w:ascii="Times New Roman" w:hAnsi="Times New Roman" w:cs="Times New Roman"/>
            <w:noProof/>
            <w:sz w:val="24"/>
            <w:szCs w:val="24"/>
          </w:rPr>
          <w:fldChar w:fldCharType="end"/>
        </w:r>
      </w:sdtContent>
    </w:sdt>
  </w:p>
  <w:p w14:paraId="7E246C51" w14:textId="77777777" w:rsidR="00D87C44" w:rsidRDefault="00D87C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335"/>
    <w:rsid w:val="00024AA6"/>
    <w:rsid w:val="000327EB"/>
    <w:rsid w:val="00050EF0"/>
    <w:rsid w:val="000C0B41"/>
    <w:rsid w:val="000D76FC"/>
    <w:rsid w:val="001C1EBD"/>
    <w:rsid w:val="0028014F"/>
    <w:rsid w:val="002861AA"/>
    <w:rsid w:val="00297D4B"/>
    <w:rsid w:val="002B387D"/>
    <w:rsid w:val="002D3C54"/>
    <w:rsid w:val="002E7335"/>
    <w:rsid w:val="0035705C"/>
    <w:rsid w:val="003700BB"/>
    <w:rsid w:val="003C1EA4"/>
    <w:rsid w:val="003D020B"/>
    <w:rsid w:val="00435567"/>
    <w:rsid w:val="004F7680"/>
    <w:rsid w:val="00511C41"/>
    <w:rsid w:val="005901CF"/>
    <w:rsid w:val="005A0D8A"/>
    <w:rsid w:val="005A7634"/>
    <w:rsid w:val="00622A77"/>
    <w:rsid w:val="006554D4"/>
    <w:rsid w:val="00782AF7"/>
    <w:rsid w:val="007B7498"/>
    <w:rsid w:val="007D34D8"/>
    <w:rsid w:val="007E098B"/>
    <w:rsid w:val="00826CE3"/>
    <w:rsid w:val="00833927"/>
    <w:rsid w:val="00861BB7"/>
    <w:rsid w:val="0088232D"/>
    <w:rsid w:val="008D7043"/>
    <w:rsid w:val="008E42B4"/>
    <w:rsid w:val="008F049E"/>
    <w:rsid w:val="00916745"/>
    <w:rsid w:val="009973F5"/>
    <w:rsid w:val="009C7DD8"/>
    <w:rsid w:val="009D6959"/>
    <w:rsid w:val="00A22273"/>
    <w:rsid w:val="00A96E2C"/>
    <w:rsid w:val="00AE146F"/>
    <w:rsid w:val="00B159BC"/>
    <w:rsid w:val="00B17E4C"/>
    <w:rsid w:val="00B2493D"/>
    <w:rsid w:val="00B34D19"/>
    <w:rsid w:val="00B85C5E"/>
    <w:rsid w:val="00BF7EB1"/>
    <w:rsid w:val="00C03262"/>
    <w:rsid w:val="00C65617"/>
    <w:rsid w:val="00CC0F39"/>
    <w:rsid w:val="00CE1B36"/>
    <w:rsid w:val="00CE396C"/>
    <w:rsid w:val="00CE538D"/>
    <w:rsid w:val="00D45B52"/>
    <w:rsid w:val="00D87C44"/>
    <w:rsid w:val="00DA070C"/>
    <w:rsid w:val="00DD237D"/>
    <w:rsid w:val="00DF501B"/>
    <w:rsid w:val="00E0333D"/>
    <w:rsid w:val="00E075CE"/>
    <w:rsid w:val="00E16EB7"/>
    <w:rsid w:val="00ED7946"/>
    <w:rsid w:val="00F6570F"/>
    <w:rsid w:val="00F7650C"/>
    <w:rsid w:val="00F95487"/>
    <w:rsid w:val="00FB31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9BD12"/>
  <w15:chartTrackingRefBased/>
  <w15:docId w15:val="{A21D9716-D2E0-474F-8153-20BAC6C71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33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C1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22A77"/>
    <w:rPr>
      <w:color w:val="0563C1" w:themeColor="hyperlink"/>
      <w:u w:val="single"/>
    </w:rPr>
  </w:style>
  <w:style w:type="paragraph" w:styleId="Header">
    <w:name w:val="header"/>
    <w:basedOn w:val="Normal"/>
    <w:link w:val="HeaderChar"/>
    <w:uiPriority w:val="99"/>
    <w:unhideWhenUsed/>
    <w:rsid w:val="00D87C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C44"/>
  </w:style>
  <w:style w:type="paragraph" w:styleId="Footer">
    <w:name w:val="footer"/>
    <w:basedOn w:val="Normal"/>
    <w:link w:val="FooterChar"/>
    <w:uiPriority w:val="99"/>
    <w:unhideWhenUsed/>
    <w:rsid w:val="00D87C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C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126898">
      <w:bodyDiv w:val="1"/>
      <w:marLeft w:val="0"/>
      <w:marRight w:val="0"/>
      <w:marTop w:val="0"/>
      <w:marBottom w:val="0"/>
      <w:divBdr>
        <w:top w:val="none" w:sz="0" w:space="0" w:color="auto"/>
        <w:left w:val="none" w:sz="0" w:space="0" w:color="auto"/>
        <w:bottom w:val="none" w:sz="0" w:space="0" w:color="auto"/>
        <w:right w:val="none" w:sz="0" w:space="0" w:color="auto"/>
      </w:divBdr>
    </w:div>
    <w:div w:id="483006556">
      <w:bodyDiv w:val="1"/>
      <w:marLeft w:val="0"/>
      <w:marRight w:val="0"/>
      <w:marTop w:val="0"/>
      <w:marBottom w:val="0"/>
      <w:divBdr>
        <w:top w:val="none" w:sz="0" w:space="0" w:color="auto"/>
        <w:left w:val="none" w:sz="0" w:space="0" w:color="auto"/>
        <w:bottom w:val="none" w:sz="0" w:space="0" w:color="auto"/>
        <w:right w:val="none" w:sz="0" w:space="0" w:color="auto"/>
      </w:divBdr>
    </w:div>
    <w:div w:id="518852895">
      <w:bodyDiv w:val="1"/>
      <w:marLeft w:val="0"/>
      <w:marRight w:val="0"/>
      <w:marTop w:val="0"/>
      <w:marBottom w:val="0"/>
      <w:divBdr>
        <w:top w:val="none" w:sz="0" w:space="0" w:color="auto"/>
        <w:left w:val="none" w:sz="0" w:space="0" w:color="auto"/>
        <w:bottom w:val="none" w:sz="0" w:space="0" w:color="auto"/>
        <w:right w:val="none" w:sz="0" w:space="0" w:color="auto"/>
      </w:divBdr>
    </w:div>
    <w:div w:id="582569803">
      <w:bodyDiv w:val="1"/>
      <w:marLeft w:val="0"/>
      <w:marRight w:val="0"/>
      <w:marTop w:val="0"/>
      <w:marBottom w:val="0"/>
      <w:divBdr>
        <w:top w:val="none" w:sz="0" w:space="0" w:color="auto"/>
        <w:left w:val="none" w:sz="0" w:space="0" w:color="auto"/>
        <w:bottom w:val="none" w:sz="0" w:space="0" w:color="auto"/>
        <w:right w:val="none" w:sz="0" w:space="0" w:color="auto"/>
      </w:divBdr>
    </w:div>
    <w:div w:id="730234345">
      <w:bodyDiv w:val="1"/>
      <w:marLeft w:val="0"/>
      <w:marRight w:val="0"/>
      <w:marTop w:val="0"/>
      <w:marBottom w:val="0"/>
      <w:divBdr>
        <w:top w:val="none" w:sz="0" w:space="0" w:color="auto"/>
        <w:left w:val="none" w:sz="0" w:space="0" w:color="auto"/>
        <w:bottom w:val="none" w:sz="0" w:space="0" w:color="auto"/>
        <w:right w:val="none" w:sz="0" w:space="0" w:color="auto"/>
      </w:divBdr>
    </w:div>
    <w:div w:id="1028337000">
      <w:bodyDiv w:val="1"/>
      <w:marLeft w:val="0"/>
      <w:marRight w:val="0"/>
      <w:marTop w:val="0"/>
      <w:marBottom w:val="0"/>
      <w:divBdr>
        <w:top w:val="none" w:sz="0" w:space="0" w:color="auto"/>
        <w:left w:val="none" w:sz="0" w:space="0" w:color="auto"/>
        <w:bottom w:val="none" w:sz="0" w:space="0" w:color="auto"/>
        <w:right w:val="none" w:sz="0" w:space="0" w:color="auto"/>
      </w:divBdr>
    </w:div>
    <w:div w:id="1138374063">
      <w:bodyDiv w:val="1"/>
      <w:marLeft w:val="0"/>
      <w:marRight w:val="0"/>
      <w:marTop w:val="0"/>
      <w:marBottom w:val="0"/>
      <w:divBdr>
        <w:top w:val="none" w:sz="0" w:space="0" w:color="auto"/>
        <w:left w:val="none" w:sz="0" w:space="0" w:color="auto"/>
        <w:bottom w:val="none" w:sz="0" w:space="0" w:color="auto"/>
        <w:right w:val="none" w:sz="0" w:space="0" w:color="auto"/>
      </w:divBdr>
    </w:div>
    <w:div w:id="1234465555">
      <w:bodyDiv w:val="1"/>
      <w:marLeft w:val="0"/>
      <w:marRight w:val="0"/>
      <w:marTop w:val="0"/>
      <w:marBottom w:val="0"/>
      <w:divBdr>
        <w:top w:val="none" w:sz="0" w:space="0" w:color="auto"/>
        <w:left w:val="none" w:sz="0" w:space="0" w:color="auto"/>
        <w:bottom w:val="none" w:sz="0" w:space="0" w:color="auto"/>
        <w:right w:val="none" w:sz="0" w:space="0" w:color="auto"/>
      </w:divBdr>
    </w:div>
    <w:div w:id="1385448890">
      <w:bodyDiv w:val="1"/>
      <w:marLeft w:val="0"/>
      <w:marRight w:val="0"/>
      <w:marTop w:val="0"/>
      <w:marBottom w:val="0"/>
      <w:divBdr>
        <w:top w:val="none" w:sz="0" w:space="0" w:color="auto"/>
        <w:left w:val="none" w:sz="0" w:space="0" w:color="auto"/>
        <w:bottom w:val="none" w:sz="0" w:space="0" w:color="auto"/>
        <w:right w:val="none" w:sz="0" w:space="0" w:color="auto"/>
      </w:divBdr>
    </w:div>
    <w:div w:id="1468665876">
      <w:bodyDiv w:val="1"/>
      <w:marLeft w:val="0"/>
      <w:marRight w:val="0"/>
      <w:marTop w:val="0"/>
      <w:marBottom w:val="0"/>
      <w:divBdr>
        <w:top w:val="none" w:sz="0" w:space="0" w:color="auto"/>
        <w:left w:val="none" w:sz="0" w:space="0" w:color="auto"/>
        <w:bottom w:val="none" w:sz="0" w:space="0" w:color="auto"/>
        <w:right w:val="none" w:sz="0" w:space="0" w:color="auto"/>
      </w:divBdr>
    </w:div>
    <w:div w:id="1662807036">
      <w:bodyDiv w:val="1"/>
      <w:marLeft w:val="0"/>
      <w:marRight w:val="0"/>
      <w:marTop w:val="0"/>
      <w:marBottom w:val="0"/>
      <w:divBdr>
        <w:top w:val="none" w:sz="0" w:space="0" w:color="auto"/>
        <w:left w:val="none" w:sz="0" w:space="0" w:color="auto"/>
        <w:bottom w:val="none" w:sz="0" w:space="0" w:color="auto"/>
        <w:right w:val="none" w:sz="0" w:space="0" w:color="auto"/>
      </w:divBdr>
    </w:div>
    <w:div w:id="1885873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11</Pages>
  <Words>2402</Words>
  <Characters>13693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cp:revision>
  <dcterms:created xsi:type="dcterms:W3CDTF">2022-04-22T20:42:00Z</dcterms:created>
  <dcterms:modified xsi:type="dcterms:W3CDTF">2022-05-07T17:12:00Z</dcterms:modified>
</cp:coreProperties>
</file>