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29208" w14:textId="2424735A" w:rsidR="00586CDF" w:rsidRDefault="00586CDF" w:rsidP="00586CDF">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Memo</w:t>
      </w:r>
    </w:p>
    <w:p w14:paraId="2807E921" w14:textId="266EA96C" w:rsidR="00586CDF" w:rsidRPr="00586CDF" w:rsidRDefault="00586CDF" w:rsidP="00586CDF">
      <w:pPr>
        <w:spacing w:after="0" w:line="480" w:lineRule="auto"/>
        <w:rPr>
          <w:rFonts w:ascii="Times New Roman" w:hAnsi="Times New Roman" w:cs="Times New Roman"/>
          <w:sz w:val="24"/>
          <w:szCs w:val="24"/>
        </w:rPr>
      </w:pPr>
      <w:r w:rsidRPr="00586CDF">
        <w:rPr>
          <w:rFonts w:ascii="Times New Roman" w:hAnsi="Times New Roman" w:cs="Times New Roman"/>
          <w:b/>
          <w:bCs/>
          <w:sz w:val="24"/>
          <w:szCs w:val="24"/>
        </w:rPr>
        <w:t>To:</w:t>
      </w:r>
      <w:r w:rsidRPr="00586CDF">
        <w:rPr>
          <w:rFonts w:ascii="Times New Roman" w:hAnsi="Times New Roman" w:cs="Times New Roman"/>
          <w:b/>
          <w:bCs/>
          <w:sz w:val="24"/>
          <w:szCs w:val="24"/>
        </w:rPr>
        <w:t xml:space="preserve"> </w:t>
      </w:r>
      <w:r w:rsidRPr="00586CDF">
        <w:rPr>
          <w:rFonts w:ascii="Times New Roman" w:hAnsi="Times New Roman" w:cs="Times New Roman"/>
          <w:sz w:val="24"/>
          <w:szCs w:val="24"/>
        </w:rPr>
        <w:t>KTSB Management</w:t>
      </w:r>
    </w:p>
    <w:p w14:paraId="52875660" w14:textId="77777777" w:rsidR="00586CDF" w:rsidRPr="00586CDF" w:rsidRDefault="00586CDF" w:rsidP="00586CDF">
      <w:pPr>
        <w:spacing w:after="0" w:line="480" w:lineRule="auto"/>
        <w:rPr>
          <w:rFonts w:ascii="Times New Roman" w:hAnsi="Times New Roman" w:cs="Times New Roman"/>
          <w:sz w:val="24"/>
          <w:szCs w:val="24"/>
        </w:rPr>
      </w:pPr>
      <w:r w:rsidRPr="00586CDF">
        <w:rPr>
          <w:rFonts w:ascii="Times New Roman" w:hAnsi="Times New Roman" w:cs="Times New Roman"/>
          <w:b/>
          <w:bCs/>
          <w:sz w:val="24"/>
          <w:szCs w:val="24"/>
        </w:rPr>
        <w:t xml:space="preserve">From: </w:t>
      </w:r>
      <w:r w:rsidRPr="00586CDF">
        <w:rPr>
          <w:rFonts w:ascii="Times New Roman" w:hAnsi="Times New Roman" w:cs="Times New Roman"/>
          <w:sz w:val="24"/>
          <w:szCs w:val="24"/>
        </w:rPr>
        <w:t>Student Name</w:t>
      </w:r>
    </w:p>
    <w:p w14:paraId="2D099457" w14:textId="77777777" w:rsidR="00586CDF" w:rsidRPr="00586CDF" w:rsidRDefault="00586CDF" w:rsidP="00586CDF">
      <w:pPr>
        <w:spacing w:after="0" w:line="480" w:lineRule="auto"/>
        <w:rPr>
          <w:rFonts w:ascii="Times New Roman" w:hAnsi="Times New Roman" w:cs="Times New Roman"/>
          <w:sz w:val="24"/>
          <w:szCs w:val="24"/>
        </w:rPr>
      </w:pPr>
      <w:r w:rsidRPr="00586CDF">
        <w:rPr>
          <w:rFonts w:ascii="Times New Roman" w:hAnsi="Times New Roman" w:cs="Times New Roman"/>
          <w:b/>
          <w:bCs/>
          <w:sz w:val="24"/>
          <w:szCs w:val="24"/>
        </w:rPr>
        <w:t>Date:</w:t>
      </w:r>
      <w:r w:rsidRPr="00586CDF">
        <w:rPr>
          <w:rFonts w:ascii="Times New Roman" w:hAnsi="Times New Roman" w:cs="Times New Roman"/>
          <w:sz w:val="24"/>
          <w:szCs w:val="24"/>
        </w:rPr>
        <w:t xml:space="preserve"> March 27, 2022</w:t>
      </w:r>
    </w:p>
    <w:p w14:paraId="256A0B8E" w14:textId="7E666587" w:rsidR="00586CDF" w:rsidRDefault="00586CDF" w:rsidP="00586CDF">
      <w:pPr>
        <w:spacing w:after="0" w:line="480" w:lineRule="auto"/>
        <w:rPr>
          <w:rFonts w:ascii="Times New Roman" w:hAnsi="Times New Roman" w:cs="Times New Roman"/>
          <w:sz w:val="24"/>
          <w:szCs w:val="24"/>
        </w:rPr>
      </w:pPr>
      <w:r w:rsidRPr="00586CDF">
        <w:rPr>
          <w:rFonts w:ascii="Times New Roman" w:hAnsi="Times New Roman" w:cs="Times New Roman"/>
          <w:b/>
          <w:bCs/>
          <w:sz w:val="24"/>
          <w:szCs w:val="24"/>
        </w:rPr>
        <w:t xml:space="preserve">Subject: </w:t>
      </w:r>
      <w:r w:rsidRPr="00586CDF">
        <w:rPr>
          <w:rFonts w:ascii="Times New Roman" w:hAnsi="Times New Roman" w:cs="Times New Roman"/>
          <w:sz w:val="24"/>
          <w:szCs w:val="24"/>
        </w:rPr>
        <w:t>Revenue recognition issues in KTSB and Ramesses II Agreement</w:t>
      </w:r>
    </w:p>
    <w:p w14:paraId="1A5F65BB" w14:textId="39801A2B" w:rsidR="008A0329" w:rsidRPr="001A407E" w:rsidRDefault="008A0329" w:rsidP="00586CDF">
      <w:pPr>
        <w:spacing w:after="0" w:line="480" w:lineRule="auto"/>
        <w:jc w:val="center"/>
        <w:rPr>
          <w:rFonts w:ascii="Times New Roman" w:hAnsi="Times New Roman" w:cs="Times New Roman"/>
          <w:b/>
          <w:bCs/>
          <w:sz w:val="24"/>
          <w:szCs w:val="24"/>
        </w:rPr>
      </w:pPr>
      <w:r w:rsidRPr="001A407E">
        <w:rPr>
          <w:rFonts w:ascii="Times New Roman" w:hAnsi="Times New Roman" w:cs="Times New Roman"/>
          <w:b/>
          <w:bCs/>
          <w:sz w:val="24"/>
          <w:szCs w:val="24"/>
        </w:rPr>
        <w:t>Relevant Facts</w:t>
      </w:r>
      <w:r w:rsidR="001A407E" w:rsidRPr="001A407E">
        <w:rPr>
          <w:rFonts w:ascii="Times New Roman" w:hAnsi="Times New Roman" w:cs="Times New Roman"/>
          <w:b/>
          <w:bCs/>
          <w:sz w:val="24"/>
          <w:szCs w:val="24"/>
        </w:rPr>
        <w:t xml:space="preserve"> of the Agreement</w:t>
      </w:r>
    </w:p>
    <w:p w14:paraId="3564491E" w14:textId="6906A8B1" w:rsidR="008A0329" w:rsidRPr="008A0329" w:rsidRDefault="001A407E" w:rsidP="00EE250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revenue transaction between KTSB and </w:t>
      </w:r>
      <w:r>
        <w:rPr>
          <w:rFonts w:ascii="Times New Roman" w:hAnsi="Times New Roman" w:cs="Times New Roman"/>
          <w:sz w:val="24"/>
          <w:szCs w:val="24"/>
        </w:rPr>
        <w:t xml:space="preserve">Ramesses II </w:t>
      </w:r>
      <w:r w:rsidR="00E46BD1">
        <w:rPr>
          <w:rFonts w:ascii="Times New Roman" w:hAnsi="Times New Roman" w:cs="Times New Roman"/>
          <w:sz w:val="24"/>
          <w:szCs w:val="24"/>
        </w:rPr>
        <w:t>was initiated on July 16 when KTSB received a purchase order from Ramesses II. KTSB fulfilled the order on August 23 and transferred legal title</w:t>
      </w:r>
      <w:r>
        <w:rPr>
          <w:rFonts w:ascii="Times New Roman" w:hAnsi="Times New Roman" w:cs="Times New Roman"/>
          <w:sz w:val="24"/>
          <w:szCs w:val="24"/>
        </w:rPr>
        <w:t xml:space="preserve"> for the goods at the delivery point. </w:t>
      </w:r>
      <w:r w:rsidR="00E46BD1">
        <w:rPr>
          <w:rFonts w:ascii="Times New Roman" w:hAnsi="Times New Roman" w:cs="Times New Roman"/>
          <w:sz w:val="24"/>
          <w:szCs w:val="24"/>
        </w:rPr>
        <w:t>A consignment relationship is ruled out as early as now given that KTSB transferred legal title to Ramesses II and expects to receive payment for the computers sold in 90 days (n/90). The credit period coincides with the period that Ramesses II is allowed to return all unsold laptops to KTSB. Other relevant facts include Ramesses II inability to set prices as it is prevent</w:t>
      </w:r>
      <w:r w:rsidR="00EE250B">
        <w:rPr>
          <w:rFonts w:ascii="Times New Roman" w:hAnsi="Times New Roman" w:cs="Times New Roman"/>
          <w:sz w:val="24"/>
          <w:szCs w:val="24"/>
        </w:rPr>
        <w:t>ed</w:t>
      </w:r>
      <w:r w:rsidR="00E46BD1">
        <w:rPr>
          <w:rFonts w:ascii="Times New Roman" w:hAnsi="Times New Roman" w:cs="Times New Roman"/>
          <w:sz w:val="24"/>
          <w:szCs w:val="24"/>
        </w:rPr>
        <w:t xml:space="preserve"> from</w:t>
      </w:r>
      <w:r w:rsidR="00E46BD1" w:rsidRPr="00E46BD1">
        <w:rPr>
          <w:rFonts w:ascii="Times New Roman" w:hAnsi="Times New Roman" w:cs="Times New Roman"/>
          <w:sz w:val="24"/>
          <w:szCs w:val="24"/>
        </w:rPr>
        <w:t xml:space="preserve"> offer</w:t>
      </w:r>
      <w:r w:rsidR="00E46BD1">
        <w:rPr>
          <w:rFonts w:ascii="Times New Roman" w:hAnsi="Times New Roman" w:cs="Times New Roman"/>
          <w:sz w:val="24"/>
          <w:szCs w:val="24"/>
        </w:rPr>
        <w:t>ing</w:t>
      </w:r>
      <w:r w:rsidR="00E46BD1" w:rsidRPr="00E46BD1">
        <w:rPr>
          <w:rFonts w:ascii="Times New Roman" w:hAnsi="Times New Roman" w:cs="Times New Roman"/>
          <w:sz w:val="24"/>
          <w:szCs w:val="24"/>
        </w:rPr>
        <w:t xml:space="preserve"> any discount to its customers to help move inventory through its warehouses.</w:t>
      </w:r>
      <w:r w:rsidR="00EE250B">
        <w:rPr>
          <w:rFonts w:ascii="Times New Roman" w:hAnsi="Times New Roman" w:cs="Times New Roman"/>
          <w:sz w:val="24"/>
          <w:szCs w:val="24"/>
        </w:rPr>
        <w:t xml:space="preserve"> Furthermore, i</w:t>
      </w:r>
      <w:r w:rsidR="00E46BD1" w:rsidRPr="00E46BD1">
        <w:rPr>
          <w:rFonts w:ascii="Times New Roman" w:hAnsi="Times New Roman" w:cs="Times New Roman"/>
          <w:sz w:val="24"/>
          <w:szCs w:val="24"/>
        </w:rPr>
        <w:t xml:space="preserve">nventory sold by Ramesses II to end customers can be returned by the customers over the next one year as part of warranty claims. These retuned items from customers will be returned to KTSB and Ramesses II will be refunded accordingly. </w:t>
      </w:r>
      <w:r w:rsidR="00EE250B">
        <w:rPr>
          <w:rFonts w:ascii="Times New Roman" w:hAnsi="Times New Roman" w:cs="Times New Roman"/>
          <w:sz w:val="24"/>
          <w:szCs w:val="24"/>
        </w:rPr>
        <w:t xml:space="preserve">Lastly, </w:t>
      </w:r>
      <w:r w:rsidR="00E46BD1" w:rsidRPr="00E46BD1">
        <w:rPr>
          <w:rFonts w:ascii="Times New Roman" w:hAnsi="Times New Roman" w:cs="Times New Roman"/>
          <w:sz w:val="24"/>
          <w:szCs w:val="24"/>
        </w:rPr>
        <w:t>KTSB gift cards will be sold by Ramesses II who will be paid a commission of 3% on the value of the gift cards.</w:t>
      </w:r>
    </w:p>
    <w:p w14:paraId="707C96E9" w14:textId="1E92758A" w:rsidR="00D353CA" w:rsidRPr="00753192" w:rsidRDefault="00CD6C1C" w:rsidP="00586CDF">
      <w:pPr>
        <w:spacing w:after="0" w:line="480" w:lineRule="auto"/>
        <w:jc w:val="center"/>
        <w:rPr>
          <w:rFonts w:ascii="Times New Roman" w:hAnsi="Times New Roman" w:cs="Times New Roman"/>
          <w:b/>
          <w:bCs/>
          <w:sz w:val="24"/>
          <w:szCs w:val="24"/>
        </w:rPr>
      </w:pPr>
      <w:r w:rsidRPr="00AD5F3A">
        <w:rPr>
          <w:rFonts w:ascii="Times New Roman" w:hAnsi="Times New Roman" w:cs="Times New Roman"/>
          <w:b/>
          <w:bCs/>
          <w:sz w:val="24"/>
          <w:szCs w:val="24"/>
        </w:rPr>
        <w:t>Specific Accounting Issues</w:t>
      </w:r>
    </w:p>
    <w:p w14:paraId="76E58470" w14:textId="77777777" w:rsidR="00A75236" w:rsidRDefault="00D353CA" w:rsidP="00A7523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key issue in the KTSB and Ramesses-II contract is the nature of the relationship between two parties. </w:t>
      </w:r>
      <w:r w:rsidR="00837E07">
        <w:rPr>
          <w:rFonts w:ascii="Times New Roman" w:hAnsi="Times New Roman" w:cs="Times New Roman"/>
          <w:sz w:val="24"/>
          <w:szCs w:val="24"/>
        </w:rPr>
        <w:t>In the event that a contract with a customer involves more than two parties,</w:t>
      </w:r>
      <w:r w:rsidR="008F1A1A">
        <w:rPr>
          <w:rFonts w:ascii="Times New Roman" w:hAnsi="Times New Roman" w:cs="Times New Roman"/>
          <w:sz w:val="24"/>
          <w:szCs w:val="24"/>
        </w:rPr>
        <w:t xml:space="preserve"> each party’s (other than the customer) status as a principal or agent should be determine so as to identify the correct revenue recognition approach. </w:t>
      </w:r>
      <w:r w:rsidR="002E213D">
        <w:rPr>
          <w:rFonts w:ascii="Times New Roman" w:hAnsi="Times New Roman" w:cs="Times New Roman"/>
          <w:sz w:val="24"/>
          <w:szCs w:val="24"/>
        </w:rPr>
        <w:t xml:space="preserve">The recognition of revenue from the sale of </w:t>
      </w:r>
      <w:r w:rsidR="002E213D">
        <w:rPr>
          <w:rFonts w:ascii="Times New Roman" w:hAnsi="Times New Roman" w:cs="Times New Roman"/>
          <w:sz w:val="24"/>
          <w:szCs w:val="24"/>
        </w:rPr>
        <w:lastRenderedPageBreak/>
        <w:t xml:space="preserve">gift cards also raises an accounting issue as the performance obligation is yet to be satisfied at the point of cash receipt and the company is uncertain on whether the gift card will be exercised. Furthermore, there is the issue of whether </w:t>
      </w:r>
      <w:r w:rsidR="00A75236">
        <w:rPr>
          <w:rFonts w:ascii="Times New Roman" w:hAnsi="Times New Roman" w:cs="Times New Roman"/>
          <w:sz w:val="24"/>
          <w:szCs w:val="24"/>
        </w:rPr>
        <w:t>an allowance for returns should be made at the revenue recognition stage or if the contra-revenue account, sales returns and allowances, should be debited when the return occurs. Finally, the treatment of coupons entitling customers to lower prices is of concern given that KTSB receives the bulk of the sales revenue from Model E sales from Ramesses II before the computers are sold to customers. This, therefore, raises the question of whether KTSB should make an allowance for the coupons exercise when revenues are recognized or when it reimburses Ramesses II for the coupons that were exercised.</w:t>
      </w:r>
    </w:p>
    <w:p w14:paraId="16412137" w14:textId="3F826A50" w:rsidR="008A4C83" w:rsidRPr="00EE250B" w:rsidRDefault="00A75236" w:rsidP="00EE250B">
      <w:pPr>
        <w:spacing w:line="480" w:lineRule="auto"/>
        <w:ind w:firstLine="720"/>
        <w:jc w:val="both"/>
        <w:rPr>
          <w:rFonts w:ascii="Times New Roman" w:hAnsi="Times New Roman"/>
          <w:sz w:val="24"/>
          <w:szCs w:val="24"/>
        </w:rPr>
      </w:pPr>
      <w:r>
        <w:rPr>
          <w:rFonts w:ascii="Times New Roman" w:hAnsi="Times New Roman" w:cs="Times New Roman"/>
          <w:sz w:val="24"/>
          <w:szCs w:val="24"/>
        </w:rPr>
        <w:t xml:space="preserve">Overall, the </w:t>
      </w:r>
      <w:r w:rsidR="00AF745C">
        <w:rPr>
          <w:rFonts w:ascii="Times New Roman" w:hAnsi="Times New Roman" w:cs="Times New Roman"/>
          <w:sz w:val="24"/>
          <w:szCs w:val="24"/>
        </w:rPr>
        <w:t xml:space="preserve">recognition of revenues from contracts with customers is </w:t>
      </w:r>
      <w:r w:rsidR="00AF745C">
        <w:rPr>
          <w:rFonts w:ascii="Times New Roman" w:hAnsi="Times New Roman"/>
          <w:sz w:val="24"/>
          <w:szCs w:val="24"/>
        </w:rPr>
        <w:t>based on five steps delineated in ASC 606</w:t>
      </w:r>
      <w:r w:rsidR="0068443B">
        <w:rPr>
          <w:rFonts w:ascii="Times New Roman" w:hAnsi="Times New Roman"/>
          <w:sz w:val="24"/>
          <w:szCs w:val="24"/>
        </w:rPr>
        <w:t>-10-25-1</w:t>
      </w:r>
      <w:r w:rsidR="00AF745C" w:rsidRPr="005B0B87">
        <w:rPr>
          <w:rFonts w:ascii="Times New Roman" w:hAnsi="Times New Roman"/>
          <w:sz w:val="24"/>
          <w:szCs w:val="24"/>
        </w:rPr>
        <w:t xml:space="preserve"> </w:t>
      </w:r>
      <w:r w:rsidR="0068443B">
        <w:rPr>
          <w:rFonts w:ascii="Times New Roman" w:hAnsi="Times New Roman"/>
          <w:sz w:val="24"/>
          <w:szCs w:val="24"/>
        </w:rPr>
        <w:t>to 32: t</w:t>
      </w:r>
      <w:r w:rsidR="00AF745C" w:rsidRPr="005B0B87">
        <w:rPr>
          <w:rFonts w:ascii="Times New Roman" w:hAnsi="Times New Roman"/>
          <w:sz w:val="24"/>
          <w:szCs w:val="24"/>
        </w:rPr>
        <w:t>hese steps include, identification of the customer contract, identification of the performance obligations, determination of transaction price, allocation of the transaction price to performance obligations, and recognition of revenues as performance obligations are satisfied (FASB, 2022)</w:t>
      </w:r>
      <w:r w:rsidR="0068443B">
        <w:rPr>
          <w:rFonts w:ascii="Times New Roman" w:hAnsi="Times New Roman"/>
          <w:sz w:val="24"/>
          <w:szCs w:val="24"/>
        </w:rPr>
        <w:t>.</w:t>
      </w:r>
      <w:r w:rsidR="0036044A">
        <w:rPr>
          <w:rFonts w:ascii="Times New Roman" w:hAnsi="Times New Roman"/>
          <w:sz w:val="24"/>
          <w:szCs w:val="24"/>
        </w:rPr>
        <w:t xml:space="preserve"> </w:t>
      </w:r>
      <w:r w:rsidR="008A0329">
        <w:rPr>
          <w:rFonts w:ascii="Times New Roman" w:hAnsi="Times New Roman"/>
          <w:sz w:val="24"/>
          <w:szCs w:val="24"/>
        </w:rPr>
        <w:t xml:space="preserve">The performance obligations in a contract with a customer differ based on whether the entity is a principal or agent. </w:t>
      </w:r>
      <w:r w:rsidR="00D353CA">
        <w:rPr>
          <w:rFonts w:ascii="Times New Roman" w:hAnsi="Times New Roman" w:cs="Times New Roman"/>
          <w:sz w:val="24"/>
          <w:szCs w:val="24"/>
        </w:rPr>
        <w:t>The accounting standards codification are examined to determine whether the two companies have a principal-agent relationship and the impact on revenue recognition</w:t>
      </w:r>
    </w:p>
    <w:p w14:paraId="608A35E1" w14:textId="491EA054" w:rsidR="00CD6C1C" w:rsidRDefault="00CD6C1C" w:rsidP="00586CDF">
      <w:pPr>
        <w:spacing w:after="0" w:line="480" w:lineRule="auto"/>
        <w:jc w:val="center"/>
        <w:rPr>
          <w:rFonts w:ascii="Times New Roman" w:hAnsi="Times New Roman" w:cs="Times New Roman"/>
          <w:b/>
          <w:bCs/>
          <w:sz w:val="24"/>
          <w:szCs w:val="24"/>
        </w:rPr>
      </w:pPr>
      <w:r w:rsidRPr="001D4CF3">
        <w:rPr>
          <w:rFonts w:ascii="Times New Roman" w:hAnsi="Times New Roman" w:cs="Times New Roman"/>
          <w:b/>
          <w:bCs/>
          <w:sz w:val="24"/>
          <w:szCs w:val="24"/>
        </w:rPr>
        <w:t xml:space="preserve">Appropriate </w:t>
      </w:r>
      <w:r w:rsidR="00EE250B">
        <w:rPr>
          <w:rFonts w:ascii="Times New Roman" w:hAnsi="Times New Roman" w:cs="Times New Roman"/>
          <w:b/>
          <w:bCs/>
          <w:sz w:val="24"/>
          <w:szCs w:val="24"/>
        </w:rPr>
        <w:t>A</w:t>
      </w:r>
      <w:r w:rsidRPr="001D4CF3">
        <w:rPr>
          <w:rFonts w:ascii="Times New Roman" w:hAnsi="Times New Roman" w:cs="Times New Roman"/>
          <w:b/>
          <w:bCs/>
          <w:sz w:val="24"/>
          <w:szCs w:val="24"/>
        </w:rPr>
        <w:t xml:space="preserve">uthoritative </w:t>
      </w:r>
      <w:r w:rsidR="00EE250B">
        <w:rPr>
          <w:rFonts w:ascii="Times New Roman" w:hAnsi="Times New Roman" w:cs="Times New Roman"/>
          <w:b/>
          <w:bCs/>
          <w:sz w:val="24"/>
          <w:szCs w:val="24"/>
        </w:rPr>
        <w:t>G</w:t>
      </w:r>
      <w:r w:rsidRPr="001D4CF3">
        <w:rPr>
          <w:rFonts w:ascii="Times New Roman" w:hAnsi="Times New Roman" w:cs="Times New Roman"/>
          <w:b/>
          <w:bCs/>
          <w:sz w:val="24"/>
          <w:szCs w:val="24"/>
        </w:rPr>
        <w:t>uidance</w:t>
      </w:r>
    </w:p>
    <w:p w14:paraId="36F9808C" w14:textId="32C18101" w:rsidR="00DC74C8" w:rsidRPr="001D4CF3" w:rsidRDefault="00DC74C8" w:rsidP="00753192">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Principal-Agent Relations</w:t>
      </w:r>
    </w:p>
    <w:p w14:paraId="0C9769CF" w14:textId="74EA67C3" w:rsidR="00CD6C1C" w:rsidRDefault="00CD6C1C" w:rsidP="00753192">
      <w:pPr>
        <w:spacing w:after="0" w:line="480" w:lineRule="auto"/>
        <w:rPr>
          <w:rFonts w:ascii="Times New Roman" w:hAnsi="Times New Roman" w:cs="Times New Roman"/>
          <w:sz w:val="24"/>
          <w:szCs w:val="24"/>
        </w:rPr>
      </w:pPr>
      <w:r w:rsidRPr="00417222">
        <w:rPr>
          <w:rFonts w:ascii="Times New Roman" w:hAnsi="Times New Roman" w:cs="Times New Roman"/>
          <w:sz w:val="24"/>
          <w:szCs w:val="24"/>
        </w:rPr>
        <w:t xml:space="preserve"> </w:t>
      </w:r>
      <w:r w:rsidR="00BC2728">
        <w:rPr>
          <w:rFonts w:ascii="Times New Roman" w:hAnsi="Times New Roman" w:cs="Times New Roman"/>
          <w:sz w:val="24"/>
          <w:szCs w:val="24"/>
        </w:rPr>
        <w:tab/>
        <w:t xml:space="preserve">The FASB provides </w:t>
      </w:r>
      <w:r w:rsidR="00D57752">
        <w:rPr>
          <w:rFonts w:ascii="Times New Roman" w:hAnsi="Times New Roman" w:cs="Times New Roman"/>
          <w:sz w:val="24"/>
          <w:szCs w:val="24"/>
        </w:rPr>
        <w:t xml:space="preserve">guidance on the determination of the entity’s character as a principal or agent in ASC 606-10-55-36 to 40 (FASB, n.d.). According to ASC 606-10-55-36, when more than one party is involved in providing goods/services to a customer – as is the case in KTSB and Ramesses II’s agreement – the principal is the entity that has the performance obligation to </w:t>
      </w:r>
      <w:r w:rsidR="00D57752">
        <w:rPr>
          <w:rFonts w:ascii="Times New Roman" w:hAnsi="Times New Roman" w:cs="Times New Roman"/>
          <w:sz w:val="24"/>
          <w:szCs w:val="24"/>
        </w:rPr>
        <w:lastRenderedPageBreak/>
        <w:t>provide the goods to the customer while the agent is the entity that arranges for the goods to be provided by the principal (FASB, n.d.). If more than one performance obligation exists</w:t>
      </w:r>
      <w:r w:rsidR="00B40819">
        <w:rPr>
          <w:rFonts w:ascii="Times New Roman" w:hAnsi="Times New Roman" w:cs="Times New Roman"/>
          <w:sz w:val="24"/>
          <w:szCs w:val="24"/>
        </w:rPr>
        <w:t xml:space="preserve"> – as is the case in the current scenario – the entity could serve as a principal for some obligations and agent for other obligations (ASC 606-10-55-36 FASB, n.d.)</w:t>
      </w:r>
      <w:r w:rsidR="00222A5F">
        <w:rPr>
          <w:rFonts w:ascii="Times New Roman" w:hAnsi="Times New Roman" w:cs="Times New Roman"/>
          <w:sz w:val="24"/>
          <w:szCs w:val="24"/>
        </w:rPr>
        <w:t xml:space="preserve">. </w:t>
      </w:r>
      <w:r w:rsidR="00101365">
        <w:rPr>
          <w:rFonts w:ascii="Times New Roman" w:hAnsi="Times New Roman" w:cs="Times New Roman"/>
          <w:sz w:val="24"/>
          <w:szCs w:val="24"/>
        </w:rPr>
        <w:t xml:space="preserve">An entity is a principal if it controls the good for a substantial amount of time before legal title is passed to the customer </w:t>
      </w:r>
      <w:r w:rsidR="00811B5A">
        <w:rPr>
          <w:rFonts w:ascii="Times New Roman" w:hAnsi="Times New Roman" w:cs="Times New Roman"/>
          <w:sz w:val="24"/>
          <w:szCs w:val="24"/>
        </w:rPr>
        <w:t>(ASC 606-10-55-37). The indicators that an entity controls the good before its transfer to the customers are delineated in ASC 606-10-55-39</w:t>
      </w:r>
      <w:r w:rsidR="00CF43F5">
        <w:rPr>
          <w:rFonts w:ascii="Times New Roman" w:hAnsi="Times New Roman" w:cs="Times New Roman"/>
          <w:sz w:val="24"/>
          <w:szCs w:val="24"/>
        </w:rPr>
        <w:t>. An entity controls a good if it:</w:t>
      </w:r>
    </w:p>
    <w:p w14:paraId="52EE1491" w14:textId="585D668C" w:rsidR="00CF43F5" w:rsidRDefault="00CF43F5" w:rsidP="00753192">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Has the primary responsibility to fulfil the performance obligation related to the provision of the good and is responsible for ensuring the good’s condition is acceptable</w:t>
      </w:r>
    </w:p>
    <w:p w14:paraId="3C29CDDB" w14:textId="212538DC" w:rsidR="00CF43F5" w:rsidRDefault="00CF43F5" w:rsidP="00753192">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Faces inventory risk prior to the good’s transfer to the customer and after it’s transfer if customers have a right of return</w:t>
      </w:r>
    </w:p>
    <w:p w14:paraId="2C032245" w14:textId="66C359E3" w:rsidR="00CF43F5" w:rsidRDefault="00CF43F5" w:rsidP="00753192">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It has discretion in setting the prices </w:t>
      </w:r>
      <w:r w:rsidR="00EC7BBE">
        <w:rPr>
          <w:rFonts w:ascii="Times New Roman" w:hAnsi="Times New Roman" w:cs="Times New Roman"/>
          <w:sz w:val="24"/>
          <w:szCs w:val="24"/>
        </w:rPr>
        <w:t>of the good/service</w:t>
      </w:r>
    </w:p>
    <w:p w14:paraId="6F5C52D9" w14:textId="7AADC2C0" w:rsidR="00EC7BBE" w:rsidRDefault="00EC7BBE" w:rsidP="00753192">
      <w:pPr>
        <w:spacing w:before="240" w:after="0" w:line="480" w:lineRule="auto"/>
        <w:rPr>
          <w:rFonts w:ascii="Times New Roman" w:hAnsi="Times New Roman" w:cs="Times New Roman"/>
          <w:sz w:val="24"/>
          <w:szCs w:val="24"/>
        </w:rPr>
      </w:pPr>
      <w:r>
        <w:rPr>
          <w:rFonts w:ascii="Times New Roman" w:hAnsi="Times New Roman" w:cs="Times New Roman"/>
          <w:sz w:val="24"/>
          <w:szCs w:val="24"/>
        </w:rPr>
        <w:t xml:space="preserve">An entity is an agent if its obligation is to arrange for the transfer of a good/service, controlled by another party, to the customer (ASC 606-10-55-38). </w:t>
      </w:r>
      <w:r w:rsidR="0046792C">
        <w:rPr>
          <w:rFonts w:ascii="Times New Roman" w:hAnsi="Times New Roman" w:cs="Times New Roman"/>
          <w:sz w:val="24"/>
          <w:szCs w:val="24"/>
        </w:rPr>
        <w:t xml:space="preserve">The principal recognizes revenue using the gross method; i.e., the entity will record the total amount of consideration it expects from the sale of the good/service underlying the performance obligation (ASC 606-10-55-37B). An agent recognizes revenue </w:t>
      </w:r>
      <w:r w:rsidR="000A16DF">
        <w:rPr>
          <w:rFonts w:ascii="Times New Roman" w:hAnsi="Times New Roman" w:cs="Times New Roman"/>
          <w:sz w:val="24"/>
          <w:szCs w:val="24"/>
        </w:rPr>
        <w:t>as the net amount of the consideration received from customers that is retained after paying the principal. This represents t</w:t>
      </w:r>
      <w:r w:rsidR="0046792C">
        <w:rPr>
          <w:rFonts w:ascii="Times New Roman" w:hAnsi="Times New Roman" w:cs="Times New Roman"/>
          <w:sz w:val="24"/>
          <w:szCs w:val="24"/>
        </w:rPr>
        <w:t>he fee receive</w:t>
      </w:r>
      <w:r w:rsidR="000A16DF">
        <w:rPr>
          <w:rFonts w:ascii="Times New Roman" w:hAnsi="Times New Roman" w:cs="Times New Roman"/>
          <w:sz w:val="24"/>
          <w:szCs w:val="24"/>
        </w:rPr>
        <w:t>d in exchange</w:t>
      </w:r>
      <w:r w:rsidR="0046792C">
        <w:rPr>
          <w:rFonts w:ascii="Times New Roman" w:hAnsi="Times New Roman" w:cs="Times New Roman"/>
          <w:sz w:val="24"/>
          <w:szCs w:val="24"/>
        </w:rPr>
        <w:t xml:space="preserve"> for arranging for the transfer of the goods to the customer (ASC 606-10-55-38). </w:t>
      </w:r>
    </w:p>
    <w:p w14:paraId="4F3A1355" w14:textId="77777777" w:rsidR="00743A77" w:rsidRDefault="008F3336" w:rsidP="00753192">
      <w:pPr>
        <w:spacing w:before="240" w:after="0" w:line="480" w:lineRule="auto"/>
        <w:rPr>
          <w:rFonts w:ascii="Times New Roman" w:hAnsi="Times New Roman" w:cs="Times New Roman"/>
          <w:b/>
          <w:bCs/>
          <w:sz w:val="24"/>
          <w:szCs w:val="24"/>
        </w:rPr>
      </w:pPr>
      <w:r w:rsidRPr="008F3336">
        <w:rPr>
          <w:rFonts w:ascii="Times New Roman" w:hAnsi="Times New Roman" w:cs="Times New Roman"/>
          <w:b/>
          <w:bCs/>
          <w:sz w:val="24"/>
          <w:szCs w:val="24"/>
        </w:rPr>
        <w:t xml:space="preserve">Treatment of </w:t>
      </w:r>
      <w:r>
        <w:rPr>
          <w:rFonts w:ascii="Times New Roman" w:hAnsi="Times New Roman" w:cs="Times New Roman"/>
          <w:b/>
          <w:bCs/>
          <w:sz w:val="24"/>
          <w:szCs w:val="24"/>
        </w:rPr>
        <w:t xml:space="preserve">Warranties and </w:t>
      </w:r>
      <w:r w:rsidRPr="008F3336">
        <w:rPr>
          <w:rFonts w:ascii="Times New Roman" w:hAnsi="Times New Roman" w:cs="Times New Roman"/>
          <w:b/>
          <w:bCs/>
          <w:sz w:val="24"/>
          <w:szCs w:val="24"/>
        </w:rPr>
        <w:t>Sales with a Right of Return</w:t>
      </w:r>
    </w:p>
    <w:p w14:paraId="31E3A2D9" w14:textId="07C6BA49" w:rsidR="008F3336" w:rsidRDefault="008F3336" w:rsidP="00753192">
      <w:pPr>
        <w:spacing w:before="240" w:after="0" w:line="480" w:lineRule="auto"/>
        <w:rPr>
          <w:rFonts w:ascii="Times New Roman" w:hAnsi="Times New Roman" w:cs="Times New Roman"/>
          <w:sz w:val="24"/>
          <w:szCs w:val="24"/>
        </w:rPr>
      </w:pPr>
      <w:r>
        <w:rPr>
          <w:rFonts w:ascii="Times New Roman" w:hAnsi="Times New Roman" w:cs="Times New Roman"/>
          <w:sz w:val="24"/>
          <w:szCs w:val="24"/>
        </w:rPr>
        <w:tab/>
        <w:t>AS</w:t>
      </w:r>
      <w:r w:rsidR="00743A77">
        <w:rPr>
          <w:rFonts w:ascii="Times New Roman" w:hAnsi="Times New Roman" w:cs="Times New Roman"/>
          <w:sz w:val="24"/>
          <w:szCs w:val="24"/>
        </w:rPr>
        <w:t>C</w:t>
      </w:r>
      <w:r>
        <w:rPr>
          <w:rFonts w:ascii="Times New Roman" w:hAnsi="Times New Roman" w:cs="Times New Roman"/>
          <w:sz w:val="24"/>
          <w:szCs w:val="24"/>
        </w:rPr>
        <w:t xml:space="preserve"> 606-10-55-22 to 29 describes the treatment of sales with a right of return while the treatment of warranties is described in ASC 606-10-55-30 to 35 (FASB, n.d.).</w:t>
      </w:r>
      <w:r w:rsidR="00652D00">
        <w:rPr>
          <w:rFonts w:ascii="Times New Roman" w:hAnsi="Times New Roman" w:cs="Times New Roman"/>
          <w:sz w:val="24"/>
          <w:szCs w:val="24"/>
        </w:rPr>
        <w:t xml:space="preserve"> The right of return </w:t>
      </w:r>
      <w:r w:rsidR="00652D00">
        <w:rPr>
          <w:rFonts w:ascii="Times New Roman" w:hAnsi="Times New Roman" w:cs="Times New Roman"/>
          <w:sz w:val="24"/>
          <w:szCs w:val="24"/>
        </w:rPr>
        <w:lastRenderedPageBreak/>
        <w:t xml:space="preserve">and refund or replacement of the item is not considered a separate performance </w:t>
      </w:r>
      <w:r w:rsidR="000A22B4">
        <w:rPr>
          <w:rFonts w:ascii="Times New Roman" w:hAnsi="Times New Roman" w:cs="Times New Roman"/>
          <w:sz w:val="24"/>
          <w:szCs w:val="24"/>
        </w:rPr>
        <w:t xml:space="preserve">(ASC 606-10-55-24). </w:t>
      </w:r>
      <w:r w:rsidR="00301939">
        <w:rPr>
          <w:rFonts w:ascii="Times New Roman" w:hAnsi="Times New Roman" w:cs="Times New Roman"/>
          <w:sz w:val="24"/>
          <w:szCs w:val="24"/>
        </w:rPr>
        <w:t>An entity with a known level of sales returns expects not to be entitled to a proportion of the consideration received. It should, therefore, only recognize revenue to the amount it expects to be entitled and recognize a refund liability for the amount representing the expected sales returns (ASC 606-10-55-25).</w:t>
      </w:r>
      <w:r w:rsidR="005370C3">
        <w:rPr>
          <w:rFonts w:ascii="Times New Roman" w:hAnsi="Times New Roman" w:cs="Times New Roman"/>
          <w:sz w:val="24"/>
          <w:szCs w:val="24"/>
        </w:rPr>
        <w:t xml:space="preserve"> The expectations for refunds should be factored into the transaction price and businesses are required to update their refund liability estimates as expectations for refunds are updated (ASC 606-10-55-25 to 26). </w:t>
      </w:r>
    </w:p>
    <w:p w14:paraId="6DE542A8" w14:textId="50030582" w:rsidR="00E21A81" w:rsidRPr="00743A77" w:rsidRDefault="00E21A81" w:rsidP="00753192">
      <w:pPr>
        <w:spacing w:before="240" w:after="0" w:line="480" w:lineRule="auto"/>
        <w:rPr>
          <w:rFonts w:ascii="Times New Roman" w:hAnsi="Times New Roman" w:cs="Times New Roman"/>
          <w:b/>
          <w:bCs/>
          <w:sz w:val="24"/>
          <w:szCs w:val="24"/>
        </w:rPr>
      </w:pPr>
      <w:r>
        <w:rPr>
          <w:rFonts w:ascii="Times New Roman" w:hAnsi="Times New Roman" w:cs="Times New Roman"/>
          <w:sz w:val="24"/>
          <w:szCs w:val="24"/>
        </w:rPr>
        <w:tab/>
        <w:t xml:space="preserve">Warranties are accounted for </w:t>
      </w:r>
      <w:r w:rsidR="00FB1FD7">
        <w:rPr>
          <w:rFonts w:ascii="Times New Roman" w:hAnsi="Times New Roman" w:cs="Times New Roman"/>
          <w:sz w:val="24"/>
          <w:szCs w:val="24"/>
        </w:rPr>
        <w:t xml:space="preserve">separate </w:t>
      </w:r>
      <w:r>
        <w:rPr>
          <w:rFonts w:ascii="Times New Roman" w:hAnsi="Times New Roman" w:cs="Times New Roman"/>
          <w:sz w:val="24"/>
          <w:szCs w:val="24"/>
        </w:rPr>
        <w:t>performance obligation</w:t>
      </w:r>
      <w:r w:rsidR="00FB1FD7">
        <w:rPr>
          <w:rFonts w:ascii="Times New Roman" w:hAnsi="Times New Roman" w:cs="Times New Roman"/>
          <w:sz w:val="24"/>
          <w:szCs w:val="24"/>
        </w:rPr>
        <w:t>s if the customers are given the</w:t>
      </w:r>
      <w:r>
        <w:rPr>
          <w:rFonts w:ascii="Times New Roman" w:hAnsi="Times New Roman" w:cs="Times New Roman"/>
          <w:sz w:val="24"/>
          <w:szCs w:val="24"/>
        </w:rPr>
        <w:t xml:space="preserve"> option to purchase the warranty separately </w:t>
      </w:r>
      <w:r w:rsidR="00FB1FD7">
        <w:rPr>
          <w:rFonts w:ascii="Times New Roman" w:hAnsi="Times New Roman" w:cs="Times New Roman"/>
          <w:sz w:val="24"/>
          <w:szCs w:val="24"/>
        </w:rPr>
        <w:t>and if customers do not have the option of purchasing the product but the warranty provides the customer with a repair, retuning or other service above the assurance of the product’s functioning (ASC 606-10</w:t>
      </w:r>
      <w:r w:rsidR="00446680">
        <w:rPr>
          <w:rFonts w:ascii="Times New Roman" w:hAnsi="Times New Roman" w:cs="Times New Roman"/>
          <w:sz w:val="24"/>
          <w:szCs w:val="24"/>
        </w:rPr>
        <w:t>-55-3</w:t>
      </w:r>
      <w:r w:rsidR="00BD7551">
        <w:rPr>
          <w:rFonts w:ascii="Times New Roman" w:hAnsi="Times New Roman" w:cs="Times New Roman"/>
          <w:sz w:val="24"/>
          <w:szCs w:val="24"/>
        </w:rPr>
        <w:t>1 to 33</w:t>
      </w:r>
      <w:r w:rsidR="00446680">
        <w:rPr>
          <w:rFonts w:ascii="Times New Roman" w:hAnsi="Times New Roman" w:cs="Times New Roman"/>
          <w:sz w:val="24"/>
          <w:szCs w:val="24"/>
        </w:rPr>
        <w:t>).</w:t>
      </w:r>
      <w:r w:rsidR="00BD7551">
        <w:rPr>
          <w:rFonts w:ascii="Times New Roman" w:hAnsi="Times New Roman" w:cs="Times New Roman"/>
          <w:sz w:val="24"/>
          <w:szCs w:val="24"/>
        </w:rPr>
        <w:t xml:space="preserve"> The warranty should, therefore, be allocated a proportion of the transaction price (ASC 606-10-55-34).</w:t>
      </w:r>
    </w:p>
    <w:p w14:paraId="20FBA372" w14:textId="3A354582" w:rsidR="00DE0D1C" w:rsidRPr="00301939" w:rsidRDefault="00965FD3" w:rsidP="00301939">
      <w:pPr>
        <w:spacing w:before="240" w:after="0" w:line="480" w:lineRule="auto"/>
        <w:rPr>
          <w:rFonts w:ascii="Times New Roman" w:hAnsi="Times New Roman" w:cs="Times New Roman"/>
          <w:b/>
          <w:bCs/>
          <w:sz w:val="24"/>
          <w:szCs w:val="24"/>
        </w:rPr>
      </w:pPr>
      <w:r w:rsidRPr="00354D4E">
        <w:rPr>
          <w:rFonts w:ascii="Times New Roman" w:hAnsi="Times New Roman" w:cs="Times New Roman"/>
          <w:b/>
          <w:bCs/>
          <w:sz w:val="24"/>
          <w:szCs w:val="24"/>
        </w:rPr>
        <w:t>Treatment of Gift Card Revenue</w:t>
      </w:r>
    </w:p>
    <w:p w14:paraId="154ED71F" w14:textId="665FB298" w:rsidR="00FE6B8E" w:rsidRDefault="00DE0D1C" w:rsidP="00965FD3">
      <w:pPr>
        <w:spacing w:line="480" w:lineRule="auto"/>
        <w:ind w:firstLine="720"/>
        <w:jc w:val="both"/>
        <w:rPr>
          <w:rFonts w:ascii="Times New Roman" w:hAnsi="Times New Roman"/>
          <w:sz w:val="24"/>
          <w:szCs w:val="24"/>
        </w:rPr>
      </w:pPr>
      <w:r>
        <w:rPr>
          <w:rFonts w:ascii="Times New Roman" w:hAnsi="Times New Roman"/>
          <w:sz w:val="24"/>
          <w:szCs w:val="24"/>
        </w:rPr>
        <w:t>ASC 606-10-45-2 requires companies to recognize a</w:t>
      </w:r>
      <w:r w:rsidR="006E792B">
        <w:rPr>
          <w:rFonts w:ascii="Times New Roman" w:hAnsi="Times New Roman"/>
          <w:sz w:val="24"/>
          <w:szCs w:val="24"/>
        </w:rPr>
        <w:t xml:space="preserve"> contract liability if it receives consideration from the customer before transferring the good/service (FASB, n.d.). </w:t>
      </w:r>
      <w:r w:rsidR="009C3EEC">
        <w:rPr>
          <w:rFonts w:ascii="Times New Roman" w:hAnsi="Times New Roman"/>
          <w:sz w:val="24"/>
          <w:szCs w:val="24"/>
        </w:rPr>
        <w:t xml:space="preserve">The entity then recognizes the revenue and derecognizes the contract liability on the satisfaction of the performance obligation (ASC 606-10-55-46 FASB, n.d.). </w:t>
      </w:r>
      <w:r w:rsidR="00B0028D">
        <w:rPr>
          <w:rFonts w:ascii="Times New Roman" w:hAnsi="Times New Roman"/>
          <w:sz w:val="24"/>
          <w:szCs w:val="24"/>
        </w:rPr>
        <w:t>ASC 606-10-55-46 to 49 describe the accounting treatment for revenues if a customer fails to exercise their rights to the good/service, referred to as breakage (FASB, n.d.). If the entity is aware of the p</w:t>
      </w:r>
      <w:r w:rsidR="00FE6B8E">
        <w:rPr>
          <w:rFonts w:ascii="Times New Roman" w:hAnsi="Times New Roman"/>
          <w:sz w:val="24"/>
          <w:szCs w:val="24"/>
        </w:rPr>
        <w:t>roportion of rights that will go unexercised based on the observed pattern of rights exercise,</w:t>
      </w:r>
      <w:r w:rsidR="00B0028D">
        <w:rPr>
          <w:rFonts w:ascii="Times New Roman" w:hAnsi="Times New Roman"/>
          <w:sz w:val="24"/>
          <w:szCs w:val="24"/>
        </w:rPr>
        <w:t xml:space="preserve"> it </w:t>
      </w:r>
      <w:r w:rsidR="00FE6B8E">
        <w:rPr>
          <w:rFonts w:ascii="Times New Roman" w:hAnsi="Times New Roman"/>
          <w:sz w:val="24"/>
          <w:szCs w:val="24"/>
        </w:rPr>
        <w:t xml:space="preserve">can immediately recognize the breakage amount as revenue with consideration to the restraints on variable consideration estimates provided in ASC 606-10-32-11 to 13 (ASC 606-10-55-48 FASB, n.d.). If the entity is </w:t>
      </w:r>
      <w:r w:rsidR="00FE6B8E">
        <w:rPr>
          <w:rFonts w:ascii="Times New Roman" w:hAnsi="Times New Roman"/>
          <w:sz w:val="24"/>
          <w:szCs w:val="24"/>
        </w:rPr>
        <w:lastRenderedPageBreak/>
        <w:t>unaware of the pattern of rights exercise, it should recognize the breakage amount as revenue only when the likelihood that the rights will be exercised becomes remote (ASC 606-10-55-48 FASB, n.d.).</w:t>
      </w:r>
    </w:p>
    <w:p w14:paraId="63A09A6F" w14:textId="064553F4" w:rsidR="00CD6C1C" w:rsidRPr="001D4CF3" w:rsidRDefault="0012342A" w:rsidP="00586CDF">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t>Issue Analysis</w:t>
      </w:r>
    </w:p>
    <w:p w14:paraId="1F0A1528" w14:textId="53665210" w:rsidR="00EC7BBE" w:rsidRDefault="00101365" w:rsidP="00753192">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46792C">
        <w:rPr>
          <w:rFonts w:ascii="Times New Roman" w:hAnsi="Times New Roman" w:cs="Times New Roman"/>
          <w:sz w:val="24"/>
          <w:szCs w:val="24"/>
        </w:rPr>
        <w:t>Beginning with the performance obligation relating to the sale of the computer, t</w:t>
      </w:r>
      <w:r w:rsidR="00CF43F5">
        <w:rPr>
          <w:rFonts w:ascii="Times New Roman" w:hAnsi="Times New Roman" w:cs="Times New Roman"/>
          <w:sz w:val="24"/>
          <w:szCs w:val="24"/>
        </w:rPr>
        <w:t xml:space="preserve">he first condition of control could apply to Ramesses II as it has the primary responsibility to transfer the computer to the customer. However, Ramesses II is not responsible for ensuring acceptability of the goods as warranty claims and returns are addressed to KTSB. The last two indicators of control establish </w:t>
      </w:r>
      <w:r w:rsidR="00EC7BBE">
        <w:rPr>
          <w:rFonts w:ascii="Times New Roman" w:hAnsi="Times New Roman" w:cs="Times New Roman"/>
          <w:sz w:val="24"/>
          <w:szCs w:val="24"/>
        </w:rPr>
        <w:t xml:space="preserve">KTSB as the principal: the company faces inventory risk before the sale as </w:t>
      </w:r>
      <w:r>
        <w:rPr>
          <w:rFonts w:ascii="Times New Roman" w:hAnsi="Times New Roman" w:cs="Times New Roman"/>
          <w:sz w:val="24"/>
          <w:szCs w:val="24"/>
        </w:rPr>
        <w:t xml:space="preserve">Ramesses </w:t>
      </w:r>
      <w:r w:rsidR="00EC7BBE">
        <w:rPr>
          <w:rFonts w:ascii="Times New Roman" w:hAnsi="Times New Roman" w:cs="Times New Roman"/>
          <w:sz w:val="24"/>
          <w:szCs w:val="24"/>
        </w:rPr>
        <w:t xml:space="preserve">can return all unsold products within 90 days and after the sale as all returns are sent back to KTSB, which refunds Ramesses for the return and shipping costs incurred. Furthermore, KTSB has discretion in setting model E’s prices as Ramesses is not allowed to discount the computer to increase sales. </w:t>
      </w:r>
      <w:r w:rsidR="000A16DF">
        <w:rPr>
          <w:rFonts w:ascii="Times New Roman" w:hAnsi="Times New Roman" w:cs="Times New Roman"/>
          <w:sz w:val="24"/>
          <w:szCs w:val="24"/>
        </w:rPr>
        <w:t>KTSB is the principal and should recognize revenue using the gross method while Ramesses II</w:t>
      </w:r>
      <w:r w:rsidR="00373F3E">
        <w:rPr>
          <w:rFonts w:ascii="Times New Roman" w:hAnsi="Times New Roman" w:cs="Times New Roman"/>
          <w:sz w:val="24"/>
          <w:szCs w:val="24"/>
        </w:rPr>
        <w:t xml:space="preserve"> should recognize the net amount it receives as an agent.</w:t>
      </w:r>
    </w:p>
    <w:p w14:paraId="1767048F" w14:textId="0732CDBE" w:rsidR="00E21A81" w:rsidRDefault="00E21A81" w:rsidP="00753192">
      <w:pPr>
        <w:spacing w:after="0" w:line="480" w:lineRule="auto"/>
        <w:rPr>
          <w:rFonts w:ascii="Times New Roman" w:hAnsi="Times New Roman" w:cs="Times New Roman"/>
          <w:sz w:val="24"/>
          <w:szCs w:val="24"/>
        </w:rPr>
      </w:pPr>
      <w:r>
        <w:rPr>
          <w:rFonts w:ascii="Times New Roman" w:hAnsi="Times New Roman" w:cs="Times New Roman"/>
          <w:sz w:val="24"/>
          <w:szCs w:val="24"/>
        </w:rPr>
        <w:tab/>
        <w:t>KTSB does not have an established pattern of returns and</w:t>
      </w:r>
      <w:r w:rsidR="00D97C03">
        <w:rPr>
          <w:rFonts w:ascii="Times New Roman" w:hAnsi="Times New Roman" w:cs="Times New Roman"/>
          <w:sz w:val="24"/>
          <w:szCs w:val="24"/>
        </w:rPr>
        <w:t xml:space="preserve"> </w:t>
      </w:r>
      <w:r>
        <w:rPr>
          <w:rFonts w:ascii="Times New Roman" w:hAnsi="Times New Roman" w:cs="Times New Roman"/>
          <w:sz w:val="24"/>
          <w:szCs w:val="24"/>
        </w:rPr>
        <w:t xml:space="preserve">expects to be entitled to </w:t>
      </w:r>
      <w:r w:rsidR="00D97C03">
        <w:rPr>
          <w:rFonts w:ascii="Times New Roman" w:hAnsi="Times New Roman" w:cs="Times New Roman"/>
          <w:sz w:val="24"/>
          <w:szCs w:val="24"/>
        </w:rPr>
        <w:t xml:space="preserve">all of </w:t>
      </w:r>
      <w:r>
        <w:rPr>
          <w:rFonts w:ascii="Times New Roman" w:hAnsi="Times New Roman" w:cs="Times New Roman"/>
          <w:sz w:val="24"/>
          <w:szCs w:val="24"/>
        </w:rPr>
        <w:t xml:space="preserve">the consideration received from customers. </w:t>
      </w:r>
      <w:r w:rsidR="00D97C03">
        <w:rPr>
          <w:rFonts w:ascii="Times New Roman" w:hAnsi="Times New Roman" w:cs="Times New Roman"/>
          <w:sz w:val="24"/>
          <w:szCs w:val="24"/>
        </w:rPr>
        <w:t xml:space="preserve">The company is, therefore, prevented from recognizing a refund liability at the current stage and can recognize the consideration received as revenue. In future, KTSB should estimate the returns and refunds made to customers as a proportion of total sales and factor this into its transaction price. The transaction price will be the price multiplied by 1 less the proportion of refunds. The excess of consideration received less the revenue recognized will be recognized as a refund liability, which will then be derecognized when sales returns are made. </w:t>
      </w:r>
      <w:r w:rsidR="00FB1FD7">
        <w:rPr>
          <w:rFonts w:ascii="Times New Roman" w:hAnsi="Times New Roman" w:cs="Times New Roman"/>
          <w:sz w:val="24"/>
          <w:szCs w:val="24"/>
        </w:rPr>
        <w:t>KTSB’s warranty covers a 3</w:t>
      </w:r>
      <w:r w:rsidR="00D71405">
        <w:rPr>
          <w:rFonts w:ascii="Times New Roman" w:hAnsi="Times New Roman" w:cs="Times New Roman"/>
          <w:sz w:val="24"/>
          <w:szCs w:val="24"/>
        </w:rPr>
        <w:t>-</w:t>
      </w:r>
      <w:r w:rsidR="00FB1FD7">
        <w:rPr>
          <w:rFonts w:ascii="Times New Roman" w:hAnsi="Times New Roman" w:cs="Times New Roman"/>
          <w:sz w:val="24"/>
          <w:szCs w:val="24"/>
        </w:rPr>
        <w:t>year period</w:t>
      </w:r>
      <w:r w:rsidR="00D71405">
        <w:rPr>
          <w:rFonts w:ascii="Times New Roman" w:hAnsi="Times New Roman" w:cs="Times New Roman"/>
          <w:sz w:val="24"/>
          <w:szCs w:val="24"/>
        </w:rPr>
        <w:t xml:space="preserve"> which indicates that the </w:t>
      </w:r>
      <w:r w:rsidR="00D71405">
        <w:rPr>
          <w:rFonts w:ascii="Times New Roman" w:hAnsi="Times New Roman" w:cs="Times New Roman"/>
          <w:sz w:val="24"/>
          <w:szCs w:val="24"/>
        </w:rPr>
        <w:lastRenderedPageBreak/>
        <w:t>warranty provides repair services in addition to the assurance of proper function</w:t>
      </w:r>
      <w:r w:rsidR="00FB1FD7">
        <w:rPr>
          <w:rFonts w:ascii="Times New Roman" w:hAnsi="Times New Roman" w:cs="Times New Roman"/>
          <w:sz w:val="24"/>
          <w:szCs w:val="24"/>
        </w:rPr>
        <w:t xml:space="preserve"> </w:t>
      </w:r>
      <w:r w:rsidR="00D71405">
        <w:rPr>
          <w:rFonts w:ascii="Times New Roman" w:hAnsi="Times New Roman" w:cs="Times New Roman"/>
          <w:sz w:val="24"/>
          <w:szCs w:val="24"/>
        </w:rPr>
        <w:t>(ASC 606-10-55-33). The warranty should, therefore, be accounted for as a separate performance obligation.</w:t>
      </w:r>
    </w:p>
    <w:p w14:paraId="126AE0A0" w14:textId="36BB5CC8" w:rsidR="00DF6518" w:rsidRDefault="006129EC" w:rsidP="00753192">
      <w:pPr>
        <w:spacing w:after="0" w:line="480" w:lineRule="auto"/>
        <w:rPr>
          <w:rFonts w:ascii="Times New Roman" w:hAnsi="Times New Roman" w:cs="Times New Roman"/>
          <w:sz w:val="24"/>
          <w:szCs w:val="24"/>
        </w:rPr>
      </w:pPr>
      <w:r>
        <w:rPr>
          <w:rFonts w:ascii="Times New Roman" w:hAnsi="Times New Roman" w:cs="Times New Roman"/>
          <w:sz w:val="24"/>
          <w:szCs w:val="24"/>
        </w:rPr>
        <w:tab/>
        <w:t>The principal and agent status for the computer sale performance obligation also holds for the gift card obligation.</w:t>
      </w:r>
      <w:r w:rsidR="006D23B4">
        <w:rPr>
          <w:rFonts w:ascii="Times New Roman" w:hAnsi="Times New Roman" w:cs="Times New Roman"/>
          <w:sz w:val="24"/>
          <w:szCs w:val="24"/>
        </w:rPr>
        <w:t xml:space="preserve"> KTSB does not have an established breakage pattern from the sale of gift cards. It should, therefore, only recognize revenues from the gift cards when exercised by customers and recognize unexercised gift cards as a contract liability. The company needs a time threshold past which the exercise of a gift card is deemed remote. Since consumer regulation require that gift cards have at least a 5-year period before expiration, </w:t>
      </w:r>
      <w:r w:rsidR="00301939">
        <w:rPr>
          <w:rFonts w:ascii="Times New Roman" w:hAnsi="Times New Roman" w:cs="Times New Roman"/>
          <w:sz w:val="24"/>
          <w:szCs w:val="24"/>
        </w:rPr>
        <w:t>the minimum period a company can limit customers from redeeming gift cards and recognizing the breakage amount as revenue is 5 years. Since this period is too long, KTSB should set a period for which the gift card redemption is expected to be remote based on industry standards.</w:t>
      </w:r>
    </w:p>
    <w:p w14:paraId="70896A0E" w14:textId="5572DBE1" w:rsidR="00CD6C1C" w:rsidRPr="00EC7BBE" w:rsidRDefault="00CD6C1C" w:rsidP="00586CDF">
      <w:pPr>
        <w:spacing w:after="0" w:line="480" w:lineRule="auto"/>
        <w:jc w:val="center"/>
        <w:rPr>
          <w:rFonts w:ascii="Times New Roman" w:hAnsi="Times New Roman" w:cs="Times New Roman"/>
          <w:b/>
          <w:bCs/>
          <w:sz w:val="24"/>
          <w:szCs w:val="24"/>
        </w:rPr>
      </w:pPr>
      <w:r w:rsidRPr="00EC7BBE">
        <w:rPr>
          <w:rFonts w:ascii="Times New Roman" w:hAnsi="Times New Roman" w:cs="Times New Roman"/>
          <w:b/>
          <w:bCs/>
          <w:sz w:val="24"/>
          <w:szCs w:val="24"/>
        </w:rPr>
        <w:t>Recommen</w:t>
      </w:r>
      <w:r w:rsidR="00F84F8A">
        <w:rPr>
          <w:rFonts w:ascii="Times New Roman" w:hAnsi="Times New Roman" w:cs="Times New Roman"/>
          <w:b/>
          <w:bCs/>
          <w:sz w:val="24"/>
          <w:szCs w:val="24"/>
        </w:rPr>
        <w:t>dations</w:t>
      </w:r>
    </w:p>
    <w:p w14:paraId="5F4D7631" w14:textId="4FEBD139" w:rsidR="0068443B" w:rsidRDefault="00EC7BBE" w:rsidP="00753192">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556AF7">
        <w:rPr>
          <w:rFonts w:ascii="Times New Roman" w:hAnsi="Times New Roman" w:cs="Times New Roman"/>
          <w:sz w:val="24"/>
          <w:szCs w:val="24"/>
        </w:rPr>
        <w:t xml:space="preserve">KTSB should recognize the gross amount </w:t>
      </w:r>
      <w:r w:rsidR="00CF225E">
        <w:rPr>
          <w:rFonts w:ascii="Times New Roman" w:hAnsi="Times New Roman" w:cs="Times New Roman"/>
          <w:sz w:val="24"/>
          <w:szCs w:val="24"/>
        </w:rPr>
        <w:t xml:space="preserve">it expects to receive from the sale of the computers to customers. </w:t>
      </w:r>
      <w:r w:rsidR="0068443B">
        <w:rPr>
          <w:rFonts w:ascii="Times New Roman" w:hAnsi="Times New Roman" w:cs="Times New Roman"/>
          <w:sz w:val="24"/>
          <w:szCs w:val="24"/>
        </w:rPr>
        <w:t>Revenue should be recognized when legal title is transferred to Ramesses II and KTSB is entitled to receive the agreed upon amount. It is unlikely that Ramesses will make the payment immediately it receives the goods given the n/90 credit terms.</w:t>
      </w:r>
      <w:r w:rsidR="00373F3E">
        <w:rPr>
          <w:rFonts w:ascii="Times New Roman" w:hAnsi="Times New Roman" w:cs="Times New Roman"/>
          <w:sz w:val="24"/>
          <w:szCs w:val="24"/>
        </w:rPr>
        <w:t xml:space="preserve"> Therefore, KTSB should debit its accounts receivable for the gross amount – </w:t>
      </w:r>
      <w:r w:rsidR="00373F3E">
        <w:rPr>
          <w:rFonts w:ascii="Times New Roman" w:hAnsi="Times New Roman" w:cs="Times New Roman"/>
          <w:sz w:val="24"/>
          <w:szCs w:val="24"/>
        </w:rPr>
        <w:t>calculated as the product of model E’s price multiplied by the quantity of model E computers sold to Ramesses II</w:t>
      </w:r>
      <w:r w:rsidR="00373F3E">
        <w:rPr>
          <w:rFonts w:ascii="Times New Roman" w:hAnsi="Times New Roman" w:cs="Times New Roman"/>
          <w:sz w:val="24"/>
          <w:szCs w:val="24"/>
        </w:rPr>
        <w:t xml:space="preserve"> – once Ramesses receives the goods</w:t>
      </w:r>
      <w:r w:rsidR="00373F3E">
        <w:rPr>
          <w:rFonts w:ascii="Times New Roman" w:hAnsi="Times New Roman" w:cs="Times New Roman"/>
          <w:sz w:val="24"/>
          <w:szCs w:val="24"/>
        </w:rPr>
        <w:t>.</w:t>
      </w:r>
      <w:r w:rsidR="00373F3E">
        <w:rPr>
          <w:rFonts w:ascii="Times New Roman" w:hAnsi="Times New Roman" w:cs="Times New Roman"/>
          <w:sz w:val="24"/>
          <w:szCs w:val="24"/>
        </w:rPr>
        <w:t xml:space="preserve"> </w:t>
      </w:r>
      <w:r w:rsidR="0068443B">
        <w:rPr>
          <w:rFonts w:ascii="Times New Roman" w:hAnsi="Times New Roman" w:cs="Times New Roman"/>
          <w:sz w:val="24"/>
          <w:szCs w:val="24"/>
        </w:rPr>
        <w:t>If Ramesses II deducts its agent fees from the total amount paid to KTSB, the consideration received from the former by the latter will be less than the gross amount KTSB should record.</w:t>
      </w:r>
      <w:r w:rsidR="00373F3E">
        <w:rPr>
          <w:rFonts w:ascii="Times New Roman" w:hAnsi="Times New Roman" w:cs="Times New Roman"/>
          <w:sz w:val="24"/>
          <w:szCs w:val="24"/>
        </w:rPr>
        <w:t xml:space="preserve"> Therefore, when Ramesses II settles its account,</w:t>
      </w:r>
      <w:r w:rsidR="0068443B">
        <w:rPr>
          <w:rFonts w:ascii="Times New Roman" w:hAnsi="Times New Roman" w:cs="Times New Roman"/>
          <w:sz w:val="24"/>
          <w:szCs w:val="24"/>
        </w:rPr>
        <w:t xml:space="preserve"> KTSB will make a compound journal entry recognizing both the gross revenue and selling expenses charged by Ramesses II.</w:t>
      </w:r>
    </w:p>
    <w:p w14:paraId="3002B650" w14:textId="603E62F4" w:rsidR="00F84F8A" w:rsidRDefault="00BD7551" w:rsidP="00DF651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KTSB is not in a position to recognize a refund liability at the current stage and should use the sales returns and allowances contra-account to account for refunds as they occur. If a return is made and exchanged for </w:t>
      </w:r>
      <w:r w:rsidR="00F84F8A">
        <w:rPr>
          <w:rFonts w:ascii="Times New Roman" w:hAnsi="Times New Roman" w:cs="Times New Roman"/>
          <w:sz w:val="24"/>
          <w:szCs w:val="24"/>
        </w:rPr>
        <w:t xml:space="preserve">a working computer, the company need not recognize a sales return, it should instead treat the transaction as exercise of the warranty right (ASC 606-10-55-29). In the upcoming period, KTSB should estimate the proportion of refunds based on the current period’s returns and changes in the market environment and recognize a refund liability on the receipt of revenues from Ramesses II. </w:t>
      </w:r>
      <w:r w:rsidR="00DE78CB">
        <w:rPr>
          <w:rFonts w:ascii="Times New Roman" w:hAnsi="Times New Roman" w:cs="Times New Roman"/>
          <w:sz w:val="24"/>
          <w:szCs w:val="24"/>
        </w:rPr>
        <w:t xml:space="preserve">The refund liability is equal to the consideration received for the computers multiplied by the proportion of expected refunds. </w:t>
      </w:r>
    </w:p>
    <w:p w14:paraId="66AC1F9C" w14:textId="38B480C5" w:rsidR="00492F44" w:rsidRDefault="00F84F8A" w:rsidP="00DE78CB">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KTSB should allocate the transaction price to the computer and the warranty using the proportional cost method. The company has a history of 5% warranty claims. The average cost of servicing a machine returned under the warranty </w:t>
      </w:r>
      <w:r w:rsidR="00DE78CB">
        <w:rPr>
          <w:rFonts w:ascii="Times New Roman" w:hAnsi="Times New Roman" w:cs="Times New Roman"/>
          <w:sz w:val="24"/>
          <w:szCs w:val="24"/>
        </w:rPr>
        <w:t xml:space="preserve">cover should be determined and multiplied by the 5% probability that the computer will be returned for warranty fixes. The expected warranty cost will then be summed with the cost of manufacturing the computer model. The transaction price will then be allocated in proportion to the costs. The company will recognize a contract liability and revenue expense corresponding to the calculated amounts. </w:t>
      </w:r>
      <w:r w:rsidR="00354D4E">
        <w:rPr>
          <w:rFonts w:ascii="Times New Roman" w:hAnsi="Times New Roman" w:cs="Times New Roman"/>
          <w:sz w:val="24"/>
          <w:szCs w:val="24"/>
        </w:rPr>
        <w:t>Since KTSB is the principal</w:t>
      </w:r>
      <w:r w:rsidR="00DF6518">
        <w:rPr>
          <w:rFonts w:ascii="Times New Roman" w:hAnsi="Times New Roman" w:cs="Times New Roman"/>
          <w:sz w:val="24"/>
          <w:szCs w:val="24"/>
        </w:rPr>
        <w:t xml:space="preserve"> in the gift cards transaction</w:t>
      </w:r>
      <w:r w:rsidR="00354D4E">
        <w:rPr>
          <w:rFonts w:ascii="Times New Roman" w:hAnsi="Times New Roman" w:cs="Times New Roman"/>
          <w:sz w:val="24"/>
          <w:szCs w:val="24"/>
        </w:rPr>
        <w:t xml:space="preserve">, it should recognize the gross amount from gift card sales as a contract liability and account for the 3% commission </w:t>
      </w:r>
      <w:r>
        <w:rPr>
          <w:rFonts w:ascii="Times New Roman" w:hAnsi="Times New Roman" w:cs="Times New Roman"/>
          <w:sz w:val="24"/>
          <w:szCs w:val="24"/>
        </w:rPr>
        <w:t xml:space="preserve">paid to Ramesses </w:t>
      </w:r>
      <w:r w:rsidR="00354D4E">
        <w:rPr>
          <w:rFonts w:ascii="Times New Roman" w:hAnsi="Times New Roman" w:cs="Times New Roman"/>
          <w:sz w:val="24"/>
          <w:szCs w:val="24"/>
        </w:rPr>
        <w:t xml:space="preserve">as a selling expense. </w:t>
      </w:r>
      <w:r>
        <w:rPr>
          <w:rFonts w:ascii="Times New Roman" w:hAnsi="Times New Roman" w:cs="Times New Roman"/>
          <w:sz w:val="24"/>
          <w:szCs w:val="24"/>
        </w:rPr>
        <w:t xml:space="preserve">The contract liability </w:t>
      </w:r>
      <w:r w:rsidR="00DE78CB">
        <w:rPr>
          <w:rFonts w:ascii="Times New Roman" w:hAnsi="Times New Roman" w:cs="Times New Roman"/>
          <w:sz w:val="24"/>
          <w:szCs w:val="24"/>
        </w:rPr>
        <w:t>will be derecognized and revenue will be recognized on the redemption of the gift cards.</w:t>
      </w:r>
    </w:p>
    <w:p w14:paraId="7FBCCACC" w14:textId="77777777" w:rsidR="00492F44" w:rsidRDefault="00492F44">
      <w:pPr>
        <w:rPr>
          <w:rFonts w:ascii="Times New Roman" w:hAnsi="Times New Roman" w:cs="Times New Roman"/>
          <w:sz w:val="24"/>
          <w:szCs w:val="24"/>
        </w:rPr>
      </w:pPr>
      <w:r>
        <w:rPr>
          <w:rFonts w:ascii="Times New Roman" w:hAnsi="Times New Roman" w:cs="Times New Roman"/>
          <w:sz w:val="24"/>
          <w:szCs w:val="24"/>
        </w:rPr>
        <w:br w:type="page"/>
      </w:r>
    </w:p>
    <w:p w14:paraId="3089FCD0" w14:textId="7F7CF93C" w:rsidR="00354D4E" w:rsidRDefault="00685B27" w:rsidP="00685B27">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7A2EF676" w14:textId="262B0E9E" w:rsidR="00685B27" w:rsidRDefault="00685B27" w:rsidP="00685B27">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FASB (n.d.). </w:t>
      </w:r>
      <w:r w:rsidRPr="00685B27">
        <w:rPr>
          <w:rFonts w:ascii="Times New Roman" w:hAnsi="Times New Roman" w:cs="Times New Roman"/>
          <w:i/>
          <w:iCs/>
          <w:sz w:val="24"/>
          <w:szCs w:val="24"/>
        </w:rPr>
        <w:t>606 – Revenue from contracts with customers</w:t>
      </w:r>
      <w:r>
        <w:rPr>
          <w:rFonts w:ascii="Times New Roman" w:hAnsi="Times New Roman" w:cs="Times New Roman"/>
          <w:sz w:val="24"/>
          <w:szCs w:val="24"/>
        </w:rPr>
        <w:t xml:space="preserve">. Retrieved from: </w:t>
      </w:r>
    </w:p>
    <w:p w14:paraId="78725CAB" w14:textId="17E2FDCA" w:rsidR="00685B27" w:rsidRDefault="00685B27" w:rsidP="00685B27">
      <w:pPr>
        <w:spacing w:after="0" w:line="480" w:lineRule="auto"/>
        <w:ind w:left="450"/>
        <w:rPr>
          <w:rFonts w:ascii="Times New Roman" w:hAnsi="Times New Roman" w:cs="Times New Roman"/>
          <w:sz w:val="24"/>
          <w:szCs w:val="24"/>
        </w:rPr>
      </w:pPr>
      <w:r w:rsidRPr="00685B27">
        <w:rPr>
          <w:rFonts w:ascii="Times New Roman" w:hAnsi="Times New Roman" w:cs="Times New Roman"/>
          <w:sz w:val="24"/>
          <w:szCs w:val="24"/>
        </w:rPr>
        <w:t>https://asc.fasb.org/section&amp;trid=49130398#SL49130621-203046-203046</w:t>
      </w:r>
    </w:p>
    <w:p w14:paraId="12C508A2" w14:textId="7BEE493F" w:rsidR="00685B27" w:rsidRPr="00634B9A" w:rsidRDefault="00685B27" w:rsidP="00685B27">
      <w:pPr>
        <w:spacing w:after="180" w:line="480" w:lineRule="auto"/>
        <w:ind w:left="450" w:hanging="450"/>
        <w:rPr>
          <w:rFonts w:ascii="Times New Roman" w:hAnsi="Times New Roman"/>
          <w:color w:val="000000"/>
          <w:sz w:val="24"/>
          <w:szCs w:val="24"/>
        </w:rPr>
      </w:pPr>
      <w:r>
        <w:rPr>
          <w:rFonts w:ascii="Times New Roman" w:hAnsi="Times New Roman"/>
          <w:color w:val="000000"/>
          <w:sz w:val="24"/>
          <w:szCs w:val="24"/>
        </w:rPr>
        <w:t xml:space="preserve">FASB (2022). </w:t>
      </w:r>
      <w:r w:rsidRPr="00685B27">
        <w:rPr>
          <w:rFonts w:ascii="Times New Roman" w:hAnsi="Times New Roman"/>
          <w:i/>
          <w:iCs/>
          <w:color w:val="000000"/>
          <w:sz w:val="24"/>
          <w:szCs w:val="24"/>
        </w:rPr>
        <w:t>Revenue Recognition.</w:t>
      </w:r>
      <w:r w:rsidRPr="00634B9A">
        <w:rPr>
          <w:rFonts w:ascii="Times New Roman" w:hAnsi="Times New Roman"/>
          <w:color w:val="000000"/>
          <w:sz w:val="24"/>
          <w:szCs w:val="24"/>
        </w:rPr>
        <w:t xml:space="preserve"> Retrieved 27 March 2022, from https://fasb.org/page/PageContent?pageId=/standards/implementing/revrec.html&amp;bcpath=tff#section-3</w:t>
      </w:r>
    </w:p>
    <w:p w14:paraId="652D37DD" w14:textId="77777777" w:rsidR="00685B27" w:rsidRDefault="00685B27" w:rsidP="00685B27">
      <w:pPr>
        <w:spacing w:after="0" w:line="480" w:lineRule="auto"/>
        <w:rPr>
          <w:rFonts w:ascii="Times New Roman" w:hAnsi="Times New Roman" w:cs="Times New Roman"/>
          <w:sz w:val="24"/>
          <w:szCs w:val="24"/>
        </w:rPr>
      </w:pPr>
    </w:p>
    <w:p w14:paraId="24C64E07" w14:textId="77777777" w:rsidR="00354D4E" w:rsidRDefault="00354D4E" w:rsidP="00753192">
      <w:pPr>
        <w:spacing w:after="0" w:line="480" w:lineRule="auto"/>
        <w:rPr>
          <w:rFonts w:ascii="Times New Roman" w:hAnsi="Times New Roman" w:cs="Times New Roman"/>
          <w:sz w:val="24"/>
          <w:szCs w:val="24"/>
        </w:rPr>
      </w:pPr>
    </w:p>
    <w:p w14:paraId="42D014E9" w14:textId="4E29A697" w:rsidR="00777A76" w:rsidRPr="00417222" w:rsidRDefault="00777A76" w:rsidP="00753192">
      <w:pPr>
        <w:spacing w:after="0" w:line="480" w:lineRule="auto"/>
        <w:rPr>
          <w:rFonts w:ascii="Times New Roman" w:hAnsi="Times New Roman" w:cs="Times New Roman"/>
          <w:sz w:val="24"/>
          <w:szCs w:val="24"/>
        </w:rPr>
      </w:pPr>
    </w:p>
    <w:sectPr w:rsidR="00777A76" w:rsidRPr="0041722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D39C9" w14:textId="77777777" w:rsidR="002F5081" w:rsidRDefault="002F5081" w:rsidP="00586CDF">
      <w:pPr>
        <w:spacing w:after="0" w:line="240" w:lineRule="auto"/>
      </w:pPr>
      <w:r>
        <w:separator/>
      </w:r>
    </w:p>
  </w:endnote>
  <w:endnote w:type="continuationSeparator" w:id="0">
    <w:p w14:paraId="362386B7" w14:textId="77777777" w:rsidR="002F5081" w:rsidRDefault="002F5081" w:rsidP="00586C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127F8" w14:textId="77777777" w:rsidR="002F5081" w:rsidRDefault="002F5081" w:rsidP="00586CDF">
      <w:pPr>
        <w:spacing w:after="0" w:line="240" w:lineRule="auto"/>
      </w:pPr>
      <w:r>
        <w:separator/>
      </w:r>
    </w:p>
  </w:footnote>
  <w:footnote w:type="continuationSeparator" w:id="0">
    <w:p w14:paraId="7F0E058E" w14:textId="77777777" w:rsidR="002F5081" w:rsidRDefault="002F5081" w:rsidP="00586C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3763137"/>
      <w:docPartObj>
        <w:docPartGallery w:val="Page Numbers (Top of Page)"/>
        <w:docPartUnique/>
      </w:docPartObj>
    </w:sdtPr>
    <w:sdtEndPr>
      <w:rPr>
        <w:noProof/>
      </w:rPr>
    </w:sdtEndPr>
    <w:sdtContent>
      <w:p w14:paraId="3BDEFD2D" w14:textId="4AE1B499" w:rsidR="00586CDF" w:rsidRDefault="00586CD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87FE03D" w14:textId="77777777" w:rsidR="00586CDF" w:rsidRDefault="00586C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12533"/>
    <w:multiLevelType w:val="hybridMultilevel"/>
    <w:tmpl w:val="95D0C01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56391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C1C"/>
    <w:rsid w:val="000A16DF"/>
    <w:rsid w:val="000A22B4"/>
    <w:rsid w:val="00101365"/>
    <w:rsid w:val="0012342A"/>
    <w:rsid w:val="001661A6"/>
    <w:rsid w:val="001A407E"/>
    <w:rsid w:val="001D4CF3"/>
    <w:rsid w:val="00222A5F"/>
    <w:rsid w:val="002E213D"/>
    <w:rsid w:val="002F5081"/>
    <w:rsid w:val="00301939"/>
    <w:rsid w:val="00354D4E"/>
    <w:rsid w:val="0036044A"/>
    <w:rsid w:val="00373F3E"/>
    <w:rsid w:val="00417222"/>
    <w:rsid w:val="00446680"/>
    <w:rsid w:val="0046792C"/>
    <w:rsid w:val="00492F44"/>
    <w:rsid w:val="004C0E29"/>
    <w:rsid w:val="005370C3"/>
    <w:rsid w:val="00556AF7"/>
    <w:rsid w:val="00586CDF"/>
    <w:rsid w:val="00600DC0"/>
    <w:rsid w:val="006129EC"/>
    <w:rsid w:val="00612FB2"/>
    <w:rsid w:val="00652D00"/>
    <w:rsid w:val="0068443B"/>
    <w:rsid w:val="00685B27"/>
    <w:rsid w:val="006D23B4"/>
    <w:rsid w:val="006E792B"/>
    <w:rsid w:val="00705DD9"/>
    <w:rsid w:val="00743A77"/>
    <w:rsid w:val="00753192"/>
    <w:rsid w:val="00777A76"/>
    <w:rsid w:val="007D34D8"/>
    <w:rsid w:val="0081093B"/>
    <w:rsid w:val="00811B5A"/>
    <w:rsid w:val="00837E07"/>
    <w:rsid w:val="008A0329"/>
    <w:rsid w:val="008A43F5"/>
    <w:rsid w:val="008A4C83"/>
    <w:rsid w:val="008F1A1A"/>
    <w:rsid w:val="008F3336"/>
    <w:rsid w:val="00965FD3"/>
    <w:rsid w:val="009C3EEC"/>
    <w:rsid w:val="00A34D1B"/>
    <w:rsid w:val="00A75236"/>
    <w:rsid w:val="00AD5F3A"/>
    <w:rsid w:val="00AF745C"/>
    <w:rsid w:val="00B0028D"/>
    <w:rsid w:val="00B40819"/>
    <w:rsid w:val="00BC2728"/>
    <w:rsid w:val="00BD7551"/>
    <w:rsid w:val="00CD6C1C"/>
    <w:rsid w:val="00CF225E"/>
    <w:rsid w:val="00CF43F5"/>
    <w:rsid w:val="00D353CA"/>
    <w:rsid w:val="00D45B52"/>
    <w:rsid w:val="00D57752"/>
    <w:rsid w:val="00D71405"/>
    <w:rsid w:val="00D97C03"/>
    <w:rsid w:val="00DC74C8"/>
    <w:rsid w:val="00DE0D1C"/>
    <w:rsid w:val="00DE78CB"/>
    <w:rsid w:val="00DF6518"/>
    <w:rsid w:val="00E21A81"/>
    <w:rsid w:val="00E46BD1"/>
    <w:rsid w:val="00EC7BBE"/>
    <w:rsid w:val="00EE250B"/>
    <w:rsid w:val="00F84F8A"/>
    <w:rsid w:val="00FB1FD7"/>
    <w:rsid w:val="00FE02CF"/>
    <w:rsid w:val="00FE6B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F84B0"/>
  <w15:chartTrackingRefBased/>
  <w15:docId w15:val="{66771E73-28B7-43A7-8959-ECD2F5EB5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43F5"/>
    <w:pPr>
      <w:ind w:left="720"/>
      <w:contextualSpacing/>
    </w:pPr>
  </w:style>
  <w:style w:type="paragraph" w:styleId="Header">
    <w:name w:val="header"/>
    <w:basedOn w:val="Normal"/>
    <w:link w:val="HeaderChar"/>
    <w:uiPriority w:val="99"/>
    <w:unhideWhenUsed/>
    <w:rsid w:val="00586C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CDF"/>
  </w:style>
  <w:style w:type="paragraph" w:styleId="Footer">
    <w:name w:val="footer"/>
    <w:basedOn w:val="Normal"/>
    <w:link w:val="FooterChar"/>
    <w:uiPriority w:val="99"/>
    <w:unhideWhenUsed/>
    <w:rsid w:val="00586C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C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TotalTime>
  <Pages>8</Pages>
  <Words>1991</Words>
  <Characters>11350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38</cp:revision>
  <dcterms:created xsi:type="dcterms:W3CDTF">2022-04-06T21:09:00Z</dcterms:created>
  <dcterms:modified xsi:type="dcterms:W3CDTF">2022-04-08T07:26:00Z</dcterms:modified>
</cp:coreProperties>
</file>