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236FE1">
      <w:pPr>
        <w:contextualSpacing/>
      </w:pPr>
    </w:p>
    <w:p w:rsidR="00236FE1">
      <w:pPr>
        <w:contextualSpacing/>
      </w:pPr>
    </w:p>
    <w:p w:rsidR="00236FE1">
      <w:pPr>
        <w:contextualSpacing/>
      </w:pPr>
    </w:p>
    <w:p w:rsidR="00236FE1">
      <w:pPr>
        <w:contextualSpacing/>
      </w:pPr>
    </w:p>
    <w:p w:rsidR="00236FE1" w:rsidP="00236FE1">
      <w:pPr>
        <w:contextualSpacing/>
        <w:jc w:val="center"/>
        <w:rPr>
          <w:b/>
        </w:rPr>
      </w:pPr>
      <w:r w:rsidRPr="00236FE1">
        <w:rPr>
          <w:b/>
        </w:rPr>
        <w:t>Myocardial Infarction</w:t>
      </w:r>
      <w:r>
        <w:rPr>
          <w:b/>
        </w:rPr>
        <w:t xml:space="preserve"> Discussion</w:t>
      </w:r>
    </w:p>
    <w:p w:rsidR="00236FE1" w:rsidP="00236FE1">
      <w:pPr>
        <w:contextualSpacing/>
        <w:jc w:val="center"/>
        <w:rPr>
          <w:b/>
        </w:rPr>
      </w:pPr>
    </w:p>
    <w:p w:rsidR="00236FE1" w:rsidP="00236FE1">
      <w:pPr>
        <w:contextualSpacing/>
        <w:jc w:val="center"/>
      </w:pPr>
      <w:r>
        <w:t>Name</w:t>
      </w:r>
    </w:p>
    <w:p w:rsidR="00236FE1" w:rsidP="00236FE1">
      <w:pPr>
        <w:contextualSpacing/>
        <w:jc w:val="center"/>
      </w:pPr>
      <w:r>
        <w:t>Institution of Affiliation</w:t>
      </w:r>
    </w:p>
    <w:p w:rsidR="00236FE1" w:rsidP="00236FE1">
      <w:pPr>
        <w:contextualSpacing/>
        <w:jc w:val="center"/>
      </w:pPr>
      <w:r>
        <w:t>Date</w:t>
      </w:r>
    </w:p>
    <w:p w:rsidR="00236FE1" w:rsidP="00236FE1">
      <w:pPr>
        <w:contextualSpacing/>
        <w:jc w:val="center"/>
      </w:pPr>
    </w:p>
    <w:p w:rsidR="00236FE1" w:rsidP="00236FE1">
      <w:pPr>
        <w:contextualSpacing/>
        <w:jc w:val="center"/>
      </w:pPr>
    </w:p>
    <w:p w:rsidR="00236FE1" w:rsidP="00236FE1">
      <w:pPr>
        <w:contextualSpacing/>
        <w:jc w:val="center"/>
      </w:pPr>
    </w:p>
    <w:p w:rsidR="00236FE1" w:rsidP="00236FE1">
      <w:pPr>
        <w:contextualSpacing/>
        <w:jc w:val="center"/>
      </w:pPr>
    </w:p>
    <w:p w:rsidR="00236FE1" w:rsidP="00236FE1">
      <w:pPr>
        <w:contextualSpacing/>
        <w:jc w:val="center"/>
      </w:pPr>
    </w:p>
    <w:p w:rsidR="00236FE1" w:rsidP="00236FE1">
      <w:pPr>
        <w:contextualSpacing/>
        <w:jc w:val="center"/>
      </w:pPr>
    </w:p>
    <w:p w:rsidR="00236FE1" w:rsidP="00236FE1">
      <w:pPr>
        <w:contextualSpacing/>
        <w:jc w:val="center"/>
      </w:pPr>
    </w:p>
    <w:p w:rsidR="00236FE1" w:rsidP="00236FE1">
      <w:pPr>
        <w:contextualSpacing/>
        <w:jc w:val="center"/>
      </w:pPr>
    </w:p>
    <w:p w:rsidR="00236FE1" w:rsidP="00236FE1">
      <w:pPr>
        <w:contextualSpacing/>
        <w:jc w:val="center"/>
      </w:pPr>
    </w:p>
    <w:p w:rsidR="00236FE1" w:rsidP="00236FE1">
      <w:pPr>
        <w:contextualSpacing/>
        <w:jc w:val="center"/>
      </w:pPr>
    </w:p>
    <w:p w:rsidR="00236FE1" w:rsidP="00236FE1">
      <w:pPr>
        <w:contextualSpacing/>
        <w:jc w:val="center"/>
      </w:pPr>
    </w:p>
    <w:p w:rsidR="00236FE1" w:rsidP="00236FE1">
      <w:pPr>
        <w:contextualSpacing/>
        <w:jc w:val="center"/>
      </w:pPr>
    </w:p>
    <w:p w:rsidR="00236FE1" w:rsidP="00236FE1">
      <w:pPr>
        <w:contextualSpacing/>
        <w:jc w:val="center"/>
      </w:pPr>
    </w:p>
    <w:p w:rsidR="00236FE1" w:rsidP="00236FE1">
      <w:pPr>
        <w:contextualSpacing/>
        <w:jc w:val="center"/>
      </w:pPr>
    </w:p>
    <w:p w:rsidR="00236FE1" w:rsidRPr="00236FE1" w:rsidP="00236FE1">
      <w:pPr>
        <w:contextualSpacing/>
        <w:jc w:val="center"/>
      </w:pPr>
    </w:p>
    <w:p w:rsidR="00702511">
      <w:pPr>
        <w:contextualSpacing/>
      </w:pPr>
      <w:r>
        <w:t xml:space="preserve">The development of heart failure after hospitalization due to MI is a result of scar formation and </w:t>
      </w:r>
      <w:r>
        <w:t>cardiomyocyte</w:t>
      </w:r>
      <w:r>
        <w:t xml:space="preserve"> death. As a result, activation of chronic </w:t>
      </w:r>
      <w:r>
        <w:t>neurohumoral</w:t>
      </w:r>
      <w:r>
        <w:t xml:space="preserve"> is activated and ventricular remodeling is done. Left ventricular (LV) is more prevalent in men and individuals with large size of infarct as well as those with unsuccessful or late </w:t>
      </w:r>
      <w:r>
        <w:t>epicardial</w:t>
      </w:r>
      <w:r>
        <w:t xml:space="preserve"> reperfusion or </w:t>
      </w:r>
      <w:r>
        <w:t>microvascular</w:t>
      </w:r>
      <w:r>
        <w:t xml:space="preserve"> bed</w:t>
      </w:r>
      <w:r w:rsidR="00236FE1">
        <w:t xml:space="preserve"> </w:t>
      </w:r>
      <w:r w:rsidRPr="00236FE1" w:rsidR="00236FE1">
        <w:t xml:space="preserve">(Cahill &amp; </w:t>
      </w:r>
      <w:r w:rsidRPr="00236FE1" w:rsidR="00236FE1">
        <w:t>Kharbanda</w:t>
      </w:r>
      <w:r w:rsidRPr="00236FE1" w:rsidR="00236FE1">
        <w:t>, 2017)</w:t>
      </w:r>
      <w:r>
        <w:t xml:space="preserve">. </w:t>
      </w:r>
      <w:r>
        <w:t>Mr.</w:t>
      </w:r>
      <w:r>
        <w:t xml:space="preserve"> T is overweight, which is one of the major predisposing </w:t>
      </w:r>
      <w:r w:rsidR="00E35198">
        <w:t>factors</w:t>
      </w:r>
      <w:r>
        <w:t>.</w:t>
      </w:r>
      <w:r w:rsidR="00E35198">
        <w:t xml:space="preserve"> Ventricular remodeling causes the ventricular geometry to change leading to more </w:t>
      </w:r>
      <w:r w:rsidR="00E35198">
        <w:t>cardiomyocyte</w:t>
      </w:r>
      <w:r w:rsidR="00E35198">
        <w:t xml:space="preserve"> loss, ischaemic mitral regurgitation, and wall thinning. </w:t>
      </w:r>
    </w:p>
    <w:p w:rsidR="00E35198">
      <w:pPr>
        <w:contextualSpacing/>
      </w:pPr>
      <w:r>
        <w:t xml:space="preserve">The severity of LV is caused by various factors which include but are not limited to hibernating myocardium, mechanical complications, stunned myocardium, ventricular remodeling, large infarct size, and recurrent myocardial ischemia. Severe LV can be described as a condition that causes disturbance to the process of relaxation of the heart </w:t>
      </w:r>
      <w:r w:rsidR="00E65EAA">
        <w:t xml:space="preserve">due to increased stiffness of the left </w:t>
      </w:r>
      <w:r w:rsidR="00CA2ABC">
        <w:t>ventricle</w:t>
      </w:r>
      <w:r w:rsidR="00E65EAA">
        <w:t>.</w:t>
      </w:r>
    </w:p>
    <w:p w:rsidR="00E65EAA">
      <w:pPr>
        <w:contextualSpacing/>
      </w:pPr>
      <w:r>
        <w:t xml:space="preserve">Deep Vein Thrombosis (DVT) can be described as </w:t>
      </w:r>
      <w:r w:rsidR="00F20A3F">
        <w:t>a medical condition caused by the occurrence of a blood clot in a deep vein. Although blood clots can be formed in the arm, the condition is more prevalent in the pelvis, thigh, or lower leg.</w:t>
      </w:r>
      <w:r w:rsidR="00F20A2E">
        <w:t xml:space="preserve"> The condition is treatable if diagnosed early. Serious complications of DVT can occur when part of the blood clot moves in the bloodstream to the lungs</w:t>
      </w:r>
      <w:r w:rsidR="00CA2ABC">
        <w:t xml:space="preserve"> </w:t>
      </w:r>
      <w:r w:rsidRPr="00CA2ABC" w:rsidR="00CA2ABC">
        <w:t>(Stone et al., 2017)</w:t>
      </w:r>
      <w:r w:rsidR="00F20A2E">
        <w:t xml:space="preserve">. Consequently, pulmonary embolism (PE) is caused due to blockage. The condition can be fatal if the part of the clot is large since it can cause a lack of blood supply to the lungs. Various risk factors of DVT development include vein injuries, slow flow of blood, increased </w:t>
      </w:r>
      <w:r w:rsidR="00CA2ABC">
        <w:t>estrogen</w:t>
      </w:r>
      <w:r w:rsidR="00F20A2E">
        <w:t>, and various medical complications such as inflammatory bowel disease, cancer, lung disease, and heart disease.</w:t>
      </w:r>
    </w:p>
    <w:p w:rsidR="00236FE1">
      <w:pPr>
        <w:contextualSpacing/>
      </w:pPr>
    </w:p>
    <w:p w:rsidR="00236FE1">
      <w:pPr>
        <w:contextualSpacing/>
      </w:pPr>
    </w:p>
    <w:p w:rsidR="00236FE1">
      <w:pPr>
        <w:contextualSpacing/>
      </w:pPr>
    </w:p>
    <w:p w:rsidR="00236FE1" w:rsidRPr="00236FE1" w:rsidP="00236FE1">
      <w:pPr>
        <w:contextualSpacing/>
        <w:jc w:val="center"/>
      </w:pPr>
      <w:r w:rsidRPr="00236FE1">
        <w:rPr>
          <w:b/>
        </w:rPr>
        <w:t>Re</w:t>
      </w:r>
      <w:bookmarkStart w:id="0" w:name="_GoBack"/>
      <w:bookmarkEnd w:id="0"/>
      <w:r w:rsidRPr="00236FE1">
        <w:rPr>
          <w:b/>
        </w:rPr>
        <w:t>ferences</w:t>
      </w:r>
    </w:p>
    <w:p w:rsidR="00236FE1" w:rsidRPr="00236FE1" w:rsidP="00236FE1">
      <w:pPr>
        <w:ind w:left="720" w:hanging="720"/>
        <w:contextualSpacing/>
      </w:pPr>
      <w:r w:rsidRPr="00236FE1">
        <w:t xml:space="preserve">Cahill, T., &amp; </w:t>
      </w:r>
      <w:r w:rsidRPr="00236FE1">
        <w:t>Kharbanda</w:t>
      </w:r>
      <w:r w:rsidRPr="00236FE1">
        <w:t>, R. (2017).</w:t>
      </w:r>
      <w:r w:rsidRPr="00236FE1">
        <w:t xml:space="preserve"> Heart failure after myocardial infarction in the era of primary percutaneous coronary intervention: Mechanisms, incidence and identification of patients at risk. </w:t>
      </w:r>
      <w:r w:rsidRPr="00236FE1">
        <w:rPr>
          <w:i/>
          <w:iCs/>
        </w:rPr>
        <w:t xml:space="preserve">World Journal </w:t>
      </w:r>
      <w:r w:rsidRPr="00236FE1">
        <w:rPr>
          <w:i/>
          <w:iCs/>
        </w:rPr>
        <w:t>Of</w:t>
      </w:r>
      <w:r w:rsidRPr="00236FE1">
        <w:rPr>
          <w:i/>
          <w:iCs/>
        </w:rPr>
        <w:t xml:space="preserve"> Cardiology</w:t>
      </w:r>
      <w:r w:rsidRPr="00236FE1">
        <w:t>, </w:t>
      </w:r>
      <w:r w:rsidRPr="00236FE1">
        <w:rPr>
          <w:i/>
          <w:iCs/>
        </w:rPr>
        <w:t>9</w:t>
      </w:r>
      <w:r w:rsidRPr="00236FE1">
        <w:t>(5), 407. https://doi.org/10.4330/wjc.v9.i5.407</w:t>
      </w:r>
    </w:p>
    <w:p w:rsidR="00236FE1" w:rsidRPr="00236FE1" w:rsidP="00236FE1">
      <w:pPr>
        <w:ind w:left="720" w:hanging="720"/>
        <w:contextualSpacing/>
      </w:pPr>
      <w:r w:rsidRPr="00236FE1">
        <w:t xml:space="preserve">Stone, J., </w:t>
      </w:r>
      <w:r w:rsidRPr="00236FE1">
        <w:t>Hangge</w:t>
      </w:r>
      <w:r w:rsidRPr="00236FE1">
        <w:t xml:space="preserve">, P., </w:t>
      </w:r>
      <w:r w:rsidRPr="00236FE1">
        <w:t>Albadawi</w:t>
      </w:r>
      <w:r w:rsidRPr="00236FE1">
        <w:t xml:space="preserve">, H., Wallace, A., </w:t>
      </w:r>
      <w:r w:rsidRPr="00236FE1">
        <w:t>Shamoun</w:t>
      </w:r>
      <w:r w:rsidRPr="00236FE1">
        <w:t xml:space="preserve">, F., &amp; </w:t>
      </w:r>
      <w:r w:rsidRPr="00236FE1">
        <w:t>Knuttien</w:t>
      </w:r>
      <w:r w:rsidRPr="00236FE1">
        <w:t>, M. et al. (2017).</w:t>
      </w:r>
      <w:r w:rsidRPr="00236FE1">
        <w:t xml:space="preserve"> Deep vein thrombosis: pathogenesis, diagnosis, and medical management. </w:t>
      </w:r>
      <w:r w:rsidRPr="00236FE1">
        <w:rPr>
          <w:i/>
          <w:iCs/>
        </w:rPr>
        <w:t xml:space="preserve">Cardiovascular Diagnosis </w:t>
      </w:r>
      <w:r w:rsidRPr="00236FE1">
        <w:rPr>
          <w:i/>
          <w:iCs/>
        </w:rPr>
        <w:t>And</w:t>
      </w:r>
      <w:r w:rsidRPr="00236FE1">
        <w:rPr>
          <w:i/>
          <w:iCs/>
        </w:rPr>
        <w:t xml:space="preserve"> Therapy</w:t>
      </w:r>
      <w:r w:rsidRPr="00236FE1">
        <w:t>, </w:t>
      </w:r>
      <w:r w:rsidRPr="00236FE1">
        <w:rPr>
          <w:i/>
          <w:iCs/>
        </w:rPr>
        <w:t>7</w:t>
      </w:r>
      <w:r w:rsidRPr="00236FE1">
        <w:t>(S3), S276-S284. https://doi.org/10.21037/cdt.2017.09.01</w:t>
      </w:r>
    </w:p>
    <w:p w:rsidR="00236FE1">
      <w:pPr>
        <w:contextualSpacing/>
      </w:pPr>
    </w:p>
    <w:sectPr>
      <w:headerReference w:type="default" r:id="rId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886026"/>
      <w:docPartObj>
        <w:docPartGallery w:val="Page Numbers (Top of Page)"/>
        <w:docPartUnique/>
      </w:docPartObj>
    </w:sdtPr>
    <w:sdtEndPr>
      <w:rPr>
        <w:noProof/>
      </w:rPr>
    </w:sdtEndPr>
    <w:sdtContent>
      <w:p w:rsidR="00236FE1">
        <w:pPr>
          <w:pStyle w:val="Header"/>
          <w:jc w:val="right"/>
        </w:pPr>
        <w:r>
          <w:fldChar w:fldCharType="begin"/>
        </w:r>
        <w:r>
          <w:instrText xml:space="preserve"> PAGE   \* MERGEFORMAT </w:instrText>
        </w:r>
        <w:r>
          <w:fldChar w:fldCharType="separate"/>
        </w:r>
        <w:r>
          <w:rPr>
            <w:noProof/>
          </w:rPr>
          <w:t>3</w:t>
        </w:r>
        <w:r>
          <w:rPr>
            <w:noProof/>
          </w:rPr>
          <w:fldChar w:fldCharType="end"/>
        </w:r>
      </w:p>
    </w:sdtContent>
  </w:sdt>
  <w:p w:rsidR="00236F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1A3"/>
    <w:rsid w:val="000631A3"/>
    <w:rsid w:val="00157C6A"/>
    <w:rsid w:val="00236FE1"/>
    <w:rsid w:val="00367401"/>
    <w:rsid w:val="004C5A22"/>
    <w:rsid w:val="004D51E0"/>
    <w:rsid w:val="006B0570"/>
    <w:rsid w:val="00702511"/>
    <w:rsid w:val="00CA2ABC"/>
    <w:rsid w:val="00E35198"/>
    <w:rsid w:val="00E65EAA"/>
    <w:rsid w:val="00F20A2E"/>
    <w:rsid w:val="00F20A3F"/>
  </w:rsids>
  <m:mathPr>
    <m:mathFont m:val="Cambria Math"/>
  </m:mathPr>
  <w:themeFontLang w:val="en-GB"/>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HAnsi" w:cs="Times New Roman"/>
        <w:sz w:val="24"/>
        <w:szCs w:val="24"/>
        <w:lang w:val="en-GB" w:eastAsia="en-US" w:bidi="ar-SA"/>
      </w:rPr>
    </w:rPrDefault>
    <w:pPrDefault>
      <w:pPr>
        <w:spacing w:after="200"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6F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6FE1"/>
  </w:style>
  <w:style w:type="paragraph" w:styleId="Footer">
    <w:name w:val="footer"/>
    <w:basedOn w:val="Normal"/>
    <w:link w:val="FooterChar"/>
    <w:uiPriority w:val="99"/>
    <w:unhideWhenUsed/>
    <w:rsid w:val="00236F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6F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Pages>
  <Words>370</Words>
  <Characters>2113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comp5</dc:creator>
  <cp:lastModifiedBy>comp5</cp:lastModifiedBy>
  <cp:revision>6</cp:revision>
  <dcterms:created xsi:type="dcterms:W3CDTF">2022-03-09T11:30:00Z</dcterms:created>
  <dcterms:modified xsi:type="dcterms:W3CDTF">2022-03-09T11:56:00Z</dcterms:modified>
</cp:coreProperties>
</file>