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C7055" w:rsidRDefault="001C7055" w:rsidP="001C7055">
      <w:pPr>
        <w:pStyle w:val="NormalWeb"/>
        <w:spacing w:before="0" w:beforeAutospacing="0" w:after="0" w:afterAutospacing="0" w:line="480" w:lineRule="auto"/>
        <w:ind w:firstLine="720"/>
        <w:jc w:val="center"/>
        <w:rPr>
          <w:rStyle w:val="Emphasis"/>
          <w:i w:val="0"/>
          <w:color w:val="0E101A"/>
        </w:rPr>
      </w:pPr>
    </w:p>
    <w:p w:rsidR="001C7055" w:rsidRDefault="001C7055" w:rsidP="001C7055">
      <w:pPr>
        <w:pStyle w:val="NormalWeb"/>
        <w:spacing w:before="0" w:beforeAutospacing="0" w:after="0" w:afterAutospacing="0" w:line="480" w:lineRule="auto"/>
        <w:ind w:firstLine="720"/>
        <w:jc w:val="center"/>
        <w:rPr>
          <w:rStyle w:val="Emphasis"/>
          <w:i w:val="0"/>
          <w:color w:val="0E101A"/>
        </w:rPr>
      </w:pPr>
    </w:p>
    <w:p w:rsidR="001C7055" w:rsidRDefault="001C7055" w:rsidP="001C7055">
      <w:pPr>
        <w:pStyle w:val="NormalWeb"/>
        <w:spacing w:before="0" w:beforeAutospacing="0" w:after="0" w:afterAutospacing="0" w:line="480" w:lineRule="auto"/>
        <w:ind w:firstLine="720"/>
        <w:jc w:val="center"/>
        <w:rPr>
          <w:rStyle w:val="Emphasis"/>
          <w:i w:val="0"/>
          <w:color w:val="0E101A"/>
        </w:rPr>
      </w:pPr>
    </w:p>
    <w:p w:rsidR="001C7055" w:rsidRDefault="001C7055" w:rsidP="001C7055">
      <w:pPr>
        <w:pStyle w:val="NormalWeb"/>
        <w:spacing w:before="0" w:beforeAutospacing="0" w:after="0" w:afterAutospacing="0" w:line="480" w:lineRule="auto"/>
        <w:ind w:firstLine="720"/>
        <w:jc w:val="center"/>
        <w:rPr>
          <w:rStyle w:val="Emphasis"/>
          <w:i w:val="0"/>
          <w:color w:val="0E101A"/>
        </w:rPr>
      </w:pPr>
    </w:p>
    <w:p w:rsidR="001C7055" w:rsidRDefault="001C7055" w:rsidP="001C7055">
      <w:pPr>
        <w:pStyle w:val="NormalWeb"/>
        <w:spacing w:before="0" w:beforeAutospacing="0" w:after="0" w:afterAutospacing="0" w:line="480" w:lineRule="auto"/>
        <w:ind w:firstLine="720"/>
        <w:jc w:val="center"/>
        <w:rPr>
          <w:rStyle w:val="Emphasis"/>
          <w:i w:val="0"/>
          <w:color w:val="0E101A"/>
        </w:rPr>
      </w:pPr>
    </w:p>
    <w:p w:rsidR="001C7055" w:rsidRDefault="001C7055" w:rsidP="001C7055">
      <w:pPr>
        <w:pStyle w:val="NormalWeb"/>
        <w:spacing w:before="0" w:beforeAutospacing="0" w:after="0" w:afterAutospacing="0" w:line="480" w:lineRule="auto"/>
        <w:ind w:firstLine="720"/>
        <w:jc w:val="center"/>
        <w:rPr>
          <w:rStyle w:val="Emphasis"/>
          <w:i w:val="0"/>
          <w:color w:val="0E101A"/>
        </w:rPr>
      </w:pPr>
    </w:p>
    <w:p w:rsidR="001C7055" w:rsidRDefault="001C7055" w:rsidP="001C7055">
      <w:pPr>
        <w:pStyle w:val="NormalWeb"/>
        <w:spacing w:before="0" w:beforeAutospacing="0" w:after="0" w:afterAutospacing="0" w:line="480" w:lineRule="auto"/>
        <w:ind w:firstLine="720"/>
        <w:jc w:val="center"/>
        <w:rPr>
          <w:rStyle w:val="Emphasis"/>
          <w:b/>
          <w:i w:val="0"/>
          <w:color w:val="0E101A"/>
        </w:rPr>
      </w:pPr>
      <w:r w:rsidRPr="001C7055">
        <w:rPr>
          <w:rStyle w:val="Emphasis"/>
          <w:b/>
          <w:i w:val="0"/>
          <w:color w:val="0E101A"/>
        </w:rPr>
        <w:t>The Steep Costs of Criminal Justice Fees and Fines</w:t>
      </w:r>
    </w:p>
    <w:p w:rsidR="001C7055" w:rsidRDefault="001C7055" w:rsidP="001C7055">
      <w:pPr>
        <w:pStyle w:val="NormalWeb"/>
        <w:spacing w:before="0" w:beforeAutospacing="0" w:after="0" w:afterAutospacing="0" w:line="480" w:lineRule="auto"/>
        <w:ind w:firstLine="720"/>
        <w:jc w:val="center"/>
        <w:rPr>
          <w:rStyle w:val="Emphasis"/>
          <w:b/>
          <w:i w:val="0"/>
          <w:color w:val="0E101A"/>
        </w:rPr>
      </w:pPr>
    </w:p>
    <w:p w:rsidR="001C7055" w:rsidRDefault="001C7055" w:rsidP="001C7055">
      <w:pPr>
        <w:pStyle w:val="NormalWeb"/>
        <w:spacing w:before="0" w:beforeAutospacing="0" w:after="0" w:afterAutospacing="0" w:line="480" w:lineRule="auto"/>
        <w:ind w:firstLine="720"/>
        <w:jc w:val="center"/>
        <w:rPr>
          <w:rStyle w:val="Emphasis"/>
          <w:b/>
          <w:i w:val="0"/>
          <w:color w:val="0E101A"/>
        </w:rPr>
      </w:pPr>
    </w:p>
    <w:p w:rsidR="001C7055" w:rsidRPr="001C7055" w:rsidRDefault="001C7055" w:rsidP="001C7055">
      <w:pPr>
        <w:pStyle w:val="NormalWeb"/>
        <w:spacing w:before="0" w:beforeAutospacing="0" w:after="0" w:afterAutospacing="0" w:line="480" w:lineRule="auto"/>
        <w:ind w:firstLine="720"/>
        <w:jc w:val="center"/>
        <w:rPr>
          <w:rStyle w:val="Emphasis"/>
          <w:b/>
          <w:i w:val="0"/>
          <w:color w:val="0E101A"/>
        </w:rPr>
      </w:pPr>
    </w:p>
    <w:p w:rsidR="001C7055" w:rsidRDefault="001C7055" w:rsidP="001C7055">
      <w:pPr>
        <w:pStyle w:val="NormalWeb"/>
        <w:spacing w:before="0" w:beforeAutospacing="0" w:after="0" w:afterAutospacing="0" w:line="480" w:lineRule="auto"/>
        <w:ind w:firstLine="720"/>
        <w:jc w:val="center"/>
        <w:rPr>
          <w:rStyle w:val="Emphasis"/>
          <w:i w:val="0"/>
          <w:color w:val="0E101A"/>
        </w:rPr>
      </w:pPr>
      <w:r>
        <w:rPr>
          <w:rStyle w:val="Emphasis"/>
          <w:i w:val="0"/>
          <w:color w:val="0E101A"/>
        </w:rPr>
        <w:t>Student’s Name</w:t>
      </w:r>
    </w:p>
    <w:p w:rsidR="001C7055" w:rsidRDefault="001C7055" w:rsidP="001C7055">
      <w:pPr>
        <w:pStyle w:val="NormalWeb"/>
        <w:spacing w:before="0" w:beforeAutospacing="0" w:after="0" w:afterAutospacing="0" w:line="480" w:lineRule="auto"/>
        <w:ind w:firstLine="720"/>
        <w:jc w:val="center"/>
        <w:rPr>
          <w:rStyle w:val="Emphasis"/>
          <w:i w:val="0"/>
          <w:color w:val="0E101A"/>
        </w:rPr>
      </w:pPr>
      <w:r>
        <w:rPr>
          <w:rStyle w:val="Emphasis"/>
          <w:i w:val="0"/>
          <w:color w:val="0E101A"/>
        </w:rPr>
        <w:t>Institution</w:t>
      </w:r>
    </w:p>
    <w:p w:rsidR="001C7055" w:rsidRDefault="001C7055" w:rsidP="001C7055">
      <w:pPr>
        <w:pStyle w:val="NormalWeb"/>
        <w:spacing w:before="0" w:beforeAutospacing="0" w:after="0" w:afterAutospacing="0" w:line="480" w:lineRule="auto"/>
        <w:ind w:firstLine="720"/>
        <w:jc w:val="center"/>
        <w:rPr>
          <w:rStyle w:val="Emphasis"/>
          <w:i w:val="0"/>
          <w:color w:val="0E101A"/>
        </w:rPr>
      </w:pPr>
      <w:r>
        <w:rPr>
          <w:rStyle w:val="Emphasis"/>
          <w:i w:val="0"/>
          <w:color w:val="0E101A"/>
        </w:rPr>
        <w:t>Course</w:t>
      </w:r>
    </w:p>
    <w:p w:rsidR="001C7055" w:rsidRDefault="001C7055" w:rsidP="001C7055">
      <w:pPr>
        <w:pStyle w:val="NormalWeb"/>
        <w:spacing w:before="0" w:beforeAutospacing="0" w:after="0" w:afterAutospacing="0" w:line="480" w:lineRule="auto"/>
        <w:ind w:firstLine="720"/>
        <w:jc w:val="center"/>
        <w:rPr>
          <w:rStyle w:val="Emphasis"/>
          <w:i w:val="0"/>
          <w:color w:val="0E101A"/>
        </w:rPr>
      </w:pPr>
      <w:r>
        <w:rPr>
          <w:rStyle w:val="Emphasis"/>
          <w:i w:val="0"/>
          <w:color w:val="0E101A"/>
        </w:rPr>
        <w:t>Instructor</w:t>
      </w:r>
    </w:p>
    <w:p w:rsidR="001C7055" w:rsidRDefault="001C7055" w:rsidP="001C7055">
      <w:pPr>
        <w:pStyle w:val="NormalWeb"/>
        <w:spacing w:before="0" w:beforeAutospacing="0" w:after="0" w:afterAutospacing="0" w:line="480" w:lineRule="auto"/>
        <w:ind w:firstLine="720"/>
        <w:jc w:val="center"/>
        <w:rPr>
          <w:rStyle w:val="Emphasis"/>
          <w:i w:val="0"/>
          <w:color w:val="0E101A"/>
        </w:rPr>
      </w:pPr>
      <w:r>
        <w:rPr>
          <w:rStyle w:val="Emphasis"/>
          <w:i w:val="0"/>
          <w:color w:val="0E101A"/>
        </w:rPr>
        <w:t>Due Date</w:t>
      </w:r>
    </w:p>
    <w:p w:rsidR="001C7055" w:rsidRDefault="001C7055" w:rsidP="001C7055">
      <w:pPr>
        <w:pStyle w:val="NormalWeb"/>
        <w:spacing w:before="0" w:beforeAutospacing="0" w:after="0" w:afterAutospacing="0" w:line="480" w:lineRule="auto"/>
        <w:ind w:firstLine="720"/>
        <w:jc w:val="center"/>
        <w:rPr>
          <w:rStyle w:val="Emphasis"/>
          <w:i w:val="0"/>
          <w:color w:val="0E101A"/>
        </w:rPr>
      </w:pPr>
    </w:p>
    <w:p w:rsidR="001C7055" w:rsidRDefault="001C7055" w:rsidP="001C7055">
      <w:pPr>
        <w:pStyle w:val="NormalWeb"/>
        <w:spacing w:before="0" w:beforeAutospacing="0" w:after="0" w:afterAutospacing="0" w:line="480" w:lineRule="auto"/>
        <w:ind w:firstLine="720"/>
        <w:jc w:val="center"/>
        <w:rPr>
          <w:rStyle w:val="Emphasis"/>
          <w:i w:val="0"/>
          <w:color w:val="0E101A"/>
        </w:rPr>
      </w:pPr>
    </w:p>
    <w:p w:rsidR="001C7055" w:rsidRDefault="001C7055" w:rsidP="001C7055">
      <w:pPr>
        <w:pStyle w:val="NormalWeb"/>
        <w:spacing w:before="0" w:beforeAutospacing="0" w:after="0" w:afterAutospacing="0" w:line="480" w:lineRule="auto"/>
        <w:ind w:firstLine="720"/>
        <w:jc w:val="center"/>
        <w:rPr>
          <w:rStyle w:val="Emphasis"/>
          <w:i w:val="0"/>
          <w:color w:val="0E101A"/>
        </w:rPr>
      </w:pPr>
    </w:p>
    <w:p w:rsidR="001C7055" w:rsidRDefault="001C7055" w:rsidP="001C7055">
      <w:pPr>
        <w:pStyle w:val="NormalWeb"/>
        <w:spacing w:before="0" w:beforeAutospacing="0" w:after="0" w:afterAutospacing="0" w:line="480" w:lineRule="auto"/>
        <w:ind w:firstLine="720"/>
        <w:jc w:val="center"/>
        <w:rPr>
          <w:rStyle w:val="Emphasis"/>
          <w:i w:val="0"/>
          <w:color w:val="0E101A"/>
        </w:rPr>
      </w:pPr>
    </w:p>
    <w:p w:rsidR="001C7055" w:rsidRDefault="001C7055" w:rsidP="001C7055">
      <w:pPr>
        <w:pStyle w:val="NormalWeb"/>
        <w:spacing w:before="0" w:beforeAutospacing="0" w:after="0" w:afterAutospacing="0" w:line="480" w:lineRule="auto"/>
        <w:ind w:firstLine="720"/>
        <w:jc w:val="center"/>
        <w:rPr>
          <w:rStyle w:val="Emphasis"/>
          <w:i w:val="0"/>
          <w:color w:val="0E101A"/>
        </w:rPr>
      </w:pPr>
    </w:p>
    <w:p w:rsidR="001C7055" w:rsidRDefault="001C7055" w:rsidP="001C7055">
      <w:pPr>
        <w:pStyle w:val="NormalWeb"/>
        <w:spacing w:before="0" w:beforeAutospacing="0" w:after="0" w:afterAutospacing="0" w:line="480" w:lineRule="auto"/>
        <w:ind w:firstLine="720"/>
        <w:jc w:val="center"/>
        <w:rPr>
          <w:rStyle w:val="Emphasis"/>
          <w:i w:val="0"/>
          <w:color w:val="0E101A"/>
        </w:rPr>
      </w:pPr>
    </w:p>
    <w:p w:rsidR="001C7055" w:rsidRDefault="001C7055" w:rsidP="001C7055">
      <w:pPr>
        <w:pStyle w:val="NormalWeb"/>
        <w:spacing w:before="0" w:beforeAutospacing="0" w:after="0" w:afterAutospacing="0" w:line="480" w:lineRule="auto"/>
        <w:ind w:firstLine="720"/>
        <w:jc w:val="center"/>
        <w:rPr>
          <w:color w:val="0E101A"/>
        </w:rPr>
      </w:pPr>
    </w:p>
    <w:p w:rsidR="001C7055" w:rsidRDefault="001C7055" w:rsidP="001C7055">
      <w:pPr>
        <w:pStyle w:val="NormalWeb"/>
        <w:spacing w:before="0" w:beforeAutospacing="0" w:after="0" w:afterAutospacing="0" w:line="480" w:lineRule="auto"/>
        <w:ind w:firstLine="720"/>
        <w:jc w:val="center"/>
        <w:rPr>
          <w:color w:val="0E101A"/>
        </w:rPr>
      </w:pPr>
      <w:bookmarkStart w:id="0" w:name="_GoBack"/>
      <w:bookmarkEnd w:id="0"/>
    </w:p>
    <w:p w:rsidR="001C7055" w:rsidRPr="001C7055" w:rsidRDefault="001C7055" w:rsidP="001C7055">
      <w:pPr>
        <w:pStyle w:val="NormalWeb"/>
        <w:spacing w:before="0" w:beforeAutospacing="0" w:after="0" w:afterAutospacing="0" w:line="480" w:lineRule="auto"/>
        <w:ind w:firstLine="720"/>
        <w:jc w:val="center"/>
        <w:rPr>
          <w:iCs/>
          <w:color w:val="0E101A"/>
        </w:rPr>
      </w:pPr>
      <w:r w:rsidRPr="001C7055">
        <w:rPr>
          <w:rStyle w:val="Emphasis"/>
          <w:i w:val="0"/>
          <w:color w:val="0E101A"/>
        </w:rPr>
        <w:lastRenderedPageBreak/>
        <w:t>The Steep Costs of Criminal Justice Fees and Fines</w:t>
      </w:r>
    </w:p>
    <w:p w:rsidR="001C7055" w:rsidRPr="001C7055" w:rsidRDefault="001C7055" w:rsidP="001C7055">
      <w:pPr>
        <w:pStyle w:val="NormalWeb"/>
        <w:spacing w:before="0" w:beforeAutospacing="0" w:after="0" w:afterAutospacing="0" w:line="480" w:lineRule="auto"/>
        <w:ind w:firstLine="720"/>
        <w:rPr>
          <w:color w:val="0E101A"/>
        </w:rPr>
      </w:pPr>
      <w:r w:rsidRPr="001C7055">
        <w:rPr>
          <w:color w:val="0E101A"/>
        </w:rPr>
        <w:t>The article, </w:t>
      </w:r>
      <w:r w:rsidRPr="001C7055">
        <w:rPr>
          <w:rStyle w:val="Emphasis"/>
          <w:color w:val="0E101A"/>
        </w:rPr>
        <w:t>“The Steep Costs of Criminal Justice Fees and Fines”</w:t>
      </w:r>
      <w:r w:rsidRPr="001C7055">
        <w:rPr>
          <w:color w:val="0E101A"/>
        </w:rPr>
        <w:t> focuses on the idea of how court fees and fines have negatively impacted the lives of people. A wealth of proof indicates that the courtroom docket gadget works in opposition to the aim of rehabilitation and creates a first-rate barrier to humans reentering society after a conviction (Menendez, Crowley, Eisen &amp; Atchison, 2019). According to the article, maximum humans are regularly not able to payloads or hundreds of bucks in accrued courtroom docket debt. Similarly, there is limited evidence that imposing pricing and punishments promote public safety. This important study finds that, in addition to obstructing rehabilitation and failing to improve public safety, criminal-court docket fees and penalties also fail to successfully raise income. Fees and penalties are frequently levied regardless of a defendant's ability to pay. Governments have billions of dollars in unpaid judiciary docket debt on their books that they may never be able to recover. This debt hovers over defendants' heads and escalates every year. The rationale for this article's selection is that cases of fees and fines after every court case are common (Menendez, Crowley, Eisen &amp; Atchison, 2019). Further, this article discusses in detail how these fees and fines have impacted the lives of people. It clearly explains how the lives of people have become miserable after conviction. According to the article, the poor suffer long-term consequences while the rich use the fees and fines as a way of escaping the long jail terms.</w:t>
      </w:r>
    </w:p>
    <w:p w:rsidR="001C7055" w:rsidRPr="001C7055" w:rsidRDefault="001C7055" w:rsidP="001C7055">
      <w:pPr>
        <w:pStyle w:val="NormalWeb"/>
        <w:spacing w:before="0" w:beforeAutospacing="0" w:after="0" w:afterAutospacing="0" w:line="480" w:lineRule="auto"/>
        <w:ind w:firstLine="720"/>
        <w:rPr>
          <w:color w:val="0E101A"/>
        </w:rPr>
      </w:pPr>
      <w:r w:rsidRPr="001C7055">
        <w:rPr>
          <w:color w:val="0E101A"/>
        </w:rPr>
        <w:t>The authors of the article, </w:t>
      </w:r>
      <w:r w:rsidRPr="001C7055">
        <w:rPr>
          <w:rStyle w:val="Emphasis"/>
          <w:color w:val="0E101A"/>
        </w:rPr>
        <w:t>“The Steep Costs of Criminal Justice Fees and Fines”</w:t>
      </w:r>
      <w:r w:rsidRPr="001C7055">
        <w:rPr>
          <w:color w:val="0E101A"/>
        </w:rPr>
        <w:t xml:space="preserve"> have made several conclusions. Fees and fines are inefficient sources of state legal income. In other words, it means losing money through this system. Distribution to collect and ensure compliance with payment and fines is to ensure that more efforts are made to improve public security (Menendez, Crowley, Eisen &amp; Atchison, 2019). The core responsibilities of police, sheriff </w:t>
      </w:r>
      <w:r w:rsidRPr="001C7055">
        <w:rPr>
          <w:color w:val="0E101A"/>
        </w:rPr>
        <w:lastRenderedPageBreak/>
        <w:t>officials, and courts are jeopardized by collection and enforcement operations. Hearings to evaluate a defendant's ability to pay are uncommon. As a result, the burden of fees and fines is borne disproportionately by the poor, resulting in billions of dollars in unpaid fees and fines each year. The authors' conclusion that fees and penalties are an unreliable source of government income is supported by these growing balances. The practice of imprisoning persons who are unable to pay fees and fines is both costly (up to 115 percent of the amount collected) and unproductive, and it is unlawful (Menendez, Crowley, Eisen &amp; Atchison, 2019</w:t>
      </w:r>
      <w:proofErr w:type="gramStart"/>
      <w:r w:rsidRPr="001C7055">
        <w:rPr>
          <w:color w:val="0E101A"/>
        </w:rPr>
        <w:t>)l</w:t>
      </w:r>
      <w:proofErr w:type="gramEnd"/>
      <w:r w:rsidRPr="001C7055">
        <w:rPr>
          <w:color w:val="0E101A"/>
        </w:rPr>
        <w:t>. Because many expenditures of criminal fees and the application of fines cannot be proved, the real cost may be higher than the amounts stated. This is not a complicated thing by the fact that this operation is applied between the institution and the government among the costless costs, the time of the Treasury's time, police officers and sheriffs have sent resources for exams and conditional liberation.</w:t>
      </w:r>
    </w:p>
    <w:p w:rsidR="001C7055" w:rsidRPr="001C7055" w:rsidRDefault="001C7055" w:rsidP="001C7055">
      <w:pPr>
        <w:pStyle w:val="NormalWeb"/>
        <w:spacing w:before="0" w:beforeAutospacing="0" w:after="0" w:afterAutospacing="0" w:line="480" w:lineRule="auto"/>
        <w:ind w:firstLine="720"/>
        <w:rPr>
          <w:color w:val="0E101A"/>
        </w:rPr>
      </w:pPr>
      <w:r w:rsidRPr="001C7055">
        <w:rPr>
          <w:color w:val="0E101A"/>
        </w:rPr>
        <w:t xml:space="preserve">The authors propose a number of solutions to address the harmful effects of fees and fines on those who have been convicted, particularly the impoverished who have no one to advocate for their rights. State and municipal governments should implement laws to abolish court-imposed costs, according to one of the proposals (Menendez, Crowley, Eisen &amp; Atchison, 2019). Furthermore, courts should be largely supported by taxpayers, who are all affected by the judicial system. Fines should be assessed on a sliding scale based on an individual's ability to pay. Fines are intended to penalize individuals who break the law while also deterring others who might otherwise do so. For one individual, a $200 fee may be a mere annoyance, but for another, it may be an insurmountable burden. Courts should end the practice of imprisoning people for failing to pay their bills, which undermines rehabilitation efforts and makes no budgetary sense. States should abolish driver's license suspension for failure to pay criminal fees </w:t>
      </w:r>
      <w:r w:rsidRPr="001C7055">
        <w:rPr>
          <w:color w:val="0E101A"/>
        </w:rPr>
        <w:lastRenderedPageBreak/>
        <w:t>and fines. Individuals and their families suffer as a result of this practice, which makes it more difficult for impoverished people to pay their obligations. Legislators should replicate Texas' approach, which has seen hundreds of thousands of licenses restored as a result of recent legislation. Courts and agencies should strengthen data automation procedures so that impacted persons are aware of their ongoing court obligations and policymakers can assess the effectiveness of fees and fines as a revenue source. As other jurisdictions have done, states should implement legislation eliminating old amounts that are unlikely to be paid but continue to cause problems for millions (Menendez, Crowley, Eisen &amp; Atchison, 2019). This would also ensure that those who have been out of trouble with the law for a long time are not dragged back in due to a lack of funds.</w:t>
      </w:r>
    </w:p>
    <w:p w:rsidR="001C7055" w:rsidRPr="001C7055" w:rsidRDefault="001C7055" w:rsidP="001C7055">
      <w:pPr>
        <w:pStyle w:val="NormalWeb"/>
        <w:spacing w:before="0" w:beforeAutospacing="0" w:after="0" w:afterAutospacing="0" w:line="480" w:lineRule="auto"/>
        <w:ind w:firstLine="720"/>
        <w:rPr>
          <w:color w:val="0E101A"/>
        </w:rPr>
      </w:pPr>
      <w:r w:rsidRPr="001C7055">
        <w:rPr>
          <w:color w:val="0E101A"/>
        </w:rPr>
        <w:t xml:space="preserve">I agree with the authors' conclusions based on my research and study. Fees and fines imposed by the courts should not be used by the government as a source of income. This is owing to the fact that the majority of individuals who are required to pay penalties and fees are unable to do so due to a lack of resources. Fees and fines imposed on offenders or defendants may be a helpful strategy to reduce crime in society, although they are not recommended. The law courts should consider this from the standpoint of a wealthy individual who must pay a fine for committing a national crime. When the use of fees and fines by law courts is excessive, the public's safety is jeopardized (Crowley, Menendez &amp; Eisen, 2020; Harris &amp; Smith, 2022). Excessive imposition of fees and fines on offenders and defendants might result in a rise in crime rates. Money laundering cases may continue to be common since money launderers would exploit fees and fines imposed by the courts as a means of continuing their criminal activities. Many times, defendants in money laundering and other larger crimes have assessed a price that is less than the harm caused by their crime, and they end up benefiting. This illustrates why I </w:t>
      </w:r>
      <w:r w:rsidRPr="001C7055">
        <w:rPr>
          <w:color w:val="0E101A"/>
        </w:rPr>
        <w:lastRenderedPageBreak/>
        <w:t>believe that legal costs and penalties are not the most suitable penalty for criminals and violators in any country.</w:t>
      </w:r>
    </w:p>
    <w:p w:rsidR="001C7055" w:rsidRPr="001C7055" w:rsidRDefault="001C7055" w:rsidP="001C7055">
      <w:pPr>
        <w:pStyle w:val="NormalWeb"/>
        <w:spacing w:before="0" w:beforeAutospacing="0" w:after="0" w:afterAutospacing="0" w:line="480" w:lineRule="auto"/>
        <w:ind w:firstLine="720"/>
        <w:rPr>
          <w:color w:val="0E101A"/>
        </w:rPr>
      </w:pPr>
      <w:r w:rsidRPr="001C7055">
        <w:rPr>
          <w:color w:val="0E101A"/>
        </w:rPr>
        <w:t>To avoid a large number of unpaid debts, I believe the law courts should consider an individual's capacity to pay a charge or fine. Furthermore, I would advise the courts to analyze the harm caused by specific conduct that has resulted in the individual being penalized to ensure that the charge or punishment levied is not less than the damage caused. This will also guarantee that every decision is made fairly and that no one takes advantage of the fees and fines to avoid serving long prison sentences and instead goes on to perform additional criminal activities.</w:t>
      </w:r>
    </w:p>
    <w:p w:rsidR="001C7055" w:rsidRDefault="001C7055" w:rsidP="001C7055">
      <w:pPr>
        <w:spacing w:line="480" w:lineRule="auto"/>
        <w:ind w:firstLine="720"/>
        <w:rPr>
          <w:rFonts w:ascii="Times New Roman" w:hAnsi="Times New Roman" w:cs="Times New Roman"/>
          <w:color w:val="222222"/>
          <w:sz w:val="24"/>
          <w:szCs w:val="24"/>
          <w:shd w:val="clear" w:color="auto" w:fill="FFFFFF"/>
        </w:rPr>
      </w:pPr>
    </w:p>
    <w:p w:rsidR="001C7055" w:rsidRDefault="001C7055" w:rsidP="001C7055">
      <w:pPr>
        <w:spacing w:line="480" w:lineRule="auto"/>
        <w:ind w:firstLine="720"/>
        <w:rPr>
          <w:rFonts w:ascii="Times New Roman" w:hAnsi="Times New Roman" w:cs="Times New Roman"/>
          <w:color w:val="222222"/>
          <w:sz w:val="24"/>
          <w:szCs w:val="24"/>
          <w:shd w:val="clear" w:color="auto" w:fill="FFFFFF"/>
        </w:rPr>
      </w:pPr>
    </w:p>
    <w:p w:rsidR="001C7055" w:rsidRDefault="001C7055" w:rsidP="001C7055">
      <w:pPr>
        <w:spacing w:line="480" w:lineRule="auto"/>
        <w:ind w:firstLine="720"/>
        <w:rPr>
          <w:rFonts w:ascii="Times New Roman" w:hAnsi="Times New Roman" w:cs="Times New Roman"/>
          <w:color w:val="222222"/>
          <w:sz w:val="24"/>
          <w:szCs w:val="24"/>
          <w:shd w:val="clear" w:color="auto" w:fill="FFFFFF"/>
        </w:rPr>
      </w:pPr>
    </w:p>
    <w:p w:rsidR="001C7055" w:rsidRDefault="001C7055" w:rsidP="001C7055">
      <w:pPr>
        <w:spacing w:line="480" w:lineRule="auto"/>
        <w:ind w:firstLine="720"/>
        <w:rPr>
          <w:rFonts w:ascii="Times New Roman" w:hAnsi="Times New Roman" w:cs="Times New Roman"/>
          <w:color w:val="222222"/>
          <w:sz w:val="24"/>
          <w:szCs w:val="24"/>
          <w:shd w:val="clear" w:color="auto" w:fill="FFFFFF"/>
        </w:rPr>
      </w:pPr>
    </w:p>
    <w:p w:rsidR="001C7055" w:rsidRDefault="001C7055" w:rsidP="001C7055">
      <w:pPr>
        <w:spacing w:line="480" w:lineRule="auto"/>
        <w:ind w:firstLine="720"/>
        <w:rPr>
          <w:rFonts w:ascii="Times New Roman" w:hAnsi="Times New Roman" w:cs="Times New Roman"/>
          <w:color w:val="222222"/>
          <w:sz w:val="24"/>
          <w:szCs w:val="24"/>
          <w:shd w:val="clear" w:color="auto" w:fill="FFFFFF"/>
        </w:rPr>
      </w:pPr>
    </w:p>
    <w:p w:rsidR="001C7055" w:rsidRDefault="001C7055" w:rsidP="001C7055">
      <w:pPr>
        <w:spacing w:line="480" w:lineRule="auto"/>
        <w:ind w:firstLine="720"/>
        <w:rPr>
          <w:rFonts w:ascii="Times New Roman" w:hAnsi="Times New Roman" w:cs="Times New Roman"/>
          <w:color w:val="222222"/>
          <w:sz w:val="24"/>
          <w:szCs w:val="24"/>
          <w:shd w:val="clear" w:color="auto" w:fill="FFFFFF"/>
        </w:rPr>
      </w:pPr>
    </w:p>
    <w:p w:rsidR="001C7055" w:rsidRDefault="001C7055" w:rsidP="001C7055">
      <w:pPr>
        <w:spacing w:line="480" w:lineRule="auto"/>
        <w:ind w:firstLine="720"/>
        <w:rPr>
          <w:rFonts w:ascii="Times New Roman" w:hAnsi="Times New Roman" w:cs="Times New Roman"/>
          <w:color w:val="222222"/>
          <w:sz w:val="24"/>
          <w:szCs w:val="24"/>
          <w:shd w:val="clear" w:color="auto" w:fill="FFFFFF"/>
        </w:rPr>
      </w:pPr>
    </w:p>
    <w:p w:rsidR="001C7055" w:rsidRDefault="001C7055" w:rsidP="001C7055">
      <w:pPr>
        <w:spacing w:line="480" w:lineRule="auto"/>
        <w:ind w:firstLine="720"/>
        <w:rPr>
          <w:rFonts w:ascii="Times New Roman" w:hAnsi="Times New Roman" w:cs="Times New Roman"/>
          <w:color w:val="222222"/>
          <w:sz w:val="24"/>
          <w:szCs w:val="24"/>
          <w:shd w:val="clear" w:color="auto" w:fill="FFFFFF"/>
        </w:rPr>
      </w:pPr>
    </w:p>
    <w:p w:rsidR="001C7055" w:rsidRDefault="001C7055" w:rsidP="001C7055">
      <w:pPr>
        <w:spacing w:line="480" w:lineRule="auto"/>
        <w:ind w:firstLine="720"/>
        <w:rPr>
          <w:rFonts w:ascii="Times New Roman" w:hAnsi="Times New Roman" w:cs="Times New Roman"/>
          <w:color w:val="222222"/>
          <w:sz w:val="24"/>
          <w:szCs w:val="24"/>
          <w:shd w:val="clear" w:color="auto" w:fill="FFFFFF"/>
        </w:rPr>
      </w:pPr>
    </w:p>
    <w:p w:rsidR="001C7055" w:rsidRDefault="001C7055" w:rsidP="001C7055">
      <w:pPr>
        <w:spacing w:line="480" w:lineRule="auto"/>
        <w:ind w:firstLine="720"/>
        <w:rPr>
          <w:rFonts w:ascii="Times New Roman" w:hAnsi="Times New Roman" w:cs="Times New Roman"/>
          <w:color w:val="222222"/>
          <w:sz w:val="24"/>
          <w:szCs w:val="24"/>
          <w:shd w:val="clear" w:color="auto" w:fill="FFFFFF"/>
        </w:rPr>
      </w:pPr>
    </w:p>
    <w:p w:rsidR="001C7055" w:rsidRDefault="001C7055" w:rsidP="001C7055">
      <w:pPr>
        <w:spacing w:line="480" w:lineRule="auto"/>
        <w:ind w:firstLine="720"/>
        <w:rPr>
          <w:rFonts w:ascii="Times New Roman" w:hAnsi="Times New Roman" w:cs="Times New Roman"/>
          <w:color w:val="222222"/>
          <w:sz w:val="24"/>
          <w:szCs w:val="24"/>
          <w:shd w:val="clear" w:color="auto" w:fill="FFFFFF"/>
        </w:rPr>
      </w:pPr>
    </w:p>
    <w:p w:rsidR="001C7055" w:rsidRDefault="001C7055" w:rsidP="001C7055">
      <w:pPr>
        <w:spacing w:line="480" w:lineRule="auto"/>
        <w:ind w:firstLine="720"/>
        <w:jc w:val="center"/>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lastRenderedPageBreak/>
        <w:t>References</w:t>
      </w:r>
    </w:p>
    <w:p w:rsidR="00025269" w:rsidRPr="001C7055" w:rsidRDefault="00025269" w:rsidP="001C7055">
      <w:pPr>
        <w:spacing w:line="480" w:lineRule="auto"/>
        <w:ind w:left="720" w:hanging="720"/>
        <w:rPr>
          <w:rFonts w:ascii="Times New Roman" w:hAnsi="Times New Roman" w:cs="Times New Roman"/>
          <w:color w:val="222222"/>
          <w:sz w:val="24"/>
          <w:szCs w:val="24"/>
          <w:shd w:val="clear" w:color="auto" w:fill="FFFFFF"/>
        </w:rPr>
      </w:pPr>
      <w:proofErr w:type="gramStart"/>
      <w:r w:rsidRPr="001C7055">
        <w:rPr>
          <w:rFonts w:ascii="Times New Roman" w:hAnsi="Times New Roman" w:cs="Times New Roman"/>
          <w:color w:val="222222"/>
          <w:sz w:val="24"/>
          <w:szCs w:val="24"/>
          <w:shd w:val="clear" w:color="auto" w:fill="FFFFFF"/>
        </w:rPr>
        <w:t>Crowley, M. F., Menendez, M. J., &amp; Eisen, L. B. (2020).</w:t>
      </w:r>
      <w:proofErr w:type="gramEnd"/>
      <w:r w:rsidRPr="001C7055">
        <w:rPr>
          <w:rFonts w:ascii="Times New Roman" w:hAnsi="Times New Roman" w:cs="Times New Roman"/>
          <w:color w:val="222222"/>
          <w:sz w:val="24"/>
          <w:szCs w:val="24"/>
          <w:shd w:val="clear" w:color="auto" w:fill="FFFFFF"/>
        </w:rPr>
        <w:t xml:space="preserve"> If We Only Knew the Cost: Scratching the Surface on How Much It Costs to Assess and Collect Court Imposed Criminal Fees and Fines. </w:t>
      </w:r>
      <w:r w:rsidRPr="001C7055">
        <w:rPr>
          <w:rFonts w:ascii="Times New Roman" w:hAnsi="Times New Roman" w:cs="Times New Roman"/>
          <w:i/>
          <w:iCs/>
          <w:color w:val="222222"/>
          <w:sz w:val="24"/>
          <w:szCs w:val="24"/>
          <w:shd w:val="clear" w:color="auto" w:fill="FFFFFF"/>
        </w:rPr>
        <w:t>UCLA Criminal Justice Law Review</w:t>
      </w:r>
      <w:r w:rsidRPr="001C7055">
        <w:rPr>
          <w:rFonts w:ascii="Times New Roman" w:hAnsi="Times New Roman" w:cs="Times New Roman"/>
          <w:color w:val="222222"/>
          <w:sz w:val="24"/>
          <w:szCs w:val="24"/>
          <w:shd w:val="clear" w:color="auto" w:fill="FFFFFF"/>
        </w:rPr>
        <w:t>, </w:t>
      </w:r>
      <w:r w:rsidRPr="001C7055">
        <w:rPr>
          <w:rFonts w:ascii="Times New Roman" w:hAnsi="Times New Roman" w:cs="Times New Roman"/>
          <w:i/>
          <w:iCs/>
          <w:color w:val="222222"/>
          <w:sz w:val="24"/>
          <w:szCs w:val="24"/>
          <w:shd w:val="clear" w:color="auto" w:fill="FFFFFF"/>
        </w:rPr>
        <w:t>4</w:t>
      </w:r>
      <w:r w:rsidRPr="001C7055">
        <w:rPr>
          <w:rFonts w:ascii="Times New Roman" w:hAnsi="Times New Roman" w:cs="Times New Roman"/>
          <w:color w:val="222222"/>
          <w:sz w:val="24"/>
          <w:szCs w:val="24"/>
          <w:shd w:val="clear" w:color="auto" w:fill="FFFFFF"/>
        </w:rPr>
        <w:t>(1).</w:t>
      </w:r>
    </w:p>
    <w:p w:rsidR="00025269" w:rsidRPr="001C7055" w:rsidRDefault="00025269" w:rsidP="001C7055">
      <w:pPr>
        <w:spacing w:line="480" w:lineRule="auto"/>
        <w:ind w:left="720" w:hanging="720"/>
        <w:rPr>
          <w:rFonts w:ascii="Times New Roman" w:hAnsi="Times New Roman" w:cs="Times New Roman"/>
          <w:sz w:val="24"/>
          <w:szCs w:val="24"/>
        </w:rPr>
      </w:pPr>
      <w:proofErr w:type="gramStart"/>
      <w:r w:rsidRPr="001C7055">
        <w:rPr>
          <w:rFonts w:ascii="Times New Roman" w:hAnsi="Times New Roman" w:cs="Times New Roman"/>
          <w:color w:val="222222"/>
          <w:sz w:val="24"/>
          <w:szCs w:val="24"/>
          <w:shd w:val="clear" w:color="auto" w:fill="FFFFFF"/>
        </w:rPr>
        <w:t>Harris, A., &amp; Smith, T. (2022).</w:t>
      </w:r>
      <w:proofErr w:type="gramEnd"/>
      <w:r w:rsidRPr="001C7055">
        <w:rPr>
          <w:rFonts w:ascii="Times New Roman" w:hAnsi="Times New Roman" w:cs="Times New Roman"/>
          <w:color w:val="222222"/>
          <w:sz w:val="24"/>
          <w:szCs w:val="24"/>
          <w:shd w:val="clear" w:color="auto" w:fill="FFFFFF"/>
        </w:rPr>
        <w:t xml:space="preserve"> Monetary Sanctions as Chronic and Acute Health Stressors: The Emotional Strain of People Who Owe Court Fines and Fees. </w:t>
      </w:r>
      <w:r w:rsidRPr="001C7055">
        <w:rPr>
          <w:rFonts w:ascii="Times New Roman" w:hAnsi="Times New Roman" w:cs="Times New Roman"/>
          <w:i/>
          <w:iCs/>
          <w:color w:val="222222"/>
          <w:sz w:val="24"/>
          <w:szCs w:val="24"/>
          <w:shd w:val="clear" w:color="auto" w:fill="FFFFFF"/>
        </w:rPr>
        <w:t>RSF: The Russell Sage Foundation Journal of the Social Sciences</w:t>
      </w:r>
      <w:r w:rsidRPr="001C7055">
        <w:rPr>
          <w:rFonts w:ascii="Times New Roman" w:hAnsi="Times New Roman" w:cs="Times New Roman"/>
          <w:color w:val="222222"/>
          <w:sz w:val="24"/>
          <w:szCs w:val="24"/>
          <w:shd w:val="clear" w:color="auto" w:fill="FFFFFF"/>
        </w:rPr>
        <w:t>, </w:t>
      </w:r>
      <w:r w:rsidRPr="001C7055">
        <w:rPr>
          <w:rFonts w:ascii="Times New Roman" w:hAnsi="Times New Roman" w:cs="Times New Roman"/>
          <w:i/>
          <w:iCs/>
          <w:color w:val="222222"/>
          <w:sz w:val="24"/>
          <w:szCs w:val="24"/>
          <w:shd w:val="clear" w:color="auto" w:fill="FFFFFF"/>
        </w:rPr>
        <w:t>8</w:t>
      </w:r>
      <w:r w:rsidRPr="001C7055">
        <w:rPr>
          <w:rFonts w:ascii="Times New Roman" w:hAnsi="Times New Roman" w:cs="Times New Roman"/>
          <w:color w:val="222222"/>
          <w:sz w:val="24"/>
          <w:szCs w:val="24"/>
          <w:shd w:val="clear" w:color="auto" w:fill="FFFFFF"/>
        </w:rPr>
        <w:t>(2), 36-56.</w:t>
      </w:r>
    </w:p>
    <w:p w:rsidR="00025269" w:rsidRPr="001C7055" w:rsidRDefault="00025269" w:rsidP="001C7055">
      <w:pPr>
        <w:spacing w:line="480" w:lineRule="auto"/>
        <w:ind w:left="720" w:hanging="720"/>
        <w:rPr>
          <w:rFonts w:ascii="Times New Roman" w:hAnsi="Times New Roman" w:cs="Times New Roman"/>
          <w:color w:val="222222"/>
          <w:sz w:val="24"/>
          <w:szCs w:val="24"/>
          <w:shd w:val="clear" w:color="auto" w:fill="FFFFFF"/>
        </w:rPr>
      </w:pPr>
      <w:proofErr w:type="gramStart"/>
      <w:r w:rsidRPr="001C7055">
        <w:rPr>
          <w:rFonts w:ascii="Times New Roman" w:hAnsi="Times New Roman" w:cs="Times New Roman"/>
          <w:color w:val="222222"/>
          <w:sz w:val="24"/>
          <w:szCs w:val="24"/>
          <w:shd w:val="clear" w:color="auto" w:fill="FFFFFF"/>
        </w:rPr>
        <w:t>Menendez, M., Crowley, M. F., Eisen, L. B., &amp; Atchison, N. (2019).</w:t>
      </w:r>
      <w:proofErr w:type="gramEnd"/>
      <w:r w:rsidRPr="001C7055">
        <w:rPr>
          <w:rFonts w:ascii="Times New Roman" w:hAnsi="Times New Roman" w:cs="Times New Roman"/>
          <w:color w:val="222222"/>
          <w:sz w:val="24"/>
          <w:szCs w:val="24"/>
          <w:shd w:val="clear" w:color="auto" w:fill="FFFFFF"/>
        </w:rPr>
        <w:t xml:space="preserve"> </w:t>
      </w:r>
      <w:proofErr w:type="gramStart"/>
      <w:r w:rsidRPr="001C7055">
        <w:rPr>
          <w:rFonts w:ascii="Times New Roman" w:hAnsi="Times New Roman" w:cs="Times New Roman"/>
          <w:color w:val="222222"/>
          <w:sz w:val="24"/>
          <w:szCs w:val="24"/>
          <w:shd w:val="clear" w:color="auto" w:fill="FFFFFF"/>
        </w:rPr>
        <w:t>The steep costs of criminal justice fees and fines.</w:t>
      </w:r>
      <w:proofErr w:type="gramEnd"/>
      <w:r w:rsidRPr="001C7055">
        <w:rPr>
          <w:rFonts w:ascii="Times New Roman" w:hAnsi="Times New Roman" w:cs="Times New Roman"/>
          <w:color w:val="222222"/>
          <w:sz w:val="24"/>
          <w:szCs w:val="24"/>
          <w:shd w:val="clear" w:color="auto" w:fill="FFFFFF"/>
        </w:rPr>
        <w:t> </w:t>
      </w:r>
      <w:r w:rsidRPr="001C7055">
        <w:rPr>
          <w:rFonts w:ascii="Times New Roman" w:hAnsi="Times New Roman" w:cs="Times New Roman"/>
          <w:i/>
          <w:iCs/>
          <w:color w:val="222222"/>
          <w:sz w:val="24"/>
          <w:szCs w:val="24"/>
          <w:shd w:val="clear" w:color="auto" w:fill="FFFFFF"/>
        </w:rPr>
        <w:t>New York: Brennan Center for Justice. Accessed August</w:t>
      </w:r>
      <w:r w:rsidRPr="001C7055">
        <w:rPr>
          <w:rFonts w:ascii="Times New Roman" w:hAnsi="Times New Roman" w:cs="Times New Roman"/>
          <w:color w:val="222222"/>
          <w:sz w:val="24"/>
          <w:szCs w:val="24"/>
          <w:shd w:val="clear" w:color="auto" w:fill="FFFFFF"/>
        </w:rPr>
        <w:t>, </w:t>
      </w:r>
      <w:r w:rsidRPr="001C7055">
        <w:rPr>
          <w:rFonts w:ascii="Times New Roman" w:hAnsi="Times New Roman" w:cs="Times New Roman"/>
          <w:i/>
          <w:iCs/>
          <w:color w:val="222222"/>
          <w:sz w:val="24"/>
          <w:szCs w:val="24"/>
          <w:shd w:val="clear" w:color="auto" w:fill="FFFFFF"/>
        </w:rPr>
        <w:t>12</w:t>
      </w:r>
      <w:r w:rsidRPr="001C7055">
        <w:rPr>
          <w:rFonts w:ascii="Times New Roman" w:hAnsi="Times New Roman" w:cs="Times New Roman"/>
          <w:color w:val="222222"/>
          <w:sz w:val="24"/>
          <w:szCs w:val="24"/>
          <w:shd w:val="clear" w:color="auto" w:fill="FFFFFF"/>
        </w:rPr>
        <w:t>(2021), 2020-07.</w:t>
      </w:r>
    </w:p>
    <w:p w:rsidR="00025269" w:rsidRPr="001C7055" w:rsidRDefault="00025269" w:rsidP="001C7055">
      <w:pPr>
        <w:spacing w:line="480" w:lineRule="auto"/>
        <w:ind w:firstLine="720"/>
        <w:rPr>
          <w:rFonts w:ascii="Times New Roman" w:hAnsi="Times New Roman" w:cs="Times New Roman"/>
          <w:sz w:val="24"/>
          <w:szCs w:val="24"/>
        </w:rPr>
      </w:pPr>
    </w:p>
    <w:sectPr w:rsidR="00025269" w:rsidRPr="001C7055">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B1980" w:rsidRDefault="00AB1980" w:rsidP="001C7055">
      <w:pPr>
        <w:spacing w:after="0" w:line="240" w:lineRule="auto"/>
      </w:pPr>
      <w:r>
        <w:separator/>
      </w:r>
    </w:p>
  </w:endnote>
  <w:endnote w:type="continuationSeparator" w:id="0">
    <w:p w:rsidR="00AB1980" w:rsidRDefault="00AB1980" w:rsidP="001C70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B1980" w:rsidRDefault="00AB1980" w:rsidP="001C7055">
      <w:pPr>
        <w:spacing w:after="0" w:line="240" w:lineRule="auto"/>
      </w:pPr>
      <w:r>
        <w:separator/>
      </w:r>
    </w:p>
  </w:footnote>
  <w:footnote w:type="continuationSeparator" w:id="0">
    <w:p w:rsidR="00AB1980" w:rsidRDefault="00AB1980" w:rsidP="001C705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sz w:val="24"/>
        <w:szCs w:val="24"/>
      </w:rPr>
      <w:id w:val="803578380"/>
      <w:docPartObj>
        <w:docPartGallery w:val="Page Numbers (Top of Page)"/>
        <w:docPartUnique/>
      </w:docPartObj>
    </w:sdtPr>
    <w:sdtEndPr>
      <w:rPr>
        <w:rFonts w:ascii="Times New Roman" w:hAnsi="Times New Roman" w:cs="Times New Roman"/>
        <w:noProof/>
      </w:rPr>
    </w:sdtEndPr>
    <w:sdtContent>
      <w:p w:rsidR="001C7055" w:rsidRPr="001C7055" w:rsidRDefault="001C7055">
        <w:pPr>
          <w:pStyle w:val="Header"/>
          <w:jc w:val="right"/>
          <w:rPr>
            <w:rFonts w:ascii="Times New Roman" w:hAnsi="Times New Roman" w:cs="Times New Roman"/>
            <w:sz w:val="24"/>
            <w:szCs w:val="24"/>
          </w:rPr>
        </w:pPr>
        <w:r w:rsidRPr="001C7055">
          <w:rPr>
            <w:rFonts w:ascii="Times New Roman" w:hAnsi="Times New Roman" w:cs="Times New Roman"/>
            <w:sz w:val="24"/>
            <w:szCs w:val="24"/>
          </w:rPr>
          <w:fldChar w:fldCharType="begin"/>
        </w:r>
        <w:r w:rsidRPr="001C7055">
          <w:rPr>
            <w:rFonts w:ascii="Times New Roman" w:hAnsi="Times New Roman" w:cs="Times New Roman"/>
            <w:sz w:val="24"/>
            <w:szCs w:val="24"/>
          </w:rPr>
          <w:instrText xml:space="preserve"> PAGE   \* MERGEFORMAT </w:instrText>
        </w:r>
        <w:r w:rsidRPr="001C7055">
          <w:rPr>
            <w:rFonts w:ascii="Times New Roman" w:hAnsi="Times New Roman" w:cs="Times New Roman"/>
            <w:sz w:val="24"/>
            <w:szCs w:val="24"/>
          </w:rPr>
          <w:fldChar w:fldCharType="separate"/>
        </w:r>
        <w:r w:rsidR="00404021">
          <w:rPr>
            <w:rFonts w:ascii="Times New Roman" w:hAnsi="Times New Roman" w:cs="Times New Roman"/>
            <w:noProof/>
            <w:sz w:val="24"/>
            <w:szCs w:val="24"/>
          </w:rPr>
          <w:t>1</w:t>
        </w:r>
        <w:r w:rsidRPr="001C7055">
          <w:rPr>
            <w:rFonts w:ascii="Times New Roman" w:hAnsi="Times New Roman" w:cs="Times New Roman"/>
            <w:noProof/>
            <w:sz w:val="24"/>
            <w:szCs w:val="24"/>
          </w:rPr>
          <w:fldChar w:fldCharType="end"/>
        </w:r>
      </w:p>
    </w:sdtContent>
  </w:sdt>
  <w:p w:rsidR="001C7055" w:rsidRDefault="001C705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94808"/>
    <w:rsid w:val="00025269"/>
    <w:rsid w:val="001B38AF"/>
    <w:rsid w:val="001C7055"/>
    <w:rsid w:val="00264FF2"/>
    <w:rsid w:val="002E7265"/>
    <w:rsid w:val="003A1687"/>
    <w:rsid w:val="003B0AA1"/>
    <w:rsid w:val="00404021"/>
    <w:rsid w:val="00477F06"/>
    <w:rsid w:val="005A504E"/>
    <w:rsid w:val="006540CC"/>
    <w:rsid w:val="00751CE9"/>
    <w:rsid w:val="008619B6"/>
    <w:rsid w:val="00894808"/>
    <w:rsid w:val="00AB1980"/>
    <w:rsid w:val="00B178A9"/>
    <w:rsid w:val="00ED3EB2"/>
    <w:rsid w:val="00FC6D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C7055"/>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1C7055"/>
    <w:rPr>
      <w:i/>
      <w:iCs/>
    </w:rPr>
  </w:style>
  <w:style w:type="paragraph" w:styleId="Header">
    <w:name w:val="header"/>
    <w:basedOn w:val="Normal"/>
    <w:link w:val="HeaderChar"/>
    <w:uiPriority w:val="99"/>
    <w:unhideWhenUsed/>
    <w:rsid w:val="001C7055"/>
    <w:pPr>
      <w:tabs>
        <w:tab w:val="center" w:pos="4680"/>
        <w:tab w:val="right" w:pos="9360"/>
      </w:tabs>
      <w:spacing w:after="0" w:line="240" w:lineRule="auto"/>
    </w:pPr>
  </w:style>
  <w:style w:type="character" w:customStyle="1" w:styleId="HeaderChar">
    <w:name w:val="Header Char"/>
    <w:basedOn w:val="DefaultParagraphFont"/>
    <w:link w:val="Header"/>
    <w:uiPriority w:val="99"/>
    <w:rsid w:val="001C7055"/>
  </w:style>
  <w:style w:type="paragraph" w:styleId="Footer">
    <w:name w:val="footer"/>
    <w:basedOn w:val="Normal"/>
    <w:link w:val="FooterChar"/>
    <w:uiPriority w:val="99"/>
    <w:unhideWhenUsed/>
    <w:rsid w:val="001C7055"/>
    <w:pPr>
      <w:tabs>
        <w:tab w:val="center" w:pos="4680"/>
        <w:tab w:val="right" w:pos="9360"/>
      </w:tabs>
      <w:spacing w:after="0" w:line="240" w:lineRule="auto"/>
    </w:pPr>
  </w:style>
  <w:style w:type="character" w:customStyle="1" w:styleId="FooterChar">
    <w:name w:val="Footer Char"/>
    <w:basedOn w:val="DefaultParagraphFont"/>
    <w:link w:val="Footer"/>
    <w:uiPriority w:val="99"/>
    <w:rsid w:val="001C705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C7055"/>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1C7055"/>
    <w:rPr>
      <w:i/>
      <w:iCs/>
    </w:rPr>
  </w:style>
  <w:style w:type="paragraph" w:styleId="Header">
    <w:name w:val="header"/>
    <w:basedOn w:val="Normal"/>
    <w:link w:val="HeaderChar"/>
    <w:uiPriority w:val="99"/>
    <w:unhideWhenUsed/>
    <w:rsid w:val="001C7055"/>
    <w:pPr>
      <w:tabs>
        <w:tab w:val="center" w:pos="4680"/>
        <w:tab w:val="right" w:pos="9360"/>
      </w:tabs>
      <w:spacing w:after="0" w:line="240" w:lineRule="auto"/>
    </w:pPr>
  </w:style>
  <w:style w:type="character" w:customStyle="1" w:styleId="HeaderChar">
    <w:name w:val="Header Char"/>
    <w:basedOn w:val="DefaultParagraphFont"/>
    <w:link w:val="Header"/>
    <w:uiPriority w:val="99"/>
    <w:rsid w:val="001C7055"/>
  </w:style>
  <w:style w:type="paragraph" w:styleId="Footer">
    <w:name w:val="footer"/>
    <w:basedOn w:val="Normal"/>
    <w:link w:val="FooterChar"/>
    <w:uiPriority w:val="99"/>
    <w:unhideWhenUsed/>
    <w:rsid w:val="001C7055"/>
    <w:pPr>
      <w:tabs>
        <w:tab w:val="center" w:pos="4680"/>
        <w:tab w:val="right" w:pos="9360"/>
      </w:tabs>
      <w:spacing w:after="0" w:line="240" w:lineRule="auto"/>
    </w:pPr>
  </w:style>
  <w:style w:type="character" w:customStyle="1" w:styleId="FooterChar">
    <w:name w:val="Footer Char"/>
    <w:basedOn w:val="DefaultParagraphFont"/>
    <w:link w:val="Footer"/>
    <w:uiPriority w:val="99"/>
    <w:rsid w:val="001C705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397878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1152</Words>
  <Characters>6571</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2022-03-09T22:56:00Z</dcterms:created>
  <dcterms:modified xsi:type="dcterms:W3CDTF">2022-03-09T22:56:00Z</dcterms:modified>
</cp:coreProperties>
</file>