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A9518B" w14:textId="2655EB31" w:rsidR="0058756E" w:rsidRDefault="002D04DF">
      <w:r>
        <w:t xml:space="preserve">Discussion forum </w:t>
      </w:r>
      <w:r w:rsidR="006E290F">
        <w:t>5</w:t>
      </w:r>
      <w:r>
        <w:t xml:space="preserve"> example post:</w:t>
      </w:r>
    </w:p>
    <w:p w14:paraId="391B19D3"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The international negotiations planning, and processes are impacted by the following cultural practices: Religious Values; Customs and Traditions; and Cross-Culture Styles.  In the case of religious values, a foreign of non-Muslim background would do well to understand pray time when dealing with Saudi Arabian counterparts (Semerad, 2015) and not schedule negotiations during these time periods.  Related to Customs and Traditions, it is important to understand your counterparty related to their background (</w:t>
      </w:r>
      <w:proofErr w:type="spellStart"/>
      <w:r>
        <w:rPr>
          <w:rFonts w:ascii="Segoe UI" w:hAnsi="Segoe UI" w:cs="Segoe UI"/>
          <w:color w:val="212529"/>
          <w:sz w:val="23"/>
          <w:szCs w:val="23"/>
        </w:rPr>
        <w:t>Volkema</w:t>
      </w:r>
      <w:proofErr w:type="spellEnd"/>
      <w:r>
        <w:rPr>
          <w:rFonts w:ascii="Segoe UI" w:hAnsi="Segoe UI" w:cs="Segoe UI"/>
          <w:color w:val="212529"/>
          <w:sz w:val="23"/>
          <w:szCs w:val="23"/>
        </w:rPr>
        <w:t>, 2011) as not all Chinese negotiate the same way considering that Mainland China, Hong Kong, and Taiwan have different influences from political, social cultural, and education systems.  The approach and expectations of each major Chinese geographical group is different related to uncertainty avoidance; institutional collectivism; assertiveness; performance orientation; and propensity to initiate (</w:t>
      </w:r>
      <w:proofErr w:type="spellStart"/>
      <w:r>
        <w:rPr>
          <w:rFonts w:ascii="Segoe UI" w:hAnsi="Segoe UI" w:cs="Segoe UI"/>
          <w:color w:val="212529"/>
          <w:sz w:val="23"/>
          <w:szCs w:val="23"/>
        </w:rPr>
        <w:t>Volkema</w:t>
      </w:r>
      <w:proofErr w:type="spellEnd"/>
      <w:r>
        <w:rPr>
          <w:rFonts w:ascii="Segoe UI" w:hAnsi="Segoe UI" w:cs="Segoe UI"/>
          <w:color w:val="212529"/>
          <w:sz w:val="23"/>
          <w:szCs w:val="23"/>
        </w:rPr>
        <w:t xml:space="preserve">, 2011).  The Cross-Culture Styles involves understanding the counterparty expectations in negotiations such as the American focusing on a Win-Lose outcome while a Malaysian focusing on the long-term relationship rather than the short-term deal (Ready &amp; </w:t>
      </w:r>
      <w:proofErr w:type="spellStart"/>
      <w:r>
        <w:rPr>
          <w:rFonts w:ascii="Segoe UI" w:hAnsi="Segoe UI" w:cs="Segoe UI"/>
          <w:color w:val="212529"/>
          <w:sz w:val="23"/>
          <w:szCs w:val="23"/>
        </w:rPr>
        <w:t>Tessema</w:t>
      </w:r>
      <w:proofErr w:type="spellEnd"/>
      <w:r>
        <w:rPr>
          <w:rFonts w:ascii="Segoe UI" w:hAnsi="Segoe UI" w:cs="Segoe UI"/>
          <w:color w:val="212529"/>
          <w:sz w:val="23"/>
          <w:szCs w:val="23"/>
        </w:rPr>
        <w:t>, 2009). </w:t>
      </w:r>
    </w:p>
    <w:p w14:paraId="5FBA950F"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 xml:space="preserve">Tactics to use during international negotiations include pre-negotiations (Fowler, 2009); leveraging Cultural </w:t>
      </w:r>
      <w:proofErr w:type="spellStart"/>
      <w:r>
        <w:rPr>
          <w:rFonts w:ascii="Segoe UI" w:hAnsi="Segoe UI" w:cs="Segoe UI"/>
          <w:color w:val="212529"/>
          <w:sz w:val="23"/>
          <w:szCs w:val="23"/>
        </w:rPr>
        <w:t>Prespective</w:t>
      </w:r>
      <w:proofErr w:type="spellEnd"/>
      <w:r>
        <w:rPr>
          <w:rFonts w:ascii="Segoe UI" w:hAnsi="Segoe UI" w:cs="Segoe UI"/>
          <w:color w:val="212529"/>
          <w:sz w:val="23"/>
          <w:szCs w:val="23"/>
        </w:rPr>
        <w:t xml:space="preserve"> Taking aka CPT (Lee, et al., 2013); and Influence techniques (Yukl, et al., 2003).  Pre-negotiations allow you to learn from your counterparty and gain insights into their approaches and reactions to incorporate within your formal negotiations.  This would be like a trial-balloon being floated.  The Cultural </w:t>
      </w:r>
      <w:proofErr w:type="spellStart"/>
      <w:r>
        <w:rPr>
          <w:rFonts w:ascii="Segoe UI" w:hAnsi="Segoe UI" w:cs="Segoe UI"/>
          <w:color w:val="212529"/>
          <w:sz w:val="23"/>
          <w:szCs w:val="23"/>
        </w:rPr>
        <w:t>Prespective</w:t>
      </w:r>
      <w:proofErr w:type="spellEnd"/>
      <w:r>
        <w:rPr>
          <w:rFonts w:ascii="Segoe UI" w:hAnsi="Segoe UI" w:cs="Segoe UI"/>
          <w:color w:val="212529"/>
          <w:sz w:val="23"/>
          <w:szCs w:val="23"/>
        </w:rPr>
        <w:t xml:space="preserve"> Taking focuses you thinking from the other person’s (counterparty’s) point of view not just from business point of view but also from the cultural point of view as this may represent hidden challenges that would not be apparent from the business viewpoint.  As stated by Gary Yukl, Ping </w:t>
      </w:r>
      <w:proofErr w:type="spellStart"/>
      <w:r>
        <w:rPr>
          <w:rFonts w:ascii="Segoe UI" w:hAnsi="Segoe UI" w:cs="Segoe UI"/>
          <w:color w:val="212529"/>
          <w:sz w:val="23"/>
          <w:szCs w:val="23"/>
        </w:rPr>
        <w:t>Ping</w:t>
      </w:r>
      <w:proofErr w:type="spellEnd"/>
      <w:r>
        <w:rPr>
          <w:rFonts w:ascii="Segoe UI" w:hAnsi="Segoe UI" w:cs="Segoe UI"/>
          <w:color w:val="212529"/>
          <w:sz w:val="23"/>
          <w:szCs w:val="23"/>
        </w:rPr>
        <w:t xml:space="preserve"> Fu, and Robert McDonald the Influence techniques “include inspirational appeals, consultation, personal appeals, legitimating, collaboration, and apprising.” </w:t>
      </w:r>
    </w:p>
    <w:p w14:paraId="13F53F63"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Nonverbal communications including body language has major benefits and disadvantages in international negotiations.  The initial greeting (pre-COVID-19) sets the tone and respect of the meeting based on which country you engage with.  The proper etiquette can strengthen the relationship while missing the etiquette cues can derail future progress.  Certain cultures leverage their body language as an extension of the verbal communications or accent to the actual words spoken.  In the same token, simple actions such as pointing with one finger may represent disrespect. </w:t>
      </w:r>
    </w:p>
    <w:p w14:paraId="428D71C3"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Past work challenges in my international negotiations.  I had a subcontractor (</w:t>
      </w:r>
      <w:proofErr w:type="spellStart"/>
      <w:r>
        <w:rPr>
          <w:rFonts w:ascii="Segoe UI" w:hAnsi="Segoe UI" w:cs="Segoe UI"/>
          <w:color w:val="212529"/>
          <w:sz w:val="23"/>
          <w:szCs w:val="23"/>
        </w:rPr>
        <w:t>Okin</w:t>
      </w:r>
      <w:proofErr w:type="spellEnd"/>
      <w:r>
        <w:rPr>
          <w:rFonts w:ascii="Segoe UI" w:hAnsi="Segoe UI" w:cs="Segoe UI"/>
          <w:color w:val="212529"/>
          <w:sz w:val="23"/>
          <w:szCs w:val="23"/>
        </w:rPr>
        <w:t xml:space="preserve">) in Ostrava, Czech Republic providing services to the Sales and Presales team in EMEA and they believed they had the upper hand in the relationship and would not be willing to modify their operations to meet our business needs.  I needed to change the dynamics of the relationship and used the unwillingness to adopt new techniques and work hours to introduce my USA and Asia support vendor (Accenture) and I moved critical accounts to my Manila team that agreed to work EMEA hours to undertake this additional </w:t>
      </w:r>
      <w:r>
        <w:rPr>
          <w:rFonts w:ascii="Segoe UI" w:hAnsi="Segoe UI" w:cs="Segoe UI"/>
          <w:color w:val="212529"/>
          <w:sz w:val="23"/>
          <w:szCs w:val="23"/>
        </w:rPr>
        <w:lastRenderedPageBreak/>
        <w:t xml:space="preserve">workload.  This finally brought </w:t>
      </w:r>
      <w:proofErr w:type="spellStart"/>
      <w:r>
        <w:rPr>
          <w:rFonts w:ascii="Segoe UI" w:hAnsi="Segoe UI" w:cs="Segoe UI"/>
          <w:color w:val="212529"/>
          <w:sz w:val="23"/>
          <w:szCs w:val="23"/>
        </w:rPr>
        <w:t>Okin</w:t>
      </w:r>
      <w:proofErr w:type="spellEnd"/>
      <w:r>
        <w:rPr>
          <w:rFonts w:ascii="Segoe UI" w:hAnsi="Segoe UI" w:cs="Segoe UI"/>
          <w:color w:val="212529"/>
          <w:sz w:val="23"/>
          <w:szCs w:val="23"/>
        </w:rPr>
        <w:t xml:space="preserve"> back to the negotiating table as they saw that I had successful implemented a competitor that performed better than they did.</w:t>
      </w:r>
    </w:p>
    <w:p w14:paraId="4752138A"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 </w:t>
      </w:r>
    </w:p>
    <w:p w14:paraId="32C47CD6"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b/>
          <w:bCs/>
          <w:color w:val="212529"/>
          <w:sz w:val="23"/>
          <w:szCs w:val="23"/>
        </w:rPr>
        <w:t>References: </w:t>
      </w:r>
    </w:p>
    <w:p w14:paraId="36F5E034"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Fowler, M. R. (2009) Culture and Negotiation: The Pedagogical Dispute Regarding Cross-Cultural Simulations </w:t>
      </w:r>
      <w:r>
        <w:rPr>
          <w:rStyle w:val="Emphasis"/>
          <w:rFonts w:ascii="Segoe UI" w:hAnsi="Segoe UI" w:cs="Segoe UI"/>
          <w:color w:val="212529"/>
          <w:sz w:val="23"/>
          <w:szCs w:val="23"/>
        </w:rPr>
        <w:t>International Studies Perspectives. </w:t>
      </w:r>
      <w:r>
        <w:rPr>
          <w:rFonts w:ascii="Segoe UI" w:hAnsi="Segoe UI" w:cs="Segoe UI"/>
          <w:color w:val="212529"/>
          <w:sz w:val="23"/>
          <w:szCs w:val="23"/>
        </w:rPr>
        <w:t>August 2009, Vol. 10 Issue 3, DOI: 10.1111/j.1528-3585.</w:t>
      </w:r>
      <w:proofErr w:type="gramStart"/>
      <w:r>
        <w:rPr>
          <w:rFonts w:ascii="Segoe UI" w:hAnsi="Segoe UI" w:cs="Segoe UI"/>
          <w:color w:val="212529"/>
          <w:sz w:val="23"/>
          <w:szCs w:val="23"/>
        </w:rPr>
        <w:t>2009.00380.x</w:t>
      </w:r>
      <w:proofErr w:type="gramEnd"/>
    </w:p>
    <w:p w14:paraId="11A70927"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 </w:t>
      </w:r>
    </w:p>
    <w:p w14:paraId="5016E3F9"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 xml:space="preserve">Lee, S., Adair, W., &amp; </w:t>
      </w:r>
      <w:proofErr w:type="spellStart"/>
      <w:r>
        <w:rPr>
          <w:rFonts w:ascii="Segoe UI" w:hAnsi="Segoe UI" w:cs="Segoe UI"/>
          <w:color w:val="212529"/>
          <w:sz w:val="23"/>
          <w:szCs w:val="23"/>
        </w:rPr>
        <w:t>Seo</w:t>
      </w:r>
      <w:proofErr w:type="spellEnd"/>
      <w:r>
        <w:rPr>
          <w:rFonts w:ascii="Segoe UI" w:hAnsi="Segoe UI" w:cs="Segoe UI"/>
          <w:color w:val="212529"/>
          <w:sz w:val="23"/>
          <w:szCs w:val="23"/>
        </w:rPr>
        <w:t xml:space="preserve">, S. (2013) Cultural </w:t>
      </w:r>
      <w:proofErr w:type="spellStart"/>
      <w:r>
        <w:rPr>
          <w:rFonts w:ascii="Segoe UI" w:hAnsi="Segoe UI" w:cs="Segoe UI"/>
          <w:color w:val="212529"/>
          <w:sz w:val="23"/>
          <w:szCs w:val="23"/>
        </w:rPr>
        <w:t>Prespective</w:t>
      </w:r>
      <w:proofErr w:type="spellEnd"/>
      <w:r>
        <w:rPr>
          <w:rFonts w:ascii="Segoe UI" w:hAnsi="Segoe UI" w:cs="Segoe UI"/>
          <w:color w:val="212529"/>
          <w:sz w:val="23"/>
          <w:szCs w:val="23"/>
        </w:rPr>
        <w:t xml:space="preserve"> Taking in Cross-Cultural Negotiation </w:t>
      </w:r>
      <w:r>
        <w:rPr>
          <w:rStyle w:val="Emphasis"/>
          <w:rFonts w:ascii="Segoe UI" w:hAnsi="Segoe UI" w:cs="Segoe UI"/>
          <w:color w:val="212529"/>
          <w:sz w:val="23"/>
          <w:szCs w:val="23"/>
        </w:rPr>
        <w:t>Group Decision &amp; </w:t>
      </w:r>
      <w:r>
        <w:rPr>
          <w:rStyle w:val="Strong"/>
          <w:rFonts w:ascii="Segoe UI" w:hAnsi="Segoe UI" w:cs="Segoe UI"/>
          <w:i/>
          <w:iCs/>
          <w:color w:val="212529"/>
          <w:sz w:val="23"/>
          <w:szCs w:val="23"/>
        </w:rPr>
        <w:t>Negotiation</w:t>
      </w:r>
      <w:r>
        <w:rPr>
          <w:rStyle w:val="Emphasis"/>
          <w:rFonts w:ascii="Segoe UI" w:hAnsi="Segoe UI" w:cs="Segoe UI"/>
          <w:color w:val="212529"/>
          <w:sz w:val="23"/>
          <w:szCs w:val="23"/>
        </w:rPr>
        <w:t>. </w:t>
      </w:r>
      <w:r>
        <w:rPr>
          <w:rFonts w:ascii="Segoe UI" w:hAnsi="Segoe UI" w:cs="Segoe UI"/>
          <w:color w:val="212529"/>
          <w:sz w:val="23"/>
          <w:szCs w:val="23"/>
        </w:rPr>
        <w:t>May 2013, Vol. 22 Issue 3, p389-405.  DOI: 10.1007/s10726-011-9272-4</w:t>
      </w:r>
    </w:p>
    <w:p w14:paraId="1934BA40"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 </w:t>
      </w:r>
    </w:p>
    <w:p w14:paraId="16D9E738"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 xml:space="preserve">Ready, K. J. &amp; </w:t>
      </w:r>
      <w:proofErr w:type="spellStart"/>
      <w:r>
        <w:rPr>
          <w:rFonts w:ascii="Segoe UI" w:hAnsi="Segoe UI" w:cs="Segoe UI"/>
          <w:color w:val="212529"/>
          <w:sz w:val="23"/>
          <w:szCs w:val="23"/>
        </w:rPr>
        <w:t>Tessema</w:t>
      </w:r>
      <w:proofErr w:type="spellEnd"/>
      <w:r>
        <w:rPr>
          <w:rFonts w:ascii="Segoe UI" w:hAnsi="Segoe UI" w:cs="Segoe UI"/>
          <w:color w:val="212529"/>
          <w:sz w:val="23"/>
          <w:szCs w:val="23"/>
        </w:rPr>
        <w:t xml:space="preserve">, M. T. (2009) Perceptions </w:t>
      </w:r>
      <w:proofErr w:type="gramStart"/>
      <w:r>
        <w:rPr>
          <w:rFonts w:ascii="Segoe UI" w:hAnsi="Segoe UI" w:cs="Segoe UI"/>
          <w:color w:val="212529"/>
          <w:sz w:val="23"/>
          <w:szCs w:val="23"/>
        </w:rPr>
        <w:t>And</w:t>
      </w:r>
      <w:proofErr w:type="gramEnd"/>
      <w:r>
        <w:rPr>
          <w:rFonts w:ascii="Segoe UI" w:hAnsi="Segoe UI" w:cs="Segoe UI"/>
          <w:color w:val="212529"/>
          <w:sz w:val="23"/>
          <w:szCs w:val="23"/>
        </w:rPr>
        <w:t xml:space="preserve"> Strategies in The Negotiation Process: A Cross Cultural Examination of U.S. and Malaysia </w:t>
      </w:r>
      <w:r>
        <w:rPr>
          <w:rStyle w:val="Emphasis"/>
          <w:rFonts w:ascii="Segoe UI" w:hAnsi="Segoe UI" w:cs="Segoe UI"/>
          <w:color w:val="212529"/>
          <w:sz w:val="23"/>
          <w:szCs w:val="23"/>
        </w:rPr>
        <w:t>International </w:t>
      </w:r>
      <w:r>
        <w:rPr>
          <w:rStyle w:val="Strong"/>
          <w:rFonts w:ascii="Segoe UI" w:hAnsi="Segoe UI" w:cs="Segoe UI"/>
          <w:i/>
          <w:iCs/>
          <w:color w:val="212529"/>
          <w:sz w:val="23"/>
          <w:szCs w:val="23"/>
        </w:rPr>
        <w:t>Negotiation</w:t>
      </w:r>
      <w:r>
        <w:rPr>
          <w:rStyle w:val="Emphasis"/>
          <w:rFonts w:ascii="Segoe UI" w:hAnsi="Segoe UI" w:cs="Segoe UI"/>
          <w:color w:val="212529"/>
          <w:sz w:val="23"/>
          <w:szCs w:val="23"/>
        </w:rPr>
        <w:t>. </w:t>
      </w:r>
      <w:r>
        <w:rPr>
          <w:rFonts w:ascii="Segoe UI" w:hAnsi="Segoe UI" w:cs="Segoe UI"/>
          <w:color w:val="212529"/>
          <w:sz w:val="23"/>
          <w:szCs w:val="23"/>
        </w:rPr>
        <w:t>2009, Vol. 14 Issue 3, p493-517.  DOI: 10.1163/138234009X12481782336221</w:t>
      </w:r>
    </w:p>
    <w:p w14:paraId="40880B23"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 </w:t>
      </w:r>
    </w:p>
    <w:p w14:paraId="3E20159B"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 xml:space="preserve">Semerad, A. N. (2015) Cultural Issues </w:t>
      </w:r>
      <w:proofErr w:type="gramStart"/>
      <w:r>
        <w:rPr>
          <w:rFonts w:ascii="Segoe UI" w:hAnsi="Segoe UI" w:cs="Segoe UI"/>
          <w:color w:val="212529"/>
          <w:sz w:val="23"/>
          <w:szCs w:val="23"/>
        </w:rPr>
        <w:t>In</w:t>
      </w:r>
      <w:proofErr w:type="gramEnd"/>
      <w:r>
        <w:rPr>
          <w:rFonts w:ascii="Segoe UI" w:hAnsi="Segoe UI" w:cs="Segoe UI"/>
          <w:color w:val="212529"/>
          <w:sz w:val="23"/>
          <w:szCs w:val="23"/>
        </w:rPr>
        <w:t xml:space="preserve"> Negotiations Between An American Manager And An Arab Counterpart </w:t>
      </w:r>
      <w:r>
        <w:rPr>
          <w:rStyle w:val="Emphasis"/>
          <w:rFonts w:ascii="Segoe UI" w:hAnsi="Segoe UI" w:cs="Segoe UI"/>
          <w:color w:val="212529"/>
          <w:sz w:val="23"/>
          <w:szCs w:val="23"/>
        </w:rPr>
        <w:t>CRIS - Bulletin of the Centre for Research &amp; Interdisciplinary Study. </w:t>
      </w:r>
      <w:r>
        <w:rPr>
          <w:rFonts w:ascii="Segoe UI" w:hAnsi="Segoe UI" w:cs="Segoe UI"/>
          <w:color w:val="212529"/>
          <w:sz w:val="23"/>
          <w:szCs w:val="23"/>
        </w:rPr>
        <w:t>2015, Vol. 2015 Issue 1, p73-82.  DOI: 10.1515/cris-2015-0008</w:t>
      </w:r>
    </w:p>
    <w:p w14:paraId="6FE9B79E"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 </w:t>
      </w:r>
    </w:p>
    <w:p w14:paraId="74362035"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 xml:space="preserve">Volkova, R. J. (2011) Understanding Initiation </w:t>
      </w:r>
      <w:proofErr w:type="spellStart"/>
      <w:r>
        <w:rPr>
          <w:rFonts w:ascii="Segoe UI" w:hAnsi="Segoe UI" w:cs="Segoe UI"/>
          <w:color w:val="212529"/>
          <w:sz w:val="23"/>
          <w:szCs w:val="23"/>
        </w:rPr>
        <w:t>Behavior</w:t>
      </w:r>
      <w:proofErr w:type="spellEnd"/>
      <w:r>
        <w:rPr>
          <w:rFonts w:ascii="Segoe UI" w:hAnsi="Segoe UI" w:cs="Segoe UI"/>
          <w:color w:val="212529"/>
          <w:sz w:val="23"/>
          <w:szCs w:val="23"/>
        </w:rPr>
        <w:t xml:space="preserve"> in Chinese Negotiations: An Examination of Distinctions Across Three Regional Subcultures </w:t>
      </w:r>
      <w:r>
        <w:rPr>
          <w:rStyle w:val="Emphasis"/>
          <w:rFonts w:ascii="Segoe UI" w:hAnsi="Segoe UI" w:cs="Segoe UI"/>
          <w:color w:val="212529"/>
          <w:sz w:val="23"/>
          <w:szCs w:val="23"/>
        </w:rPr>
        <w:t>International </w:t>
      </w:r>
      <w:r>
        <w:rPr>
          <w:rStyle w:val="Strong"/>
          <w:rFonts w:ascii="Segoe UI" w:hAnsi="Segoe UI" w:cs="Segoe UI"/>
          <w:i/>
          <w:iCs/>
          <w:color w:val="212529"/>
          <w:sz w:val="23"/>
          <w:szCs w:val="23"/>
        </w:rPr>
        <w:t>Negotiation</w:t>
      </w:r>
      <w:r>
        <w:rPr>
          <w:rStyle w:val="Emphasis"/>
          <w:rFonts w:ascii="Segoe UI" w:hAnsi="Segoe UI" w:cs="Segoe UI"/>
          <w:color w:val="212529"/>
          <w:sz w:val="23"/>
          <w:szCs w:val="23"/>
        </w:rPr>
        <w:t>. </w:t>
      </w:r>
      <w:r>
        <w:rPr>
          <w:rFonts w:ascii="Segoe UI" w:hAnsi="Segoe UI" w:cs="Segoe UI"/>
          <w:color w:val="212529"/>
          <w:sz w:val="23"/>
          <w:szCs w:val="23"/>
        </w:rPr>
        <w:t>2011, Vol. 16 Issue 2, p229-248.  DOI: 10.1163/138234011X573020</w:t>
      </w:r>
    </w:p>
    <w:p w14:paraId="5B7E7C2D"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 </w:t>
      </w:r>
    </w:p>
    <w:p w14:paraId="1E6EABFB" w14:textId="77777777" w:rsidR="006E290F" w:rsidRDefault="006E290F" w:rsidP="006E290F">
      <w:pPr>
        <w:pStyle w:val="NormalWeb"/>
        <w:shd w:val="clear" w:color="auto" w:fill="FFFFFF"/>
        <w:spacing w:before="0" w:beforeAutospacing="0"/>
        <w:rPr>
          <w:rFonts w:ascii="Segoe UI" w:hAnsi="Segoe UI" w:cs="Segoe UI"/>
          <w:color w:val="212529"/>
          <w:sz w:val="23"/>
          <w:szCs w:val="23"/>
        </w:rPr>
      </w:pPr>
      <w:r>
        <w:rPr>
          <w:rFonts w:ascii="Segoe UI" w:hAnsi="Segoe UI" w:cs="Segoe UI"/>
          <w:color w:val="212529"/>
          <w:sz w:val="23"/>
          <w:szCs w:val="23"/>
        </w:rPr>
        <w:t>Yukl, G., Ping F. P., &amp; McDonald, R. (2003) Cross-Cultural Differences in Perceived Effectiveness of Influence Tactics for Initiating or Resisting Change </w:t>
      </w:r>
      <w:r>
        <w:rPr>
          <w:rStyle w:val="Emphasis"/>
          <w:rFonts w:ascii="Segoe UI" w:hAnsi="Segoe UI" w:cs="Segoe UI"/>
          <w:color w:val="212529"/>
          <w:sz w:val="23"/>
          <w:szCs w:val="23"/>
        </w:rPr>
        <w:t>Applied Psychology: An International Review. </w:t>
      </w:r>
      <w:r>
        <w:rPr>
          <w:rFonts w:ascii="Segoe UI" w:hAnsi="Segoe UI" w:cs="Segoe UI"/>
          <w:color w:val="212529"/>
          <w:sz w:val="23"/>
          <w:szCs w:val="23"/>
        </w:rPr>
        <w:t>January 2003, Vol. 52 Issue 1, p68-82.  DOI: 10.1111/1464-0597.00124  </w:t>
      </w:r>
    </w:p>
    <w:p w14:paraId="008BA60C" w14:textId="77777777" w:rsidR="002D04DF" w:rsidRDefault="002D04DF" w:rsidP="006E290F">
      <w:pPr>
        <w:shd w:val="clear" w:color="auto" w:fill="FFFFFF"/>
        <w:spacing w:after="100" w:afterAutospacing="1" w:line="240" w:lineRule="auto"/>
      </w:pPr>
    </w:p>
    <w:sectPr w:rsidR="002D04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4DF"/>
    <w:rsid w:val="002D04DF"/>
    <w:rsid w:val="004D61B9"/>
    <w:rsid w:val="004E54F7"/>
    <w:rsid w:val="0058756E"/>
    <w:rsid w:val="006E290F"/>
    <w:rsid w:val="00F8470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1E547"/>
  <w15:chartTrackingRefBased/>
  <w15:docId w15:val="{C0479E8F-A526-4880-A9BE-919B75AA3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D04D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2D04DF"/>
    <w:rPr>
      <w:i/>
      <w:iCs/>
    </w:rPr>
  </w:style>
  <w:style w:type="character" w:styleId="Hyperlink">
    <w:name w:val="Hyperlink"/>
    <w:basedOn w:val="DefaultParagraphFont"/>
    <w:uiPriority w:val="99"/>
    <w:semiHidden/>
    <w:unhideWhenUsed/>
    <w:rsid w:val="004D61B9"/>
    <w:rPr>
      <w:color w:val="0000FF"/>
      <w:u w:val="single"/>
    </w:rPr>
  </w:style>
  <w:style w:type="character" w:styleId="Strong">
    <w:name w:val="Strong"/>
    <w:basedOn w:val="DefaultParagraphFont"/>
    <w:uiPriority w:val="22"/>
    <w:qFormat/>
    <w:rsid w:val="006E29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936886">
      <w:bodyDiv w:val="1"/>
      <w:marLeft w:val="0"/>
      <w:marRight w:val="0"/>
      <w:marTop w:val="0"/>
      <w:marBottom w:val="0"/>
      <w:divBdr>
        <w:top w:val="none" w:sz="0" w:space="0" w:color="auto"/>
        <w:left w:val="none" w:sz="0" w:space="0" w:color="auto"/>
        <w:bottom w:val="none" w:sz="0" w:space="0" w:color="auto"/>
        <w:right w:val="none" w:sz="0" w:space="0" w:color="auto"/>
      </w:divBdr>
    </w:div>
    <w:div w:id="278731986">
      <w:bodyDiv w:val="1"/>
      <w:marLeft w:val="0"/>
      <w:marRight w:val="0"/>
      <w:marTop w:val="0"/>
      <w:marBottom w:val="0"/>
      <w:divBdr>
        <w:top w:val="none" w:sz="0" w:space="0" w:color="auto"/>
        <w:left w:val="none" w:sz="0" w:space="0" w:color="auto"/>
        <w:bottom w:val="none" w:sz="0" w:space="0" w:color="auto"/>
        <w:right w:val="none" w:sz="0" w:space="0" w:color="auto"/>
      </w:divBdr>
    </w:div>
    <w:div w:id="895699560">
      <w:bodyDiv w:val="1"/>
      <w:marLeft w:val="0"/>
      <w:marRight w:val="0"/>
      <w:marTop w:val="0"/>
      <w:marBottom w:val="0"/>
      <w:divBdr>
        <w:top w:val="none" w:sz="0" w:space="0" w:color="auto"/>
        <w:left w:val="none" w:sz="0" w:space="0" w:color="auto"/>
        <w:bottom w:val="none" w:sz="0" w:space="0" w:color="auto"/>
        <w:right w:val="none" w:sz="0" w:space="0" w:color="auto"/>
      </w:divBdr>
    </w:div>
    <w:div w:id="1300572265">
      <w:bodyDiv w:val="1"/>
      <w:marLeft w:val="0"/>
      <w:marRight w:val="0"/>
      <w:marTop w:val="0"/>
      <w:marBottom w:val="0"/>
      <w:divBdr>
        <w:top w:val="none" w:sz="0" w:space="0" w:color="auto"/>
        <w:left w:val="none" w:sz="0" w:space="0" w:color="auto"/>
        <w:bottom w:val="none" w:sz="0" w:space="0" w:color="auto"/>
        <w:right w:val="none" w:sz="0" w:space="0" w:color="auto"/>
      </w:divBdr>
    </w:div>
    <w:div w:id="1375500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727</Words>
  <Characters>4149</Characters>
  <Application>Microsoft Office Word</Application>
  <DocSecurity>0</DocSecurity>
  <Lines>34</Lines>
  <Paragraphs>9</Paragraphs>
  <ScaleCrop>false</ScaleCrop>
  <Company/>
  <LinksUpToDate>false</LinksUpToDate>
  <CharactersWithSpaces>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nitesh agrawal</dc:creator>
  <cp:keywords/>
  <dc:description/>
  <cp:lastModifiedBy>nitesh agrawal</cp:lastModifiedBy>
  <cp:revision>2</cp:revision>
  <dcterms:created xsi:type="dcterms:W3CDTF">2022-03-02T16:54:00Z</dcterms:created>
  <dcterms:modified xsi:type="dcterms:W3CDTF">2022-03-02T16:54:00Z</dcterms:modified>
</cp:coreProperties>
</file>