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3B6CF42" w14:textId="77777777" w:rsidR="00413715" w:rsidRPr="00CB19D1" w:rsidRDefault="00413715" w:rsidP="00CB19D1">
      <w:pPr>
        <w:spacing w:line="480" w:lineRule="auto"/>
        <w:rPr>
          <w:rFonts w:ascii="Times New Roman" w:hAnsi="Times New Roman" w:cs="Times New Roman"/>
          <w:sz w:val="24"/>
          <w:szCs w:val="24"/>
          <w:shd w:val="clear" w:color="auto" w:fill="FFFFFF"/>
        </w:rPr>
      </w:pPr>
      <w:bookmarkStart w:id="0" w:name="_GoBack"/>
      <w:bookmarkEnd w:id="0"/>
    </w:p>
    <w:p w14:paraId="32CD2B23" w14:textId="77777777" w:rsidR="00413715" w:rsidRPr="00CB19D1" w:rsidRDefault="00413715" w:rsidP="00CB19D1">
      <w:pPr>
        <w:spacing w:line="480" w:lineRule="auto"/>
        <w:rPr>
          <w:rFonts w:ascii="Times New Roman" w:hAnsi="Times New Roman" w:cs="Times New Roman"/>
          <w:sz w:val="24"/>
          <w:szCs w:val="24"/>
          <w:shd w:val="clear" w:color="auto" w:fill="FFFFFF"/>
        </w:rPr>
      </w:pPr>
    </w:p>
    <w:p w14:paraId="0E7432C8" w14:textId="77777777" w:rsidR="00413715" w:rsidRPr="00CB19D1" w:rsidRDefault="00413715" w:rsidP="00CB19D1">
      <w:pPr>
        <w:spacing w:line="480" w:lineRule="auto"/>
        <w:rPr>
          <w:rFonts w:ascii="Times New Roman" w:hAnsi="Times New Roman" w:cs="Times New Roman"/>
          <w:sz w:val="24"/>
          <w:szCs w:val="24"/>
          <w:shd w:val="clear" w:color="auto" w:fill="FFFFFF"/>
        </w:rPr>
      </w:pPr>
    </w:p>
    <w:p w14:paraId="1961CD95" w14:textId="4133D185" w:rsidR="00413715" w:rsidRPr="00CB19D1" w:rsidRDefault="00413715" w:rsidP="00CB19D1">
      <w:pPr>
        <w:spacing w:line="480" w:lineRule="auto"/>
        <w:jc w:val="center"/>
        <w:rPr>
          <w:rFonts w:ascii="Times New Roman" w:hAnsi="Times New Roman" w:cs="Times New Roman"/>
          <w:b/>
          <w:bCs/>
          <w:sz w:val="24"/>
          <w:szCs w:val="24"/>
          <w:shd w:val="clear" w:color="auto" w:fill="FFFFFF"/>
        </w:rPr>
      </w:pPr>
      <w:r w:rsidRPr="00CB19D1">
        <w:rPr>
          <w:rFonts w:ascii="Times New Roman" w:hAnsi="Times New Roman" w:cs="Times New Roman"/>
          <w:b/>
          <w:bCs/>
          <w:sz w:val="24"/>
          <w:szCs w:val="24"/>
          <w:shd w:val="clear" w:color="auto" w:fill="FFFFFF"/>
        </w:rPr>
        <w:t>The Implication of Aging Workforce in Canada</w:t>
      </w:r>
    </w:p>
    <w:p w14:paraId="7BF9C08B" w14:textId="375C7D8C" w:rsidR="00413715" w:rsidRPr="00CB19D1" w:rsidRDefault="00413715" w:rsidP="00CB19D1">
      <w:pPr>
        <w:spacing w:line="480" w:lineRule="auto"/>
        <w:jc w:val="center"/>
        <w:rPr>
          <w:rFonts w:ascii="Times New Roman" w:hAnsi="Times New Roman" w:cs="Times New Roman"/>
          <w:sz w:val="24"/>
          <w:szCs w:val="24"/>
          <w:shd w:val="clear" w:color="auto" w:fill="FFFFFF"/>
        </w:rPr>
      </w:pPr>
    </w:p>
    <w:p w14:paraId="724930CF" w14:textId="09AEBBE7" w:rsidR="00413715" w:rsidRPr="00CB19D1" w:rsidRDefault="00413715" w:rsidP="00CB19D1">
      <w:pPr>
        <w:spacing w:line="480" w:lineRule="auto"/>
        <w:jc w:val="center"/>
        <w:rPr>
          <w:rFonts w:ascii="Times New Roman" w:hAnsi="Times New Roman" w:cs="Times New Roman"/>
          <w:sz w:val="24"/>
          <w:szCs w:val="24"/>
          <w:shd w:val="clear" w:color="auto" w:fill="FFFFFF"/>
        </w:rPr>
      </w:pPr>
      <w:r w:rsidRPr="00CB19D1">
        <w:rPr>
          <w:rFonts w:ascii="Times New Roman" w:hAnsi="Times New Roman" w:cs="Times New Roman"/>
          <w:sz w:val="24"/>
          <w:szCs w:val="24"/>
          <w:shd w:val="clear" w:color="auto" w:fill="FFFFFF"/>
        </w:rPr>
        <w:t>Student</w:t>
      </w:r>
      <w:r w:rsidR="00CB19D1" w:rsidRPr="00CB19D1">
        <w:rPr>
          <w:rFonts w:ascii="Times New Roman" w:hAnsi="Times New Roman" w:cs="Times New Roman"/>
          <w:sz w:val="24"/>
          <w:szCs w:val="24"/>
          <w:shd w:val="clear" w:color="auto" w:fill="FFFFFF"/>
        </w:rPr>
        <w:t>'</w:t>
      </w:r>
      <w:r w:rsidRPr="00CB19D1">
        <w:rPr>
          <w:rFonts w:ascii="Times New Roman" w:hAnsi="Times New Roman" w:cs="Times New Roman"/>
          <w:sz w:val="24"/>
          <w:szCs w:val="24"/>
          <w:shd w:val="clear" w:color="auto" w:fill="FFFFFF"/>
        </w:rPr>
        <w:t xml:space="preserve">s Name </w:t>
      </w:r>
    </w:p>
    <w:p w14:paraId="6FDD408C" w14:textId="2E471855" w:rsidR="00413715" w:rsidRPr="00CB19D1" w:rsidRDefault="00413715" w:rsidP="00CB19D1">
      <w:pPr>
        <w:spacing w:line="480" w:lineRule="auto"/>
        <w:jc w:val="center"/>
        <w:rPr>
          <w:rFonts w:ascii="Times New Roman" w:hAnsi="Times New Roman" w:cs="Times New Roman"/>
          <w:sz w:val="24"/>
          <w:szCs w:val="24"/>
          <w:shd w:val="clear" w:color="auto" w:fill="FFFFFF"/>
        </w:rPr>
      </w:pPr>
      <w:r w:rsidRPr="00CB19D1">
        <w:rPr>
          <w:rFonts w:ascii="Times New Roman" w:hAnsi="Times New Roman" w:cs="Times New Roman"/>
          <w:sz w:val="24"/>
          <w:szCs w:val="24"/>
          <w:shd w:val="clear" w:color="auto" w:fill="FFFFFF"/>
        </w:rPr>
        <w:t xml:space="preserve">Institutional Affiliation </w:t>
      </w:r>
    </w:p>
    <w:p w14:paraId="787D4845" w14:textId="6A461392" w:rsidR="00413715" w:rsidRPr="00CB19D1" w:rsidRDefault="00413715" w:rsidP="00CB19D1">
      <w:pPr>
        <w:spacing w:line="480" w:lineRule="auto"/>
        <w:jc w:val="center"/>
        <w:rPr>
          <w:rFonts w:ascii="Times New Roman" w:hAnsi="Times New Roman" w:cs="Times New Roman"/>
          <w:sz w:val="24"/>
          <w:szCs w:val="24"/>
          <w:shd w:val="clear" w:color="auto" w:fill="FFFFFF"/>
        </w:rPr>
      </w:pPr>
      <w:r w:rsidRPr="00CB19D1">
        <w:rPr>
          <w:rFonts w:ascii="Times New Roman" w:hAnsi="Times New Roman" w:cs="Times New Roman"/>
          <w:sz w:val="24"/>
          <w:szCs w:val="24"/>
          <w:shd w:val="clear" w:color="auto" w:fill="FFFFFF"/>
        </w:rPr>
        <w:t>Course Number/Name</w:t>
      </w:r>
    </w:p>
    <w:p w14:paraId="1D69B211" w14:textId="1BF5AA10" w:rsidR="00413715" w:rsidRPr="00CB19D1" w:rsidRDefault="00413715" w:rsidP="00CB19D1">
      <w:pPr>
        <w:spacing w:line="480" w:lineRule="auto"/>
        <w:jc w:val="center"/>
        <w:rPr>
          <w:rFonts w:ascii="Times New Roman" w:hAnsi="Times New Roman" w:cs="Times New Roman"/>
          <w:sz w:val="24"/>
          <w:szCs w:val="24"/>
          <w:shd w:val="clear" w:color="auto" w:fill="FFFFFF"/>
        </w:rPr>
      </w:pPr>
      <w:r w:rsidRPr="00CB19D1">
        <w:rPr>
          <w:rFonts w:ascii="Times New Roman" w:hAnsi="Times New Roman" w:cs="Times New Roman"/>
          <w:sz w:val="24"/>
          <w:szCs w:val="24"/>
          <w:shd w:val="clear" w:color="auto" w:fill="FFFFFF"/>
        </w:rPr>
        <w:t>Date</w:t>
      </w:r>
    </w:p>
    <w:p w14:paraId="3A89E388" w14:textId="56EAA954" w:rsidR="00FD757D" w:rsidRPr="00CB19D1" w:rsidRDefault="00FD757D" w:rsidP="00CB19D1">
      <w:pPr>
        <w:spacing w:line="480" w:lineRule="auto"/>
        <w:jc w:val="center"/>
        <w:rPr>
          <w:rFonts w:ascii="Times New Roman" w:hAnsi="Times New Roman" w:cs="Times New Roman"/>
          <w:sz w:val="24"/>
          <w:szCs w:val="24"/>
          <w:shd w:val="clear" w:color="auto" w:fill="FFFFFF"/>
        </w:rPr>
      </w:pPr>
    </w:p>
    <w:p w14:paraId="036EDBF4" w14:textId="4EF8CA59" w:rsidR="00FD757D" w:rsidRPr="00CB19D1" w:rsidRDefault="00FD757D" w:rsidP="00CB19D1">
      <w:pPr>
        <w:spacing w:line="480" w:lineRule="auto"/>
        <w:jc w:val="center"/>
        <w:rPr>
          <w:rFonts w:ascii="Times New Roman" w:hAnsi="Times New Roman" w:cs="Times New Roman"/>
          <w:sz w:val="24"/>
          <w:szCs w:val="24"/>
          <w:shd w:val="clear" w:color="auto" w:fill="FFFFFF"/>
        </w:rPr>
      </w:pPr>
    </w:p>
    <w:p w14:paraId="3977A6B4" w14:textId="3E431039" w:rsidR="00FD757D" w:rsidRPr="00CB19D1" w:rsidRDefault="00FD757D" w:rsidP="00CB19D1">
      <w:pPr>
        <w:spacing w:line="480" w:lineRule="auto"/>
        <w:jc w:val="center"/>
        <w:rPr>
          <w:rFonts w:ascii="Times New Roman" w:hAnsi="Times New Roman" w:cs="Times New Roman"/>
          <w:sz w:val="24"/>
          <w:szCs w:val="24"/>
          <w:shd w:val="clear" w:color="auto" w:fill="FFFFFF"/>
        </w:rPr>
      </w:pPr>
    </w:p>
    <w:p w14:paraId="2DD22377" w14:textId="71A74E04" w:rsidR="00FD757D" w:rsidRPr="00CB19D1" w:rsidRDefault="00FD757D" w:rsidP="00CB19D1">
      <w:pPr>
        <w:spacing w:line="480" w:lineRule="auto"/>
        <w:jc w:val="center"/>
        <w:rPr>
          <w:rFonts w:ascii="Times New Roman" w:hAnsi="Times New Roman" w:cs="Times New Roman"/>
          <w:sz w:val="24"/>
          <w:szCs w:val="24"/>
          <w:shd w:val="clear" w:color="auto" w:fill="FFFFFF"/>
        </w:rPr>
      </w:pPr>
    </w:p>
    <w:p w14:paraId="02F285C1" w14:textId="67C6208F" w:rsidR="00FD757D" w:rsidRDefault="00FD757D" w:rsidP="00CB19D1">
      <w:pPr>
        <w:spacing w:line="480" w:lineRule="auto"/>
        <w:rPr>
          <w:rFonts w:ascii="Times New Roman" w:hAnsi="Times New Roman" w:cs="Times New Roman"/>
          <w:sz w:val="24"/>
          <w:szCs w:val="24"/>
          <w:shd w:val="clear" w:color="auto" w:fill="FFFFFF"/>
        </w:rPr>
      </w:pPr>
    </w:p>
    <w:p w14:paraId="36DC0C0E" w14:textId="32C74376" w:rsidR="00CB19D1" w:rsidRDefault="00CB19D1" w:rsidP="00CB19D1">
      <w:pPr>
        <w:spacing w:line="480" w:lineRule="auto"/>
        <w:rPr>
          <w:rFonts w:ascii="Times New Roman" w:hAnsi="Times New Roman" w:cs="Times New Roman"/>
          <w:sz w:val="24"/>
          <w:szCs w:val="24"/>
          <w:shd w:val="clear" w:color="auto" w:fill="FFFFFF"/>
        </w:rPr>
      </w:pPr>
    </w:p>
    <w:p w14:paraId="2173DF8F" w14:textId="77777777" w:rsidR="00CB19D1" w:rsidRPr="00CB19D1" w:rsidRDefault="00CB19D1" w:rsidP="00CB19D1">
      <w:pPr>
        <w:spacing w:line="480" w:lineRule="auto"/>
        <w:rPr>
          <w:rFonts w:ascii="Times New Roman" w:hAnsi="Times New Roman" w:cs="Times New Roman"/>
          <w:sz w:val="24"/>
          <w:szCs w:val="24"/>
          <w:shd w:val="clear" w:color="auto" w:fill="FFFFFF"/>
        </w:rPr>
      </w:pPr>
    </w:p>
    <w:p w14:paraId="3D3B70C2" w14:textId="2C618577" w:rsidR="00FD757D" w:rsidRPr="00CB19D1" w:rsidRDefault="00FD757D" w:rsidP="00CB19D1">
      <w:pPr>
        <w:spacing w:line="480" w:lineRule="auto"/>
        <w:jc w:val="center"/>
        <w:rPr>
          <w:rFonts w:ascii="Times New Roman" w:hAnsi="Times New Roman" w:cs="Times New Roman"/>
          <w:sz w:val="24"/>
          <w:szCs w:val="24"/>
          <w:shd w:val="clear" w:color="auto" w:fill="FFFFFF"/>
        </w:rPr>
      </w:pPr>
    </w:p>
    <w:p w14:paraId="30BD7188" w14:textId="6EB92D0B" w:rsidR="00FD757D" w:rsidRPr="00CB19D1" w:rsidRDefault="00FD757D" w:rsidP="00CB19D1">
      <w:pPr>
        <w:spacing w:line="480" w:lineRule="auto"/>
        <w:jc w:val="center"/>
        <w:rPr>
          <w:rFonts w:ascii="Times New Roman" w:hAnsi="Times New Roman" w:cs="Times New Roman"/>
          <w:sz w:val="24"/>
          <w:szCs w:val="24"/>
          <w:shd w:val="clear" w:color="auto" w:fill="FFFFFF"/>
        </w:rPr>
      </w:pPr>
    </w:p>
    <w:p w14:paraId="5101F981" w14:textId="755434AE" w:rsidR="00FD757D" w:rsidRPr="00CB19D1" w:rsidRDefault="007505DA" w:rsidP="00CB19D1">
      <w:pPr>
        <w:spacing w:line="480" w:lineRule="auto"/>
        <w:jc w:val="center"/>
        <w:rPr>
          <w:rFonts w:ascii="Times New Roman" w:hAnsi="Times New Roman" w:cs="Times New Roman"/>
          <w:sz w:val="24"/>
          <w:szCs w:val="24"/>
          <w:shd w:val="clear" w:color="auto" w:fill="FFFFFF"/>
        </w:rPr>
      </w:pPr>
      <w:r w:rsidRPr="00CB19D1">
        <w:rPr>
          <w:rFonts w:ascii="Times New Roman" w:hAnsi="Times New Roman" w:cs="Times New Roman"/>
          <w:sz w:val="24"/>
          <w:szCs w:val="24"/>
          <w:shd w:val="clear" w:color="auto" w:fill="FFFFFF"/>
        </w:rPr>
        <w:lastRenderedPageBreak/>
        <w:t>Introduction</w:t>
      </w:r>
    </w:p>
    <w:p w14:paraId="016281CE" w14:textId="595AA9B7" w:rsidR="004F7110" w:rsidRPr="00CB19D1" w:rsidRDefault="004F7110" w:rsidP="00CB19D1">
      <w:pPr>
        <w:pStyle w:val="NormalWeb"/>
        <w:shd w:val="clear" w:color="auto" w:fill="FFFFFF"/>
        <w:spacing w:after="0" w:line="480" w:lineRule="auto"/>
        <w:ind w:firstLine="720"/>
        <w:jc w:val="both"/>
      </w:pPr>
      <w:r w:rsidRPr="00CB19D1">
        <w:t>For some time now, there's been a steadily decreasing overall percentage of the working-age population who are either employed or jobless (aged 15 and older). The lowest yearly rate in 17 years was 65.7 per</w:t>
      </w:r>
      <w:r w:rsidR="00CB19D1" w:rsidRPr="00CB19D1">
        <w:t xml:space="preserve"> </w:t>
      </w:r>
      <w:r w:rsidRPr="00CB19D1">
        <w:t xml:space="preserve">cent in 2016. </w:t>
      </w:r>
      <w:r w:rsidR="00101B6E" w:rsidRPr="00CB19D1">
        <w:t xml:space="preserve">In the years leading up to the 2008/2009 recession, the rate of Canadians taking part in the workforce fell by around 2 percentage points. Between 2007 and 2016, the number of </w:t>
      </w:r>
      <w:r w:rsidR="00CB19D1" w:rsidRPr="00CB19D1">
        <w:t>working-age persons</w:t>
      </w:r>
      <w:r w:rsidR="00101B6E" w:rsidRPr="00CB19D1">
        <w:t xml:space="preserve"> climbed by 3.1 million, while only 1.6 million additional people entered the workforce.</w:t>
      </w:r>
    </w:p>
    <w:p w14:paraId="3B1A7B4D" w14:textId="235CA015" w:rsidR="004F7110" w:rsidRPr="00CB19D1" w:rsidRDefault="004F7110" w:rsidP="00CB19D1">
      <w:pPr>
        <w:pStyle w:val="NormalWeb"/>
        <w:shd w:val="clear" w:color="auto" w:fill="FFFFFF"/>
        <w:spacing w:after="0" w:line="480" w:lineRule="auto"/>
        <w:ind w:firstLine="720"/>
        <w:jc w:val="both"/>
      </w:pPr>
      <w:r w:rsidRPr="00CB19D1">
        <w:t xml:space="preserve">At the same time, the number of senior citizens in Canada has increased at a rate never before seen since the early 2000s. </w:t>
      </w:r>
      <w:r w:rsidR="00101B6E" w:rsidRPr="00CB19D1">
        <w:t>Increased life expectancy and a decrease in fertility rates have led to an increase in the average age of the population and an increase in the proportion of persons 55 and older</w:t>
      </w:r>
      <w:r w:rsidR="00CB19D1" w:rsidRPr="00CB19D1">
        <w:t xml:space="preserve"> </w:t>
      </w:r>
      <w:r w:rsidR="00CB19D1" w:rsidRPr="00CB19D1">
        <w:fldChar w:fldCharType="begin"/>
      </w:r>
      <w:r w:rsidR="00CB19D1" w:rsidRPr="00CB19D1">
        <w:instrText xml:space="preserve"> ADDIN ZOTERO_ITEM CSL_CITATION {"citationID":"c2HE3jG4","properties":{"formattedCitation":"(McDaniel et al., 2015)","plainCitation":"(McDaniel et al., 2015)","noteIndex":0},"citationItems":[{"id":419,"uris":["http://zotero.org/users/local/fXyKz57Q/items/PI5NB7TT"],"uri":["http://zotero.org/users/local/fXyKz57Q/items/PI5NB7TT"],"itemData":{"id":419,"type":"article-journal","abstract":"The aging workforce poses perplexing policy challenges, even in Canada, which is demographically young among comparable countries. We ask what the evidence shows about whether there are, or will be, labour or skills shortages as the workforce ages. Highlighting the challenges of measuring labour/skills shortages, we explore peer-reviewed research in the 2000–2013 period. No evidence is found of a national labour shortage in the foreseeable future. In fact, the workforce is predicted to grow for the coming two decades with less shrinkage than in the past as a result of retirements. Regional and occupational shortages occur at times, as well as underutilized skills.","container-title":"Canadian Public Policy","DOI":"10.3138/cpp.2014-057","ISSN":"0317-0861","issue":"2","note":"publisher: University of Toronto Press","page":"97-108","source":"utpjournals.press (Atypon)","title":"An Aging Workforce and the Future Labour Market in Canada","volume":"41","author":[{"family":"McDaniel","given":"Susan A."},{"family":"Wong","given":"Lloyd L."},{"family":"Watt","given":"Bonnie"}],"issued":{"date-parts":[["2015",6]]}}}],"schema":"https://github.com/citation-style-language/schema/raw/master/csl-citation.json"} </w:instrText>
      </w:r>
      <w:r w:rsidR="00CB19D1" w:rsidRPr="00CB19D1">
        <w:fldChar w:fldCharType="separate"/>
      </w:r>
      <w:r w:rsidR="00CB19D1" w:rsidRPr="00CB19D1">
        <w:t>(McDaniel et al., 2015)</w:t>
      </w:r>
      <w:r w:rsidR="00CB19D1" w:rsidRPr="00CB19D1">
        <w:fldChar w:fldCharType="end"/>
      </w:r>
      <w:r w:rsidR="00101B6E" w:rsidRPr="00CB19D1">
        <w:t>. Because of the ag</w:t>
      </w:r>
      <w:r w:rsidR="00CB19D1" w:rsidRPr="00CB19D1">
        <w:t>e</w:t>
      </w:r>
      <w:r w:rsidR="00101B6E" w:rsidRPr="00CB19D1">
        <w:t xml:space="preserve">ing of the baby boomer generation, the number of persons aged 55 and older has risen recently. People born between 1946 and 1965, when birth rates increased year after year following World War II, comprise this generation. </w:t>
      </w:r>
      <w:r w:rsidRPr="00CB19D1">
        <w:t>From 51 to 70 years of age, this group was in the group in 2016.</w:t>
      </w:r>
    </w:p>
    <w:p w14:paraId="3995E99D" w14:textId="5F059EF1" w:rsidR="00101B6E" w:rsidRPr="00CB19D1" w:rsidRDefault="004F7110" w:rsidP="00CB19D1">
      <w:pPr>
        <w:pStyle w:val="NormalWeb"/>
        <w:shd w:val="clear" w:color="auto" w:fill="FFFFFF"/>
        <w:spacing w:after="0" w:line="480" w:lineRule="auto"/>
        <w:ind w:firstLine="720"/>
        <w:jc w:val="both"/>
      </w:pPr>
      <w:r w:rsidRPr="00CB19D1">
        <w:t>There are ramifications for the labo</w:t>
      </w:r>
      <w:r w:rsidR="00CB19D1" w:rsidRPr="00CB19D1">
        <w:t>u</w:t>
      </w:r>
      <w:r w:rsidRPr="00CB19D1">
        <w:t>r market in population shifts caused by the ag</w:t>
      </w:r>
      <w:r w:rsidR="00CB19D1" w:rsidRPr="00CB19D1">
        <w:t>e</w:t>
      </w:r>
      <w:r w:rsidRPr="00CB19D1">
        <w:t xml:space="preserve">ing population. As the proportion of elderly Canadians grows, the Canadian economy is likely to suffer long periods of stagnant development </w:t>
      </w:r>
      <w:r w:rsidR="00CB19D1" w:rsidRPr="00CB19D1">
        <w:t>due to</w:t>
      </w:r>
      <w:r w:rsidRPr="00CB19D1">
        <w:t xml:space="preserve"> the lack of growth in the population of younger Canadians</w:t>
      </w:r>
      <w:r w:rsidR="00CB19D1" w:rsidRPr="00CB19D1">
        <w:t xml:space="preserve"> </w:t>
      </w:r>
      <w:r w:rsidR="00CB19D1" w:rsidRPr="00CB19D1">
        <w:fldChar w:fldCharType="begin"/>
      </w:r>
      <w:r w:rsidR="00CB19D1" w:rsidRPr="00CB19D1">
        <w:instrText xml:space="preserve"> ADDIN ZOTERO_ITEM CSL_CITATION {"citationID":"2TCkJFai","properties":{"formattedCitation":"(Fields et al., 2017)","plainCitation":"(Fields et al., 2017)","noteIndex":0},"citationItems":[{"id":418,"uris":["http://zotero.org/users/local/fXyKz57Q/items/NZB7JBSI"],"uri":["http://zotero.org/users/local/fXyKz57Q/items/NZB7JBSI"],"itemData":{"id":418,"type":"webpage","abstract":"Since 2007—prior to the economic downturn of 2008/2009—the overall labour force participation of Canadians declined by about two percentage points. The first part of the study investigates the extent to which aging affected changes in labour market participation rates since 2007, based on data from the Labour Force Survey (LFS). In the second part, the reasons behind the increase in the participation rates of Canadians aged 55 and over, which have been trending upwards since 1996, are explored.","language":"eng","note":"Last Modified: 2017-06-14","title":"The impact of aging on labour market participation rates","URL":"https://www150.statcan.gc.ca/n1/pub/75-006-x/2017001/article/14826-eng.htm","author":[{"family":"Fields","given":"Andrew"},{"family":"Uppal","given":"Sharanjit"},{"family":"LaRochelle-Côté","given":"Sébastien"}],"accessed":{"date-parts":[["2022",3,13]]},"issued":{"date-parts":[["2017",6,14]]}}}],"schema":"https://github.com/citation-style-language/schema/raw/master/csl-citation.json"} </w:instrText>
      </w:r>
      <w:r w:rsidR="00CB19D1" w:rsidRPr="00CB19D1">
        <w:fldChar w:fldCharType="separate"/>
      </w:r>
      <w:r w:rsidR="00CB19D1" w:rsidRPr="00CB19D1">
        <w:t>(Fields et al., 2017)</w:t>
      </w:r>
      <w:r w:rsidR="00CB19D1" w:rsidRPr="00CB19D1">
        <w:fldChar w:fldCharType="end"/>
      </w:r>
      <w:r w:rsidRPr="00CB19D1">
        <w:t xml:space="preserve">. Furthermore, government services like health care and Old-Age Security must </w:t>
      </w:r>
      <w:r w:rsidR="00CB19D1" w:rsidRPr="00CB19D1">
        <w:t>assist</w:t>
      </w:r>
      <w:r w:rsidRPr="00CB19D1">
        <w:t xml:space="preserve"> an ag</w:t>
      </w:r>
      <w:r w:rsidR="00CB19D1" w:rsidRPr="00CB19D1">
        <w:t>e</w:t>
      </w:r>
      <w:r w:rsidRPr="00CB19D1">
        <w:t>ing population. At the same time, a decrease in the proportion of people in their prime working years might lead to a reduction in the tax base. In addition, an older workforce may provide obstacles for companies, including shorter work hours, health concerns, and labo</w:t>
      </w:r>
      <w:r w:rsidR="00CB19D1" w:rsidRPr="00CB19D1">
        <w:t>u</w:t>
      </w:r>
      <w:r w:rsidRPr="00CB19D1">
        <w:t>r shortages.</w:t>
      </w:r>
      <w:r w:rsidR="00CB19D1" w:rsidRPr="00CB19D1">
        <w:t xml:space="preserve"> </w:t>
      </w:r>
      <w:r w:rsidR="00101B6E" w:rsidRPr="00CB19D1">
        <w:t xml:space="preserve">Even while participation rates for individuals 55 and older have increased, </w:t>
      </w:r>
      <w:r w:rsidR="00101B6E" w:rsidRPr="00CB19D1">
        <w:lastRenderedPageBreak/>
        <w:t>it will not be enough to overcome the decline in core-age</w:t>
      </w:r>
      <w:r w:rsidR="00CB19D1" w:rsidRPr="00CB19D1">
        <w:t>,</w:t>
      </w:r>
      <w:r w:rsidR="00101B6E" w:rsidRPr="00CB19D1">
        <w:t xml:space="preserve"> and juvenile populations, whose participation rates are substantially higher than those for those 55 and older</w:t>
      </w:r>
      <w:r w:rsidR="00CB19D1" w:rsidRPr="00CB19D1">
        <w:t xml:space="preserve"> </w:t>
      </w:r>
      <w:r w:rsidR="00CB19D1" w:rsidRPr="00CB19D1">
        <w:fldChar w:fldCharType="begin"/>
      </w:r>
      <w:r w:rsidR="00CB19D1" w:rsidRPr="00CB19D1">
        <w:instrText xml:space="preserve"> ADDIN ZOTERO_ITEM CSL_CITATION {"citationID":"6jUzdytL","properties":{"formattedCitation":"(McDaniel et al., 2015)","plainCitation":"(McDaniel et al., 2015)","noteIndex":0},"citationItems":[{"id":419,"uris":["http://zotero.org/users/local/fXyKz57Q/items/PI5NB7TT"],"uri":["http://zotero.org/users/local/fXyKz57Q/items/PI5NB7TT"],"itemData":{"id":419,"type":"article-journal","abstract":"The aging workforce poses perplexing policy challenges, even in Canada, which is demographically young among comparable countries. We ask what the evidence shows about whether there are, or will be, labour or skills shortages as the workforce ages. Highlighting the challenges of measuring labour/skills shortages, we explore peer-reviewed research in the 2000–2013 period. No evidence is found of a national labour shortage in the foreseeable future. In fact, the workforce is predicted to grow for the coming two decades with less shrinkage than in the past as a result of retirements. Regional and occupational shortages occur at times, as well as underutilized skills.","container-title":"Canadian Public Policy","DOI":"10.3138/cpp.2014-057","ISSN":"0317-0861","issue":"2","note":"publisher: University of Toronto Press","page":"97-108","source":"utpjournals.press (Atypon)","title":"An Aging Workforce and the Future Labour Market in Canada","volume":"41","author":[{"family":"McDaniel","given":"Susan A."},{"family":"Wong","given":"Lloyd L."},{"family":"Watt","given":"Bonnie"}],"issued":{"date-parts":[["2015",6]]}}}],"schema":"https://github.com/citation-style-language/schema/raw/master/csl-citation.json"} </w:instrText>
      </w:r>
      <w:r w:rsidR="00CB19D1" w:rsidRPr="00CB19D1">
        <w:fldChar w:fldCharType="separate"/>
      </w:r>
      <w:r w:rsidR="00CB19D1" w:rsidRPr="00CB19D1">
        <w:t>(McDaniel et al., 2015)</w:t>
      </w:r>
      <w:r w:rsidR="00CB19D1" w:rsidRPr="00CB19D1">
        <w:fldChar w:fldCharType="end"/>
      </w:r>
      <w:r w:rsidR="00101B6E" w:rsidRPr="00CB19D1">
        <w:t>. As a result, the ag</w:t>
      </w:r>
      <w:r w:rsidR="00CB19D1" w:rsidRPr="00CB19D1">
        <w:t>e</w:t>
      </w:r>
      <w:r w:rsidR="00101B6E" w:rsidRPr="00CB19D1">
        <w:t>ing of the population is expected to have a significant impact on participation rates during the next fifteen years.</w:t>
      </w:r>
    </w:p>
    <w:p w14:paraId="76E33D99" w14:textId="624815ED" w:rsidR="004F7110" w:rsidRPr="00CB19D1" w:rsidRDefault="00101B6E" w:rsidP="00CB19D1">
      <w:pPr>
        <w:pStyle w:val="NormalWeb"/>
        <w:shd w:val="clear" w:color="auto" w:fill="FFFFFF"/>
        <w:spacing w:before="0" w:beforeAutospacing="0" w:after="0" w:afterAutospacing="0" w:line="480" w:lineRule="auto"/>
        <w:ind w:firstLine="720"/>
        <w:jc w:val="both"/>
      </w:pPr>
      <w:r w:rsidRPr="00CB19D1">
        <w:t xml:space="preserve">The baby boom generation has a propensity to postpone retirement, although their participation rates are still substantially lower than those of the core-age group. </w:t>
      </w:r>
      <w:r w:rsidR="00CB19D1" w:rsidRPr="00CB19D1">
        <w:t>There is a significant disparity in involvement between the ages of 55 and 64 and 65 and above</w:t>
      </w:r>
      <w:r w:rsidR="004F7110" w:rsidRPr="00CB19D1">
        <w:t>. In 2016, 66% of people 55 to 64 years old participated in the workforce, compared to 14% of those 65 and older</w:t>
      </w:r>
      <w:r w:rsidR="00CB19D1" w:rsidRPr="00CB19D1">
        <w:t xml:space="preserve"> </w:t>
      </w:r>
      <w:r w:rsidR="00CB19D1" w:rsidRPr="00CB19D1">
        <w:fldChar w:fldCharType="begin"/>
      </w:r>
      <w:r w:rsidR="00CB19D1" w:rsidRPr="00CB19D1">
        <w:instrText xml:space="preserve"> ADDIN ZOTERO_ITEM CSL_CITATION {"citationID":"0nvm2e9K","properties":{"formattedCitation":"(McDaniel et al., 2015)","plainCitation":"(McDaniel et al., 2015)","noteIndex":0},"citationItems":[{"id":419,"uris":["http://zotero.org/users/local/fXyKz57Q/items/PI5NB7TT"],"uri":["http://zotero.org/users/local/fXyKz57Q/items/PI5NB7TT"],"itemData":{"id":419,"type":"article-journal","abstract":"The aging workforce poses perplexing policy challenges, even in Canada, which is demographically young among comparable countries. We ask what the evidence shows about whether there are, or will be, labour or skills shortages as the workforce ages. Highlighting the challenges of measuring labour/skills shortages, we explore peer-reviewed research in the 2000–2013 period. No evidence is found of a national labour shortage in the foreseeable future. In fact, the workforce is predicted to grow for the coming two decades with less shrinkage than in the past as a result of retirements. Regional and occupational shortages occur at times, as well as underutilized skills.","container-title":"Canadian Public Policy","DOI":"10.3138/cpp.2014-057","ISSN":"0317-0861","issue":"2","note":"publisher: University of Toronto Press","page":"97-108","source":"utpjournals.press (Atypon)","title":"An Aging Workforce and the Future Labour Market in Canada","volume":"41","author":[{"family":"McDaniel","given":"Susan A."},{"family":"Wong","given":"Lloyd L."},{"family":"Watt","given":"Bonnie"}],"issued":{"date-parts":[["2015",6]]}}}],"schema":"https://github.com/citation-style-language/schema/raw/master/csl-citation.json"} </w:instrText>
      </w:r>
      <w:r w:rsidR="00CB19D1" w:rsidRPr="00CB19D1">
        <w:fldChar w:fldCharType="separate"/>
      </w:r>
      <w:r w:rsidR="00CB19D1" w:rsidRPr="00CB19D1">
        <w:t>(McDaniel et al., 2015)</w:t>
      </w:r>
      <w:r w:rsidR="00CB19D1" w:rsidRPr="00CB19D1">
        <w:fldChar w:fldCharType="end"/>
      </w:r>
      <w:r w:rsidR="004F7110" w:rsidRPr="00CB19D1">
        <w:t xml:space="preserve">. Baby boomers, who are currently 65 and older, are expected to </w:t>
      </w:r>
      <w:r w:rsidR="00CB19D1" w:rsidRPr="00CB19D1">
        <w:t>significantly influence</w:t>
      </w:r>
      <w:r w:rsidR="004F7110" w:rsidRPr="00CB19D1">
        <w:t xml:space="preserve"> the participation rate of the over 55 demographic within 15 years.</w:t>
      </w:r>
    </w:p>
    <w:p w14:paraId="31DE62DA" w14:textId="1EAE74A1" w:rsidR="001062A1" w:rsidRPr="00CB19D1" w:rsidRDefault="001062A1" w:rsidP="00CB19D1">
      <w:pPr>
        <w:pStyle w:val="NormalWeb"/>
        <w:shd w:val="clear" w:color="auto" w:fill="FFFFFF"/>
        <w:spacing w:before="0" w:beforeAutospacing="0" w:after="0" w:afterAutospacing="0" w:line="480" w:lineRule="auto"/>
        <w:jc w:val="center"/>
        <w:rPr>
          <w:shd w:val="clear" w:color="auto" w:fill="FFFFFF"/>
        </w:rPr>
      </w:pPr>
      <w:r w:rsidRPr="00CB19D1">
        <w:rPr>
          <w:shd w:val="clear" w:color="auto" w:fill="FFFFFF"/>
        </w:rPr>
        <w:t>Conclusion</w:t>
      </w:r>
    </w:p>
    <w:p w14:paraId="085B9CEE" w14:textId="3A75FF35" w:rsidR="000D0AE7" w:rsidRDefault="006632EA" w:rsidP="00CB19D1">
      <w:pPr>
        <w:pStyle w:val="NormalWeb"/>
        <w:shd w:val="clear" w:color="auto" w:fill="FFFFFF"/>
        <w:spacing w:before="0" w:beforeAutospacing="0" w:after="173" w:afterAutospacing="0" w:line="480" w:lineRule="auto"/>
        <w:ind w:firstLine="720"/>
        <w:jc w:val="both"/>
        <w:rPr>
          <w:shd w:val="clear" w:color="auto" w:fill="FFFFFF"/>
        </w:rPr>
      </w:pPr>
      <w:r w:rsidRPr="00CB19D1">
        <w:rPr>
          <w:shd w:val="clear" w:color="auto" w:fill="FFFFFF"/>
        </w:rPr>
        <w:t>The Canadian workforce is rapidly ag</w:t>
      </w:r>
      <w:r w:rsidR="00CB19D1" w:rsidRPr="00CB19D1">
        <w:rPr>
          <w:shd w:val="clear" w:color="auto" w:fill="FFFFFF"/>
        </w:rPr>
        <w:t>e</w:t>
      </w:r>
      <w:r w:rsidRPr="00CB19D1">
        <w:rPr>
          <w:shd w:val="clear" w:color="auto" w:fill="FFFFFF"/>
        </w:rPr>
        <w:t xml:space="preserve">ing. 4 out of 10 Canadians will be above 55 by 2026. There will be further losses in involvement in Canada's workforce </w:t>
      </w:r>
      <w:r w:rsidR="00CB19D1" w:rsidRPr="00CB19D1">
        <w:rPr>
          <w:shd w:val="clear" w:color="auto" w:fill="FFFFFF"/>
        </w:rPr>
        <w:t>due to</w:t>
      </w:r>
      <w:r w:rsidRPr="00CB19D1">
        <w:rPr>
          <w:shd w:val="clear" w:color="auto" w:fill="FFFFFF"/>
        </w:rPr>
        <w:t xml:space="preserve"> Canada's ag</w:t>
      </w:r>
      <w:r w:rsidR="00CB19D1" w:rsidRPr="00CB19D1">
        <w:rPr>
          <w:shd w:val="clear" w:color="auto" w:fill="FFFFFF"/>
        </w:rPr>
        <w:t>e</w:t>
      </w:r>
      <w:r w:rsidRPr="00CB19D1">
        <w:rPr>
          <w:shd w:val="clear" w:color="auto" w:fill="FFFFFF"/>
        </w:rPr>
        <w:t xml:space="preserve">ing population. The employment economy, public budgets, and health care will be impacted as a result. Elderly Canadians' levels of participation have increased considerably during the last two decades. Constants and cycles propelled the expansion. The percentage of 55-64-year-old Canadians (who are more likely to work) and their educational attainment have both increased. Non-compositional variables, on the other hand, are responsible for nearly half of the rise in the number of seniors who are working. One explanation for this is that the debt load of older Canadians has increased, incomes and employment possibilities have increased, or health has improved. However, as the baby boomer generation ages, it's </w:t>
      </w:r>
      <w:r w:rsidR="00CB19D1" w:rsidRPr="00CB19D1">
        <w:rPr>
          <w:shd w:val="clear" w:color="auto" w:fill="FFFFFF"/>
        </w:rPr>
        <w:t>un</w:t>
      </w:r>
      <w:r w:rsidRPr="00CB19D1">
        <w:rPr>
          <w:shd w:val="clear" w:color="auto" w:fill="FFFFFF"/>
        </w:rPr>
        <w:t xml:space="preserve">certain whether older Canadians will continue to work. Longevity, mortgage debt, rising salaries, and job opportunities in the community might all assist older workers </w:t>
      </w:r>
      <w:r w:rsidR="00CB19D1" w:rsidRPr="00CB19D1">
        <w:rPr>
          <w:shd w:val="clear" w:color="auto" w:fill="FFFFFF"/>
        </w:rPr>
        <w:t xml:space="preserve">to </w:t>
      </w:r>
      <w:r w:rsidRPr="00CB19D1">
        <w:rPr>
          <w:shd w:val="clear" w:color="auto" w:fill="FFFFFF"/>
        </w:rPr>
        <w:t>stay in the workforce. The future of the work market will be revealed via further study.</w:t>
      </w:r>
    </w:p>
    <w:p w14:paraId="5BCC61CE" w14:textId="4AD0F59A" w:rsidR="00CB19D1" w:rsidRDefault="00CB19D1" w:rsidP="00CB19D1">
      <w:pPr>
        <w:pStyle w:val="NormalWeb"/>
        <w:shd w:val="clear" w:color="auto" w:fill="FFFFFF"/>
        <w:spacing w:before="0" w:beforeAutospacing="0" w:after="173" w:afterAutospacing="0" w:line="480" w:lineRule="auto"/>
        <w:ind w:firstLine="720"/>
        <w:jc w:val="both"/>
        <w:rPr>
          <w:shd w:val="clear" w:color="auto" w:fill="FFFFFF"/>
        </w:rPr>
      </w:pPr>
    </w:p>
    <w:p w14:paraId="4D6ADFA6" w14:textId="1812C0D1" w:rsidR="00CB19D1" w:rsidRDefault="00CB19D1" w:rsidP="00CB19D1">
      <w:pPr>
        <w:pStyle w:val="NormalWeb"/>
        <w:shd w:val="clear" w:color="auto" w:fill="FFFFFF"/>
        <w:spacing w:before="0" w:beforeAutospacing="0" w:after="173" w:afterAutospacing="0" w:line="480" w:lineRule="auto"/>
        <w:ind w:firstLine="720"/>
        <w:jc w:val="both"/>
        <w:rPr>
          <w:shd w:val="clear" w:color="auto" w:fill="FFFFFF"/>
        </w:rPr>
      </w:pPr>
    </w:p>
    <w:p w14:paraId="227BDFC7" w14:textId="0544A492" w:rsidR="00CB19D1" w:rsidRDefault="00CB19D1" w:rsidP="00CB19D1">
      <w:pPr>
        <w:pStyle w:val="NormalWeb"/>
        <w:shd w:val="clear" w:color="auto" w:fill="FFFFFF"/>
        <w:spacing w:before="0" w:beforeAutospacing="0" w:after="173" w:afterAutospacing="0" w:line="480" w:lineRule="auto"/>
        <w:ind w:firstLine="720"/>
        <w:jc w:val="both"/>
        <w:rPr>
          <w:shd w:val="clear" w:color="auto" w:fill="FFFFFF"/>
        </w:rPr>
      </w:pPr>
    </w:p>
    <w:p w14:paraId="356A2F42" w14:textId="45A3D5FC" w:rsidR="00CB19D1" w:rsidRDefault="00CB19D1" w:rsidP="00CB19D1">
      <w:pPr>
        <w:pStyle w:val="NormalWeb"/>
        <w:shd w:val="clear" w:color="auto" w:fill="FFFFFF"/>
        <w:spacing w:before="0" w:beforeAutospacing="0" w:after="173" w:afterAutospacing="0" w:line="480" w:lineRule="auto"/>
        <w:ind w:firstLine="720"/>
        <w:jc w:val="both"/>
        <w:rPr>
          <w:shd w:val="clear" w:color="auto" w:fill="FFFFFF"/>
        </w:rPr>
      </w:pPr>
    </w:p>
    <w:p w14:paraId="39550AAD" w14:textId="0E87586E" w:rsidR="00CB19D1" w:rsidRDefault="00CB19D1" w:rsidP="00CB19D1">
      <w:pPr>
        <w:pStyle w:val="NormalWeb"/>
        <w:shd w:val="clear" w:color="auto" w:fill="FFFFFF"/>
        <w:spacing w:before="0" w:beforeAutospacing="0" w:after="173" w:afterAutospacing="0" w:line="480" w:lineRule="auto"/>
        <w:ind w:firstLine="720"/>
        <w:jc w:val="both"/>
        <w:rPr>
          <w:shd w:val="clear" w:color="auto" w:fill="FFFFFF"/>
        </w:rPr>
      </w:pPr>
    </w:p>
    <w:p w14:paraId="795835AB" w14:textId="480FECCA" w:rsidR="00CB19D1" w:rsidRDefault="00CB19D1" w:rsidP="00CB19D1">
      <w:pPr>
        <w:pStyle w:val="NormalWeb"/>
        <w:shd w:val="clear" w:color="auto" w:fill="FFFFFF"/>
        <w:spacing w:before="0" w:beforeAutospacing="0" w:after="173" w:afterAutospacing="0" w:line="480" w:lineRule="auto"/>
        <w:ind w:firstLine="720"/>
        <w:jc w:val="both"/>
        <w:rPr>
          <w:shd w:val="clear" w:color="auto" w:fill="FFFFFF"/>
        </w:rPr>
      </w:pPr>
    </w:p>
    <w:p w14:paraId="25FBCB0A" w14:textId="47A90750" w:rsidR="00CB19D1" w:rsidRDefault="00CB19D1" w:rsidP="00CB19D1">
      <w:pPr>
        <w:pStyle w:val="NormalWeb"/>
        <w:shd w:val="clear" w:color="auto" w:fill="FFFFFF"/>
        <w:spacing w:before="0" w:beforeAutospacing="0" w:after="173" w:afterAutospacing="0" w:line="480" w:lineRule="auto"/>
        <w:ind w:firstLine="720"/>
        <w:jc w:val="both"/>
        <w:rPr>
          <w:shd w:val="clear" w:color="auto" w:fill="FFFFFF"/>
        </w:rPr>
      </w:pPr>
    </w:p>
    <w:p w14:paraId="3A8A693F" w14:textId="6AF45FEA" w:rsidR="00CB19D1" w:rsidRDefault="00CB19D1" w:rsidP="00CB19D1">
      <w:pPr>
        <w:pStyle w:val="NormalWeb"/>
        <w:shd w:val="clear" w:color="auto" w:fill="FFFFFF"/>
        <w:spacing w:before="0" w:beforeAutospacing="0" w:after="173" w:afterAutospacing="0" w:line="480" w:lineRule="auto"/>
        <w:ind w:firstLine="720"/>
        <w:jc w:val="both"/>
        <w:rPr>
          <w:shd w:val="clear" w:color="auto" w:fill="FFFFFF"/>
        </w:rPr>
      </w:pPr>
    </w:p>
    <w:p w14:paraId="3C107F88" w14:textId="5FF9510E" w:rsidR="00CB19D1" w:rsidRDefault="00CB19D1" w:rsidP="00CB19D1">
      <w:pPr>
        <w:pStyle w:val="NormalWeb"/>
        <w:shd w:val="clear" w:color="auto" w:fill="FFFFFF"/>
        <w:spacing w:before="0" w:beforeAutospacing="0" w:after="173" w:afterAutospacing="0" w:line="480" w:lineRule="auto"/>
        <w:ind w:firstLine="720"/>
        <w:jc w:val="both"/>
        <w:rPr>
          <w:shd w:val="clear" w:color="auto" w:fill="FFFFFF"/>
        </w:rPr>
      </w:pPr>
    </w:p>
    <w:p w14:paraId="7AA77F51" w14:textId="06CC4296" w:rsidR="00CB19D1" w:rsidRDefault="00CB19D1" w:rsidP="00CB19D1">
      <w:pPr>
        <w:pStyle w:val="NormalWeb"/>
        <w:shd w:val="clear" w:color="auto" w:fill="FFFFFF"/>
        <w:spacing w:before="0" w:beforeAutospacing="0" w:after="173" w:afterAutospacing="0" w:line="480" w:lineRule="auto"/>
        <w:ind w:firstLine="720"/>
        <w:jc w:val="both"/>
        <w:rPr>
          <w:shd w:val="clear" w:color="auto" w:fill="FFFFFF"/>
        </w:rPr>
      </w:pPr>
    </w:p>
    <w:p w14:paraId="65232737" w14:textId="10A46810" w:rsidR="00CB19D1" w:rsidRDefault="00CB19D1" w:rsidP="00CB19D1">
      <w:pPr>
        <w:pStyle w:val="NormalWeb"/>
        <w:shd w:val="clear" w:color="auto" w:fill="FFFFFF"/>
        <w:spacing w:before="0" w:beforeAutospacing="0" w:after="173" w:afterAutospacing="0" w:line="480" w:lineRule="auto"/>
        <w:ind w:firstLine="720"/>
        <w:jc w:val="both"/>
        <w:rPr>
          <w:shd w:val="clear" w:color="auto" w:fill="FFFFFF"/>
        </w:rPr>
      </w:pPr>
    </w:p>
    <w:p w14:paraId="0E38E3B0" w14:textId="3783A16B" w:rsidR="00CB19D1" w:rsidRDefault="00CB19D1" w:rsidP="00CB19D1">
      <w:pPr>
        <w:pStyle w:val="NormalWeb"/>
        <w:shd w:val="clear" w:color="auto" w:fill="FFFFFF"/>
        <w:spacing w:before="0" w:beforeAutospacing="0" w:after="173" w:afterAutospacing="0" w:line="480" w:lineRule="auto"/>
        <w:ind w:firstLine="720"/>
        <w:jc w:val="both"/>
        <w:rPr>
          <w:shd w:val="clear" w:color="auto" w:fill="FFFFFF"/>
        </w:rPr>
      </w:pPr>
    </w:p>
    <w:p w14:paraId="4FD44E7A" w14:textId="1ED37889" w:rsidR="00CB19D1" w:rsidRDefault="00CB19D1" w:rsidP="00CB19D1">
      <w:pPr>
        <w:pStyle w:val="NormalWeb"/>
        <w:shd w:val="clear" w:color="auto" w:fill="FFFFFF"/>
        <w:spacing w:before="0" w:beforeAutospacing="0" w:after="173" w:afterAutospacing="0" w:line="480" w:lineRule="auto"/>
        <w:ind w:firstLine="720"/>
        <w:jc w:val="both"/>
        <w:rPr>
          <w:shd w:val="clear" w:color="auto" w:fill="FFFFFF"/>
        </w:rPr>
      </w:pPr>
    </w:p>
    <w:p w14:paraId="31C3EDEC" w14:textId="448B3B85" w:rsidR="00CB19D1" w:rsidRDefault="00CB19D1" w:rsidP="00CB19D1">
      <w:pPr>
        <w:pStyle w:val="NormalWeb"/>
        <w:shd w:val="clear" w:color="auto" w:fill="FFFFFF"/>
        <w:spacing w:before="0" w:beforeAutospacing="0" w:after="173" w:afterAutospacing="0" w:line="480" w:lineRule="auto"/>
        <w:ind w:firstLine="720"/>
        <w:jc w:val="both"/>
        <w:rPr>
          <w:shd w:val="clear" w:color="auto" w:fill="FFFFFF"/>
        </w:rPr>
      </w:pPr>
    </w:p>
    <w:p w14:paraId="0FFD64AC" w14:textId="070BDCF3" w:rsidR="00CB19D1" w:rsidRDefault="00CB19D1" w:rsidP="00CB19D1">
      <w:pPr>
        <w:pStyle w:val="NormalWeb"/>
        <w:shd w:val="clear" w:color="auto" w:fill="FFFFFF"/>
        <w:spacing w:before="0" w:beforeAutospacing="0" w:after="173" w:afterAutospacing="0" w:line="480" w:lineRule="auto"/>
        <w:ind w:firstLine="720"/>
        <w:jc w:val="both"/>
        <w:rPr>
          <w:shd w:val="clear" w:color="auto" w:fill="FFFFFF"/>
        </w:rPr>
      </w:pPr>
    </w:p>
    <w:p w14:paraId="6D280E2C" w14:textId="77777777" w:rsidR="00CB19D1" w:rsidRPr="00CB19D1" w:rsidRDefault="00CB19D1" w:rsidP="00CB19D1">
      <w:pPr>
        <w:pStyle w:val="NormalWeb"/>
        <w:shd w:val="clear" w:color="auto" w:fill="FFFFFF"/>
        <w:spacing w:before="0" w:beforeAutospacing="0" w:after="173" w:afterAutospacing="0" w:line="480" w:lineRule="auto"/>
        <w:ind w:firstLine="720"/>
        <w:jc w:val="both"/>
      </w:pPr>
    </w:p>
    <w:p w14:paraId="3F98CEA3" w14:textId="34B49B28" w:rsidR="000D0AE7" w:rsidRPr="00CB19D1" w:rsidRDefault="000D0AE7" w:rsidP="00CB19D1">
      <w:pPr>
        <w:pStyle w:val="NormalWeb"/>
        <w:shd w:val="clear" w:color="auto" w:fill="FFFFFF"/>
        <w:spacing w:before="0" w:beforeAutospacing="0" w:after="173" w:afterAutospacing="0" w:line="480" w:lineRule="auto"/>
        <w:jc w:val="center"/>
        <w:rPr>
          <w:b/>
          <w:bCs/>
        </w:rPr>
      </w:pPr>
      <w:r w:rsidRPr="00CB19D1">
        <w:rPr>
          <w:b/>
          <w:bCs/>
        </w:rPr>
        <w:t>References</w:t>
      </w:r>
    </w:p>
    <w:p w14:paraId="6D204253" w14:textId="35EB4B24" w:rsidR="00CB19D1" w:rsidRPr="00CB19D1" w:rsidRDefault="00CB19D1" w:rsidP="00CB19D1">
      <w:pPr>
        <w:pStyle w:val="Bibliography"/>
        <w:rPr>
          <w:rFonts w:ascii="Times New Roman" w:hAnsi="Times New Roman" w:cs="Times New Roman"/>
          <w:sz w:val="24"/>
          <w:szCs w:val="24"/>
        </w:rPr>
      </w:pPr>
      <w:r w:rsidRPr="00CB19D1">
        <w:rPr>
          <w:rFonts w:ascii="Times New Roman" w:hAnsi="Times New Roman" w:cs="Times New Roman"/>
          <w:sz w:val="24"/>
          <w:szCs w:val="24"/>
        </w:rPr>
        <w:fldChar w:fldCharType="begin"/>
      </w:r>
      <w:r w:rsidRPr="00CB19D1">
        <w:rPr>
          <w:rFonts w:ascii="Times New Roman" w:hAnsi="Times New Roman" w:cs="Times New Roman"/>
          <w:sz w:val="24"/>
          <w:szCs w:val="24"/>
        </w:rPr>
        <w:instrText xml:space="preserve"> ADDIN ZOTERO_BIBL {"uncited":[],"omitted":[],"custom":[]} CSL_BIBLIOGRAPHY </w:instrText>
      </w:r>
      <w:r w:rsidRPr="00CB19D1">
        <w:rPr>
          <w:rFonts w:ascii="Times New Roman" w:hAnsi="Times New Roman" w:cs="Times New Roman"/>
          <w:sz w:val="24"/>
          <w:szCs w:val="24"/>
        </w:rPr>
        <w:fldChar w:fldCharType="separate"/>
      </w:r>
      <w:r w:rsidRPr="00CB19D1">
        <w:rPr>
          <w:rFonts w:ascii="Times New Roman" w:hAnsi="Times New Roman" w:cs="Times New Roman"/>
          <w:sz w:val="24"/>
          <w:szCs w:val="24"/>
        </w:rPr>
        <w:t xml:space="preserve">Fields, A., Uppal, S., &amp; LaRochelle-Côté, S. (2017, June 14). </w:t>
      </w:r>
      <w:r w:rsidRPr="00CB19D1">
        <w:rPr>
          <w:rFonts w:ascii="Times New Roman" w:hAnsi="Times New Roman" w:cs="Times New Roman"/>
          <w:i/>
          <w:iCs/>
          <w:sz w:val="24"/>
          <w:szCs w:val="24"/>
        </w:rPr>
        <w:t>The impact of ageing on labour market participation rates</w:t>
      </w:r>
      <w:r w:rsidRPr="00CB19D1">
        <w:rPr>
          <w:rFonts w:ascii="Times New Roman" w:hAnsi="Times New Roman" w:cs="Times New Roman"/>
          <w:sz w:val="24"/>
          <w:szCs w:val="24"/>
        </w:rPr>
        <w:t>. https://www150.statcan.gc.ca/n1/pub/75-006-x/2017001/article/14826-eng.htm</w:t>
      </w:r>
    </w:p>
    <w:p w14:paraId="099D6CE8" w14:textId="77777777" w:rsidR="00CB19D1" w:rsidRPr="00CB19D1" w:rsidRDefault="00CB19D1" w:rsidP="00CB19D1">
      <w:pPr>
        <w:pStyle w:val="Bibliography"/>
        <w:rPr>
          <w:rFonts w:ascii="Times New Roman" w:hAnsi="Times New Roman" w:cs="Times New Roman"/>
          <w:sz w:val="24"/>
          <w:szCs w:val="24"/>
        </w:rPr>
      </w:pPr>
      <w:r w:rsidRPr="00CB19D1">
        <w:rPr>
          <w:rFonts w:ascii="Times New Roman" w:hAnsi="Times New Roman" w:cs="Times New Roman"/>
          <w:sz w:val="24"/>
          <w:szCs w:val="24"/>
        </w:rPr>
        <w:t xml:space="preserve">McDaniel, S. A., Wong, L. L., &amp; Watt, B. (2015). An Aging Workforce and the Future Labour Market in Canada. </w:t>
      </w:r>
      <w:r w:rsidRPr="00CB19D1">
        <w:rPr>
          <w:rFonts w:ascii="Times New Roman" w:hAnsi="Times New Roman" w:cs="Times New Roman"/>
          <w:i/>
          <w:iCs/>
          <w:sz w:val="24"/>
          <w:szCs w:val="24"/>
        </w:rPr>
        <w:t>Canadian Public Policy</w:t>
      </w:r>
      <w:r w:rsidRPr="00CB19D1">
        <w:rPr>
          <w:rFonts w:ascii="Times New Roman" w:hAnsi="Times New Roman" w:cs="Times New Roman"/>
          <w:sz w:val="24"/>
          <w:szCs w:val="24"/>
        </w:rPr>
        <w:t xml:space="preserve">, </w:t>
      </w:r>
      <w:r w:rsidRPr="00CB19D1">
        <w:rPr>
          <w:rFonts w:ascii="Times New Roman" w:hAnsi="Times New Roman" w:cs="Times New Roman"/>
          <w:i/>
          <w:iCs/>
          <w:sz w:val="24"/>
          <w:szCs w:val="24"/>
        </w:rPr>
        <w:t>41</w:t>
      </w:r>
      <w:r w:rsidRPr="00CB19D1">
        <w:rPr>
          <w:rFonts w:ascii="Times New Roman" w:hAnsi="Times New Roman" w:cs="Times New Roman"/>
          <w:sz w:val="24"/>
          <w:szCs w:val="24"/>
        </w:rPr>
        <w:t>(2), 97–108. https://doi.org/10.3138/cpp.2014-057</w:t>
      </w:r>
    </w:p>
    <w:p w14:paraId="31E29E34" w14:textId="4CC17829" w:rsidR="00CB19D1" w:rsidRPr="00CB19D1" w:rsidRDefault="00CB19D1" w:rsidP="00CB19D1">
      <w:pPr>
        <w:pStyle w:val="NormalWeb"/>
        <w:shd w:val="clear" w:color="auto" w:fill="FFFFFF"/>
        <w:spacing w:before="0" w:beforeAutospacing="0" w:after="173" w:afterAutospacing="0" w:line="480" w:lineRule="auto"/>
      </w:pPr>
      <w:r w:rsidRPr="00CB19D1">
        <w:fldChar w:fldCharType="end"/>
      </w:r>
    </w:p>
    <w:p w14:paraId="19E61EE4" w14:textId="77777777" w:rsidR="000D0AE7" w:rsidRPr="00CB19D1" w:rsidRDefault="000D0AE7" w:rsidP="00CB19D1">
      <w:pPr>
        <w:pStyle w:val="NormalWeb"/>
        <w:shd w:val="clear" w:color="auto" w:fill="FFFFFF"/>
        <w:spacing w:before="0" w:beforeAutospacing="0" w:after="173" w:afterAutospacing="0" w:line="480" w:lineRule="auto"/>
      </w:pPr>
    </w:p>
    <w:p w14:paraId="3A2D07A0" w14:textId="6F13507E" w:rsidR="001062A1" w:rsidRPr="00CB19D1" w:rsidRDefault="001062A1" w:rsidP="00CB19D1">
      <w:pPr>
        <w:pStyle w:val="NormalWeb"/>
        <w:shd w:val="clear" w:color="auto" w:fill="FFFFFF"/>
        <w:spacing w:before="0" w:beforeAutospacing="0" w:after="0" w:afterAutospacing="0" w:line="480" w:lineRule="auto"/>
        <w:jc w:val="both"/>
      </w:pPr>
    </w:p>
    <w:p w14:paraId="0C8D788A" w14:textId="77777777" w:rsidR="007505DA" w:rsidRPr="00CB19D1" w:rsidRDefault="007505DA" w:rsidP="00CB19D1">
      <w:pPr>
        <w:spacing w:line="480" w:lineRule="auto"/>
        <w:jc w:val="both"/>
        <w:rPr>
          <w:rFonts w:ascii="Times New Roman" w:hAnsi="Times New Roman" w:cs="Times New Roman"/>
          <w:sz w:val="24"/>
          <w:szCs w:val="24"/>
        </w:rPr>
      </w:pPr>
    </w:p>
    <w:sectPr w:rsidR="007505DA" w:rsidRPr="00CB19D1">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EDBF9D0" w14:textId="77777777" w:rsidR="00C14146" w:rsidRDefault="00C14146" w:rsidP="00413715">
      <w:pPr>
        <w:spacing w:after="0" w:line="240" w:lineRule="auto"/>
      </w:pPr>
      <w:r>
        <w:separator/>
      </w:r>
    </w:p>
  </w:endnote>
  <w:endnote w:type="continuationSeparator" w:id="0">
    <w:p w14:paraId="518ACC4B" w14:textId="77777777" w:rsidR="00C14146" w:rsidRDefault="00C14146" w:rsidP="004137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F662D49" w14:textId="77777777" w:rsidR="00C14146" w:rsidRDefault="00C14146" w:rsidP="00413715">
      <w:pPr>
        <w:spacing w:after="0" w:line="240" w:lineRule="auto"/>
      </w:pPr>
      <w:r>
        <w:separator/>
      </w:r>
    </w:p>
  </w:footnote>
  <w:footnote w:type="continuationSeparator" w:id="0">
    <w:p w14:paraId="56B13520" w14:textId="77777777" w:rsidR="00C14146" w:rsidRDefault="00C14146" w:rsidP="0041371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25796861"/>
      <w:docPartObj>
        <w:docPartGallery w:val="Page Numbers (Top of Page)"/>
        <w:docPartUnique/>
      </w:docPartObj>
    </w:sdtPr>
    <w:sdtEndPr>
      <w:rPr>
        <w:noProof/>
      </w:rPr>
    </w:sdtEndPr>
    <w:sdtContent>
      <w:p w14:paraId="783AD1D8" w14:textId="783ED529" w:rsidR="00413715" w:rsidRDefault="00413715">
        <w:pPr>
          <w:pStyle w:val="Header"/>
          <w:jc w:val="right"/>
        </w:pPr>
        <w:r>
          <w:fldChar w:fldCharType="begin"/>
        </w:r>
        <w:r>
          <w:instrText xml:space="preserve"> PAGE   \* MERGEFORMAT </w:instrText>
        </w:r>
        <w:r>
          <w:fldChar w:fldCharType="separate"/>
        </w:r>
        <w:r w:rsidR="00C02DA9">
          <w:rPr>
            <w:noProof/>
          </w:rPr>
          <w:t>1</w:t>
        </w:r>
        <w:r>
          <w:rPr>
            <w:noProof/>
          </w:rPr>
          <w:fldChar w:fldCharType="end"/>
        </w:r>
      </w:p>
    </w:sdtContent>
  </w:sdt>
  <w:p w14:paraId="1E03F901" w14:textId="77777777" w:rsidR="00413715" w:rsidRDefault="0041371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NDQzNzCzNDc2NjUzNTJU0lEKTi0uzszPAykwrAUAbR2wZiwAAAA="/>
  </w:docVars>
  <w:rsids>
    <w:rsidRoot w:val="00413715"/>
    <w:rsid w:val="000D0AE7"/>
    <w:rsid w:val="00101B6E"/>
    <w:rsid w:val="001062A1"/>
    <w:rsid w:val="0029356E"/>
    <w:rsid w:val="00413715"/>
    <w:rsid w:val="00463E1A"/>
    <w:rsid w:val="004F7110"/>
    <w:rsid w:val="005607C4"/>
    <w:rsid w:val="006632EA"/>
    <w:rsid w:val="007505DA"/>
    <w:rsid w:val="00B17712"/>
    <w:rsid w:val="00C02DA9"/>
    <w:rsid w:val="00C14146"/>
    <w:rsid w:val="00CB19D1"/>
    <w:rsid w:val="00FD75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0B3482"/>
  <w15:chartTrackingRefBased/>
  <w15:docId w15:val="{34170742-EF55-4AED-A65E-BBFBBF39C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1371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3715"/>
  </w:style>
  <w:style w:type="paragraph" w:styleId="Footer">
    <w:name w:val="footer"/>
    <w:basedOn w:val="Normal"/>
    <w:link w:val="FooterChar"/>
    <w:uiPriority w:val="99"/>
    <w:unhideWhenUsed/>
    <w:rsid w:val="0041371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3715"/>
  </w:style>
  <w:style w:type="paragraph" w:styleId="NormalWeb">
    <w:name w:val="Normal (Web)"/>
    <w:basedOn w:val="Normal"/>
    <w:uiPriority w:val="99"/>
    <w:semiHidden/>
    <w:unhideWhenUsed/>
    <w:rsid w:val="007505DA"/>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7505DA"/>
    <w:rPr>
      <w:color w:val="0000FF"/>
      <w:u w:val="single"/>
    </w:rPr>
  </w:style>
  <w:style w:type="character" w:customStyle="1" w:styleId="wb-inv">
    <w:name w:val="wb-inv"/>
    <w:basedOn w:val="DefaultParagraphFont"/>
    <w:rsid w:val="007505DA"/>
  </w:style>
  <w:style w:type="paragraph" w:styleId="Bibliography">
    <w:name w:val="Bibliography"/>
    <w:basedOn w:val="Normal"/>
    <w:next w:val="Normal"/>
    <w:uiPriority w:val="37"/>
    <w:unhideWhenUsed/>
    <w:rsid w:val="00CB19D1"/>
    <w:pPr>
      <w:spacing w:after="0" w:line="48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033554">
      <w:bodyDiv w:val="1"/>
      <w:marLeft w:val="0"/>
      <w:marRight w:val="0"/>
      <w:marTop w:val="0"/>
      <w:marBottom w:val="0"/>
      <w:divBdr>
        <w:top w:val="none" w:sz="0" w:space="0" w:color="auto"/>
        <w:left w:val="none" w:sz="0" w:space="0" w:color="auto"/>
        <w:bottom w:val="none" w:sz="0" w:space="0" w:color="auto"/>
        <w:right w:val="none" w:sz="0" w:space="0" w:color="auto"/>
      </w:divBdr>
    </w:div>
    <w:div w:id="626277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1610</Words>
  <Characters>9178</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2022-03-14T00:47:00Z</dcterms:created>
  <dcterms:modified xsi:type="dcterms:W3CDTF">2022-03-14T00:47:00Z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id="TFsnepYU"/&gt;&lt;style id="http://www.zotero.org/styles/apa" locale="en-US" hasBibliography="1" bibliographyStyleHasBeenSet="1"/&gt;&lt;prefs&gt;&lt;pref name="fieldType" value="Field"/&gt;&lt;/prefs&gt;&lt;/data&gt;</vt:lpwstr>
  </property>
</Properties>
</file>